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xml:space="preserve">, will render a protest inadequate and non-responsive, and will result in rejection </w:t>
      </w:r>
      <w:r w:rsidRPr="00FF1EA2">
        <w:rPr>
          <w:color w:val="000000"/>
        </w:rPr>
        <w:lastRenderedPageBreak/>
        <w:t>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lastRenderedPageBreak/>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w:t>
      </w:r>
      <w:r>
        <w:lastRenderedPageBreak/>
        <w:t>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lastRenderedPageBreak/>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8DB" w:rsidRDefault="005448DB">
      <w:r>
        <w:separator/>
      </w:r>
    </w:p>
  </w:endnote>
  <w:endnote w:type="continuationSeparator" w:id="1">
    <w:p w:rsidR="005448DB" w:rsidRDefault="00544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News Gothic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CC" w:rsidRDefault="005710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085E35">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CC" w:rsidRDefault="00571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8DB" w:rsidRDefault="005448DB">
      <w:r>
        <w:separator/>
      </w:r>
    </w:p>
  </w:footnote>
  <w:footnote w:type="continuationSeparator" w:id="1">
    <w:p w:rsidR="005448DB" w:rsidRDefault="00544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CC" w:rsidRDefault="005710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Pr="00E3451C" w:rsidRDefault="00454017" w:rsidP="00454017">
    <w:pPr>
      <w:pStyle w:val="Header"/>
      <w:tabs>
        <w:tab w:val="clear" w:pos="4320"/>
        <w:tab w:val="clear" w:pos="8640"/>
      </w:tabs>
      <w:rPr>
        <w:sz w:val="20"/>
        <w:szCs w:val="20"/>
      </w:rPr>
    </w:pPr>
    <w:r w:rsidRPr="00E3451C">
      <w:rPr>
        <w:sz w:val="20"/>
        <w:szCs w:val="20"/>
      </w:rPr>
      <w:t>Project Title:</w:t>
    </w:r>
    <w:r>
      <w:rPr>
        <w:sz w:val="20"/>
        <w:szCs w:val="20"/>
      </w:rPr>
      <w:tab/>
    </w:r>
    <w:r w:rsidR="005F189D">
      <w:rPr>
        <w:rStyle w:val="TitleChar"/>
        <w:rFonts w:ascii="Times New Roman" w:hAnsi="Times New Roman"/>
        <w:sz w:val="24"/>
        <w:szCs w:val="24"/>
      </w:rPr>
      <w:t>Trial Court Workload Methodology</w:t>
    </w:r>
  </w:p>
  <w:p w:rsidR="00454017" w:rsidRDefault="00454017" w:rsidP="00454017">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00BB4257" w:rsidRPr="00BB4257">
      <w:rPr>
        <w:b/>
        <w:sz w:val="20"/>
        <w:szCs w:val="20"/>
      </w:rPr>
      <w:t>EOP 090416-RB</w:t>
    </w:r>
  </w:p>
  <w:p w:rsidR="00ED4770" w:rsidRPr="001E0F38" w:rsidRDefault="00ED4770" w:rsidP="00EF3169">
    <w:pPr>
      <w:pStyle w:val="Header"/>
      <w:rPr>
        <w:sz w:val="22"/>
        <w:szCs w:val="22"/>
      </w:rPr>
    </w:pPr>
  </w:p>
  <w:p w:rsidR="007B7361" w:rsidRPr="00982B26" w:rsidRDefault="007B7361"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5664B2" w:rsidRPr="00E62549" w:rsidRDefault="005664B2"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CC" w:rsidRDefault="005710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85E35"/>
    <w:rsid w:val="00090759"/>
    <w:rsid w:val="00092062"/>
    <w:rsid w:val="00094CF0"/>
    <w:rsid w:val="00095539"/>
    <w:rsid w:val="000A108D"/>
    <w:rsid w:val="000A2090"/>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85D02"/>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20CA"/>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54017"/>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315FA"/>
    <w:rsid w:val="00535CB7"/>
    <w:rsid w:val="005415D9"/>
    <w:rsid w:val="005448DB"/>
    <w:rsid w:val="00552ACA"/>
    <w:rsid w:val="00552DEB"/>
    <w:rsid w:val="00552ED5"/>
    <w:rsid w:val="00555150"/>
    <w:rsid w:val="005664B2"/>
    <w:rsid w:val="005710CC"/>
    <w:rsid w:val="00581172"/>
    <w:rsid w:val="00582AFD"/>
    <w:rsid w:val="00587697"/>
    <w:rsid w:val="005914F5"/>
    <w:rsid w:val="0059184B"/>
    <w:rsid w:val="00591B80"/>
    <w:rsid w:val="005946C6"/>
    <w:rsid w:val="005A4B5C"/>
    <w:rsid w:val="005A5A3D"/>
    <w:rsid w:val="005A77E6"/>
    <w:rsid w:val="005B0888"/>
    <w:rsid w:val="005B4079"/>
    <w:rsid w:val="005B7484"/>
    <w:rsid w:val="005B759C"/>
    <w:rsid w:val="005C34EB"/>
    <w:rsid w:val="005C5152"/>
    <w:rsid w:val="005D192B"/>
    <w:rsid w:val="005E3D31"/>
    <w:rsid w:val="005E5958"/>
    <w:rsid w:val="005E6787"/>
    <w:rsid w:val="005E7CA5"/>
    <w:rsid w:val="005F189D"/>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31FD"/>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0F89"/>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3AC5"/>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4257"/>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D4770"/>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454017"/>
    <w:rPr>
      <w:rFonts w:ascii="Times New Roman" w:eastAsia="Times New Roman" w:hAnsi="Times New Roman"/>
      <w:sz w:val="24"/>
      <w:szCs w:val="24"/>
    </w:rPr>
  </w:style>
  <w:style w:type="character" w:customStyle="1" w:styleId="CommentTextChar">
    <w:name w:val="Comment Text Char"/>
    <w:basedOn w:val="DefaultParagraphFont"/>
    <w:link w:val="CommentText"/>
    <w:semiHidden/>
    <w:rsid w:val="00ED4770"/>
    <w:rPr>
      <w:rFonts w:ascii="Times New Roman" w:eastAsia="Times New Roman" w:hAnsi="Times New Roman"/>
    </w:rPr>
  </w:style>
  <w:style w:type="paragraph" w:styleId="Title">
    <w:name w:val="Title"/>
    <w:basedOn w:val="Normal"/>
    <w:next w:val="Normal"/>
    <w:link w:val="TitleChar"/>
    <w:qFormat/>
    <w:rsid w:val="005F189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F189D"/>
    <w:rPr>
      <w:rFonts w:ascii="Cambria" w:eastAsia="Times New Roman" w:hAnsi="Cambria"/>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2009-04-15T15:59:00Z</cp:lastPrinted>
  <dcterms:created xsi:type="dcterms:W3CDTF">2010-08-27T20:57:00Z</dcterms:created>
  <dcterms:modified xsi:type="dcterms:W3CDTF">2010-08-27T20:57:00Z</dcterms:modified>
</cp:coreProperties>
</file>