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FA0" w:rsidRPr="00473FA0" w:rsidRDefault="00473FA0" w:rsidP="00473FA0">
      <w:pPr>
        <w:ind w:left="211"/>
        <w:jc w:val="center"/>
        <w:rPr>
          <w:b/>
          <w:sz w:val="28"/>
          <w:szCs w:val="28"/>
        </w:rPr>
      </w:pPr>
      <w:r w:rsidRPr="00473FA0">
        <w:rPr>
          <w:b/>
          <w:sz w:val="28"/>
          <w:szCs w:val="28"/>
        </w:rPr>
        <w:t>Attachment 8</w:t>
      </w:r>
    </w:p>
    <w:p w:rsidR="00EC2039" w:rsidRPr="00473FA0" w:rsidRDefault="00040474" w:rsidP="00473FA0">
      <w:pPr>
        <w:ind w:left="211"/>
        <w:jc w:val="center"/>
        <w:rPr>
          <w:b/>
          <w:sz w:val="28"/>
          <w:szCs w:val="28"/>
        </w:rPr>
      </w:pPr>
      <w:r w:rsidRPr="00473FA0">
        <w:rPr>
          <w:b/>
          <w:sz w:val="28"/>
          <w:szCs w:val="28"/>
        </w:rPr>
        <w:t>Insurance</w:t>
      </w:r>
      <w:r w:rsidRPr="00473FA0">
        <w:rPr>
          <w:b/>
          <w:spacing w:val="3"/>
          <w:sz w:val="28"/>
          <w:szCs w:val="28"/>
        </w:rPr>
        <w:t xml:space="preserve"> </w:t>
      </w:r>
      <w:r w:rsidRPr="00473FA0">
        <w:rPr>
          <w:b/>
          <w:sz w:val="28"/>
          <w:szCs w:val="28"/>
        </w:rPr>
        <w:t>Requirements</w:t>
      </w:r>
    </w:p>
    <w:p w:rsidR="00EC2039" w:rsidRDefault="002F7753" w:rsidP="00040474">
      <w:pPr>
        <w:pStyle w:val="ListParagraph"/>
        <w:numPr>
          <w:ilvl w:val="1"/>
          <w:numId w:val="1"/>
        </w:numPr>
        <w:tabs>
          <w:tab w:val="left" w:pos="697"/>
        </w:tabs>
        <w:spacing w:before="298" w:line="276" w:lineRule="auto"/>
        <w:ind w:right="124"/>
      </w:pPr>
      <w:r>
        <w:t>SPF</w:t>
      </w:r>
      <w:r w:rsidR="00040474">
        <w:t xml:space="preserve"> shall obtain and maintain the minimum insurance set forth below for the duration of th</w:t>
      </w:r>
      <w:r>
        <w:t>e Contract</w:t>
      </w:r>
      <w:r w:rsidR="00040474">
        <w:t xml:space="preserve">. </w:t>
      </w:r>
      <w:r w:rsidR="00473FA0">
        <w:t xml:space="preserve"> </w:t>
      </w:r>
      <w:r w:rsidR="00040474">
        <w:t xml:space="preserve">By requiring such minimum insurance, the </w:t>
      </w:r>
      <w:r w:rsidR="003F287F">
        <w:t>JCC</w:t>
      </w:r>
      <w:r w:rsidR="00040474">
        <w:t xml:space="preserve"> shall not be deemed or construed to have assessed the risks that may be applicable to </w:t>
      </w:r>
      <w:r>
        <w:t xml:space="preserve">SPF </w:t>
      </w:r>
      <w:r w:rsidR="00040474">
        <w:t>under th</w:t>
      </w:r>
      <w:r>
        <w:t>e Contract</w:t>
      </w:r>
      <w:r w:rsidR="00040474">
        <w:t xml:space="preserve">. </w:t>
      </w:r>
      <w:r>
        <w:t xml:space="preserve">SPF </w:t>
      </w:r>
      <w:r w:rsidR="00040474">
        <w:t xml:space="preserve">shall assess its own risks and if it deems appropriate or prudent, maintain higher limits or broader coverage. </w:t>
      </w:r>
      <w:r>
        <w:t xml:space="preserve">SPF </w:t>
      </w:r>
      <w:r w:rsidR="00040474">
        <w:t>shall maintain insurance issued by an insurance company or companies which are rated “A - VII” or higher by A.M. Best’s key rating guide.</w:t>
      </w:r>
    </w:p>
    <w:p w:rsidR="00EC2039" w:rsidRDefault="00EC2039">
      <w:pPr>
        <w:pStyle w:val="BodyText"/>
        <w:spacing w:before="5"/>
        <w:rPr>
          <w:sz w:val="20"/>
        </w:rPr>
      </w:pPr>
    </w:p>
    <w:p w:rsidR="00EC2039" w:rsidRDefault="00040474">
      <w:pPr>
        <w:pStyle w:val="ListParagraph"/>
        <w:numPr>
          <w:ilvl w:val="1"/>
          <w:numId w:val="1"/>
        </w:numPr>
        <w:tabs>
          <w:tab w:val="left" w:pos="697"/>
        </w:tabs>
        <w:spacing w:before="1" w:line="276" w:lineRule="auto"/>
        <w:ind w:right="99" w:hanging="576"/>
      </w:pPr>
      <w:r>
        <w:t xml:space="preserve">For full coverage, each insurance policy shall be written on an “occurrence” form; excepting that insurance for professional liability, when required, may be acceptable on a “claims made” form. If coverage is approved and purchased on a “claims made” basis, </w:t>
      </w:r>
      <w:r w:rsidR="002F7753">
        <w:t xml:space="preserve">SPF </w:t>
      </w:r>
      <w:r>
        <w:t xml:space="preserve">warrants continuation of coverage, either through policy renewals or the purchase of an extended discovery period, if such extended coverage is available, for not less than three (3) years from the date of completion of the Work which is the subject of </w:t>
      </w:r>
      <w:r w:rsidR="002F7753">
        <w:t>the Contract</w:t>
      </w:r>
      <w:r>
        <w:t>. A retroactive date or “prior acts date” of any such “claims made” policy must be no later than the Effective</w:t>
      </w:r>
      <w:r>
        <w:rPr>
          <w:spacing w:val="-30"/>
        </w:rPr>
        <w:t xml:space="preserve"> </w:t>
      </w:r>
      <w:r>
        <w:t>Date.</w:t>
      </w:r>
    </w:p>
    <w:p w:rsidR="00EC2039" w:rsidRDefault="00EC2039">
      <w:pPr>
        <w:pStyle w:val="BodyText"/>
        <w:spacing w:before="5"/>
        <w:rPr>
          <w:sz w:val="20"/>
        </w:rPr>
      </w:pPr>
    </w:p>
    <w:p w:rsidR="00EC2039" w:rsidRDefault="002F7753">
      <w:pPr>
        <w:pStyle w:val="ListParagraph"/>
        <w:numPr>
          <w:ilvl w:val="1"/>
          <w:numId w:val="1"/>
        </w:numPr>
        <w:tabs>
          <w:tab w:val="left" w:pos="697"/>
        </w:tabs>
        <w:ind w:right="0" w:hanging="576"/>
      </w:pPr>
      <w:r>
        <w:t xml:space="preserve">SPF </w:t>
      </w:r>
      <w:r w:rsidR="00040474">
        <w:t>shall maintain insurance coverage of the type, and limits as</w:t>
      </w:r>
      <w:r w:rsidR="00040474">
        <w:rPr>
          <w:spacing w:val="-20"/>
        </w:rPr>
        <w:t xml:space="preserve"> </w:t>
      </w:r>
      <w:r w:rsidR="00040474">
        <w:t>follows:</w:t>
      </w:r>
    </w:p>
    <w:p w:rsidR="00EC2039" w:rsidRDefault="00EC2039">
      <w:pPr>
        <w:pStyle w:val="BodyText"/>
        <w:spacing w:before="9"/>
        <w:rPr>
          <w:sz w:val="23"/>
        </w:rPr>
      </w:pPr>
    </w:p>
    <w:p w:rsidR="00EC2039" w:rsidRDefault="00040474">
      <w:pPr>
        <w:pStyle w:val="ListParagraph"/>
        <w:numPr>
          <w:ilvl w:val="2"/>
          <w:numId w:val="1"/>
        </w:numPr>
        <w:tabs>
          <w:tab w:val="left" w:pos="1415"/>
          <w:tab w:val="left" w:pos="1416"/>
        </w:tabs>
        <w:spacing w:before="1" w:line="276" w:lineRule="auto"/>
        <w:ind w:right="404" w:hanging="719"/>
        <w:rPr>
          <w:sz w:val="20"/>
        </w:rPr>
      </w:pPr>
      <w:r>
        <w:rPr>
          <w:sz w:val="20"/>
        </w:rPr>
        <w:t>Workers’ Compensation at statutory requirements of the state of residency. Employers’ Liability</w:t>
      </w:r>
      <w:r>
        <w:rPr>
          <w:spacing w:val="-4"/>
          <w:sz w:val="20"/>
        </w:rPr>
        <w:t xml:space="preserve"> </w:t>
      </w:r>
      <w:r>
        <w:rPr>
          <w:sz w:val="20"/>
        </w:rPr>
        <w:t>with</w:t>
      </w:r>
      <w:r>
        <w:rPr>
          <w:spacing w:val="-4"/>
          <w:sz w:val="20"/>
        </w:rPr>
        <w:t xml:space="preserve"> </w:t>
      </w:r>
      <w:r>
        <w:rPr>
          <w:sz w:val="20"/>
        </w:rPr>
        <w:t>limits</w:t>
      </w:r>
      <w:r>
        <w:rPr>
          <w:spacing w:val="-1"/>
          <w:sz w:val="20"/>
        </w:rPr>
        <w:t xml:space="preserve"> </w:t>
      </w:r>
      <w:r>
        <w:rPr>
          <w:sz w:val="20"/>
        </w:rPr>
        <w:t>not</w:t>
      </w:r>
      <w:r>
        <w:rPr>
          <w:spacing w:val="-2"/>
          <w:sz w:val="20"/>
        </w:rPr>
        <w:t xml:space="preserve"> </w:t>
      </w:r>
      <w:r>
        <w:rPr>
          <w:sz w:val="20"/>
        </w:rPr>
        <w:t>less</w:t>
      </w:r>
      <w:r>
        <w:rPr>
          <w:spacing w:val="-1"/>
          <w:sz w:val="20"/>
        </w:rPr>
        <w:t xml:space="preserve"> </w:t>
      </w:r>
      <w:r>
        <w:rPr>
          <w:sz w:val="20"/>
        </w:rPr>
        <w:t>than</w:t>
      </w:r>
      <w:r>
        <w:rPr>
          <w:spacing w:val="-5"/>
          <w:sz w:val="20"/>
        </w:rPr>
        <w:t xml:space="preserve"> </w:t>
      </w:r>
      <w:r>
        <w:rPr>
          <w:sz w:val="20"/>
        </w:rPr>
        <w:t>$1,000,000</w:t>
      </w:r>
      <w:r>
        <w:rPr>
          <w:spacing w:val="-2"/>
          <w:sz w:val="20"/>
        </w:rPr>
        <w:t xml:space="preserve"> </w:t>
      </w:r>
      <w:r>
        <w:rPr>
          <w:sz w:val="20"/>
        </w:rPr>
        <w:t>for</w:t>
      </w:r>
      <w:r>
        <w:rPr>
          <w:spacing w:val="-3"/>
          <w:sz w:val="20"/>
        </w:rPr>
        <w:t xml:space="preserve"> </w:t>
      </w:r>
      <w:r>
        <w:rPr>
          <w:sz w:val="20"/>
        </w:rPr>
        <w:t>each</w:t>
      </w:r>
      <w:r>
        <w:rPr>
          <w:spacing w:val="-4"/>
          <w:sz w:val="20"/>
        </w:rPr>
        <w:t xml:space="preserve"> </w:t>
      </w:r>
      <w:r>
        <w:rPr>
          <w:sz w:val="20"/>
        </w:rPr>
        <w:t>accident,</w:t>
      </w:r>
      <w:r>
        <w:rPr>
          <w:spacing w:val="-4"/>
          <w:sz w:val="20"/>
        </w:rPr>
        <w:t xml:space="preserve"> </w:t>
      </w:r>
      <w:r>
        <w:rPr>
          <w:sz w:val="20"/>
        </w:rPr>
        <w:t>$1,000,000</w:t>
      </w:r>
      <w:r>
        <w:rPr>
          <w:spacing w:val="-4"/>
          <w:sz w:val="20"/>
        </w:rPr>
        <w:t xml:space="preserve"> </w:t>
      </w:r>
      <w:r>
        <w:rPr>
          <w:sz w:val="20"/>
        </w:rPr>
        <w:t>as</w:t>
      </w:r>
      <w:r>
        <w:rPr>
          <w:spacing w:val="-3"/>
          <w:sz w:val="20"/>
        </w:rPr>
        <w:t xml:space="preserve"> </w:t>
      </w:r>
      <w:r>
        <w:rPr>
          <w:sz w:val="20"/>
        </w:rPr>
        <w:t>the</w:t>
      </w:r>
      <w:r>
        <w:rPr>
          <w:spacing w:val="-4"/>
          <w:sz w:val="20"/>
        </w:rPr>
        <w:t xml:space="preserve"> </w:t>
      </w:r>
      <w:r>
        <w:rPr>
          <w:sz w:val="20"/>
        </w:rPr>
        <w:t>aggregate disease policy limit and $1,000,000 as the disease limit for each</w:t>
      </w:r>
      <w:r>
        <w:rPr>
          <w:spacing w:val="-10"/>
          <w:sz w:val="20"/>
        </w:rPr>
        <w:t xml:space="preserve"> </w:t>
      </w:r>
      <w:r>
        <w:rPr>
          <w:sz w:val="20"/>
        </w:rPr>
        <w:t>employee.</w:t>
      </w:r>
    </w:p>
    <w:p w:rsidR="00EC2039" w:rsidRDefault="00EC2039">
      <w:pPr>
        <w:pStyle w:val="BodyText"/>
        <w:spacing w:before="5"/>
        <w:rPr>
          <w:sz w:val="20"/>
        </w:rPr>
      </w:pPr>
    </w:p>
    <w:p w:rsidR="00EC2039" w:rsidRPr="003F287F" w:rsidRDefault="00040474" w:rsidP="003F287F">
      <w:pPr>
        <w:pStyle w:val="ListParagraph"/>
        <w:numPr>
          <w:ilvl w:val="2"/>
          <w:numId w:val="1"/>
        </w:numPr>
        <w:tabs>
          <w:tab w:val="left" w:pos="1415"/>
          <w:tab w:val="left" w:pos="1416"/>
        </w:tabs>
        <w:spacing w:before="90" w:line="276" w:lineRule="auto"/>
        <w:ind w:left="1416" w:right="143" w:hanging="719"/>
        <w:rPr>
          <w:sz w:val="20"/>
        </w:rPr>
      </w:pPr>
      <w:r w:rsidRPr="003F287F">
        <w:rPr>
          <w:sz w:val="20"/>
        </w:rPr>
        <w:t>Commercial General Liability Insurance (and if required Excess Liability or Umbrella Liability insurance) written on an occurrence form with limits of not less than $5,000,000 per occurrence and $5,000,000 general aggregate for bodily injury and property</w:t>
      </w:r>
      <w:r w:rsidRPr="003F287F">
        <w:rPr>
          <w:spacing w:val="-8"/>
          <w:sz w:val="20"/>
        </w:rPr>
        <w:t xml:space="preserve"> </w:t>
      </w:r>
      <w:r w:rsidRPr="003F287F">
        <w:rPr>
          <w:sz w:val="20"/>
        </w:rPr>
        <w:t>damage</w:t>
      </w:r>
      <w:r w:rsidR="003F287F">
        <w:rPr>
          <w:sz w:val="20"/>
        </w:rPr>
        <w:t xml:space="preserve"> </w:t>
      </w:r>
      <w:r w:rsidRPr="003F287F">
        <w:rPr>
          <w:sz w:val="20"/>
        </w:rPr>
        <w:t>combined, and $5,000,000 products and completed operations aggregate. The policy shall include coverage for liabilities arising out of premises, operations, products and completed operations, personal and advertising injury, and liability assumed under an insured contract. The policy shall not include exclusions for property damage resulting from explosion, collapse or underground hazard, or the consequences of inadvertent construction defects. The products and completed operations coverage shall extend for a period of not less than three</w:t>
      </w:r>
    </w:p>
    <w:p w:rsidR="00EC2039" w:rsidRDefault="00040474">
      <w:pPr>
        <w:spacing w:line="234" w:lineRule="exact"/>
        <w:ind w:left="1416"/>
        <w:rPr>
          <w:sz w:val="20"/>
        </w:rPr>
      </w:pPr>
      <w:r>
        <w:rPr>
          <w:sz w:val="20"/>
        </w:rPr>
        <w:t>(3) years past the Acceptance of the Work.</w:t>
      </w:r>
    </w:p>
    <w:p w:rsidR="00EC2039" w:rsidRDefault="00EC2039">
      <w:pPr>
        <w:pStyle w:val="BodyText"/>
        <w:spacing w:before="5"/>
        <w:rPr>
          <w:sz w:val="23"/>
        </w:rPr>
      </w:pPr>
    </w:p>
    <w:p w:rsidR="00EC2039" w:rsidRDefault="00040474">
      <w:pPr>
        <w:pStyle w:val="ListParagraph"/>
        <w:numPr>
          <w:ilvl w:val="2"/>
          <w:numId w:val="1"/>
        </w:numPr>
        <w:tabs>
          <w:tab w:val="left" w:pos="1415"/>
          <w:tab w:val="left" w:pos="1416"/>
        </w:tabs>
        <w:spacing w:line="276" w:lineRule="auto"/>
        <w:ind w:right="325" w:hanging="719"/>
        <w:rPr>
          <w:sz w:val="20"/>
        </w:rPr>
      </w:pPr>
      <w:r>
        <w:rPr>
          <w:sz w:val="20"/>
        </w:rPr>
        <w:t>Commercial Automobile Liability Insurance with limits not less than $2,000,000 for each accident or loss. Such insurance shall cover liability arising out of the operation, use, loading or unloading of a motor vehicle, including owned, hired, and non-owned motor vehicles, assigned to or used in connection with the</w:t>
      </w:r>
      <w:r>
        <w:rPr>
          <w:spacing w:val="-5"/>
          <w:sz w:val="20"/>
        </w:rPr>
        <w:t xml:space="preserve"> </w:t>
      </w:r>
      <w:r>
        <w:rPr>
          <w:sz w:val="20"/>
        </w:rPr>
        <w:t>Work.</w:t>
      </w:r>
    </w:p>
    <w:p w:rsidR="00EC2039" w:rsidRDefault="00EC2039">
      <w:pPr>
        <w:pStyle w:val="BodyText"/>
        <w:spacing w:before="6"/>
        <w:rPr>
          <w:sz w:val="20"/>
        </w:rPr>
      </w:pPr>
    </w:p>
    <w:p w:rsidR="00EC2039" w:rsidRDefault="00040474">
      <w:pPr>
        <w:pStyle w:val="ListParagraph"/>
        <w:numPr>
          <w:ilvl w:val="2"/>
          <w:numId w:val="1"/>
        </w:numPr>
        <w:tabs>
          <w:tab w:val="left" w:pos="1415"/>
          <w:tab w:val="left" w:pos="1416"/>
        </w:tabs>
        <w:spacing w:before="1" w:line="276" w:lineRule="auto"/>
        <w:rPr>
          <w:sz w:val="20"/>
        </w:rPr>
      </w:pPr>
      <w:r>
        <w:rPr>
          <w:sz w:val="20"/>
        </w:rPr>
        <w:t>Professional Liability Insuran</w:t>
      </w:r>
      <w:r w:rsidR="00810066">
        <w:rPr>
          <w:sz w:val="20"/>
        </w:rPr>
        <w:t xml:space="preserve">ce. </w:t>
      </w:r>
      <w:r w:rsidR="007744FE">
        <w:rPr>
          <w:sz w:val="20"/>
        </w:rPr>
        <w:t xml:space="preserve"> </w:t>
      </w:r>
      <w:r w:rsidR="00F77C99">
        <w:rPr>
          <w:sz w:val="20"/>
        </w:rPr>
        <w:t xml:space="preserve">If </w:t>
      </w:r>
      <w:r w:rsidR="00810066">
        <w:rPr>
          <w:sz w:val="20"/>
        </w:rPr>
        <w:t>C</w:t>
      </w:r>
      <w:r w:rsidR="007744FE">
        <w:rPr>
          <w:sz w:val="20"/>
        </w:rPr>
        <w:t xml:space="preserve">ontract specifications require the </w:t>
      </w:r>
      <w:r w:rsidR="00F76414">
        <w:rPr>
          <w:sz w:val="20"/>
        </w:rPr>
        <w:t>SPF</w:t>
      </w:r>
      <w:r w:rsidR="007744FE">
        <w:rPr>
          <w:sz w:val="20"/>
        </w:rPr>
        <w:t xml:space="preserve"> to perform professional services, the Contractor shall maintain a professional liability policy </w:t>
      </w:r>
      <w:r>
        <w:rPr>
          <w:sz w:val="20"/>
        </w:rPr>
        <w:t xml:space="preserve">with limits of not less than </w:t>
      </w:r>
      <w:r w:rsidR="00F77C99">
        <w:rPr>
          <w:sz w:val="20"/>
        </w:rPr>
        <w:t xml:space="preserve">$2,000,000 </w:t>
      </w:r>
      <w:r>
        <w:rPr>
          <w:sz w:val="20"/>
        </w:rPr>
        <w:t>per claim or occurrence and $</w:t>
      </w:r>
      <w:r w:rsidR="00F77C99">
        <w:rPr>
          <w:sz w:val="20"/>
        </w:rPr>
        <w:t xml:space="preserve">2,000,000 </w:t>
      </w:r>
      <w:r>
        <w:rPr>
          <w:sz w:val="20"/>
        </w:rPr>
        <w:t xml:space="preserve">annual aggregate covering the </w:t>
      </w:r>
      <w:r w:rsidR="00F76414">
        <w:rPr>
          <w:sz w:val="20"/>
        </w:rPr>
        <w:t xml:space="preserve">SPF’s </w:t>
      </w:r>
      <w:r>
        <w:rPr>
          <w:sz w:val="20"/>
        </w:rPr>
        <w:t>acts, errors or omissions committed or</w:t>
      </w:r>
      <w:r>
        <w:rPr>
          <w:spacing w:val="-4"/>
          <w:sz w:val="20"/>
        </w:rPr>
        <w:t xml:space="preserve"> </w:t>
      </w:r>
      <w:r>
        <w:rPr>
          <w:sz w:val="20"/>
        </w:rPr>
        <w:t>alleged</w:t>
      </w:r>
      <w:r>
        <w:rPr>
          <w:spacing w:val="-3"/>
          <w:sz w:val="20"/>
        </w:rPr>
        <w:t xml:space="preserve"> </w:t>
      </w:r>
      <w:r>
        <w:rPr>
          <w:sz w:val="20"/>
        </w:rPr>
        <w:t>to</w:t>
      </w:r>
      <w:r>
        <w:rPr>
          <w:spacing w:val="-2"/>
          <w:sz w:val="20"/>
        </w:rPr>
        <w:t xml:space="preserve"> </w:t>
      </w:r>
      <w:r>
        <w:rPr>
          <w:sz w:val="20"/>
        </w:rPr>
        <w:t>have</w:t>
      </w:r>
      <w:r>
        <w:rPr>
          <w:spacing w:val="-2"/>
          <w:sz w:val="20"/>
        </w:rPr>
        <w:t xml:space="preserve"> </w:t>
      </w:r>
      <w:r>
        <w:rPr>
          <w:sz w:val="20"/>
        </w:rPr>
        <w:t>been</w:t>
      </w:r>
      <w:r>
        <w:rPr>
          <w:spacing w:val="-4"/>
          <w:sz w:val="20"/>
        </w:rPr>
        <w:t xml:space="preserve"> </w:t>
      </w:r>
      <w:r>
        <w:rPr>
          <w:sz w:val="20"/>
        </w:rPr>
        <w:t>committed</w:t>
      </w:r>
      <w:r>
        <w:rPr>
          <w:spacing w:val="-1"/>
          <w:sz w:val="20"/>
        </w:rPr>
        <w:t xml:space="preserve"> </w:t>
      </w:r>
      <w:r>
        <w:rPr>
          <w:sz w:val="20"/>
        </w:rPr>
        <w:t>which</w:t>
      </w:r>
      <w:r>
        <w:rPr>
          <w:spacing w:val="-3"/>
          <w:sz w:val="20"/>
        </w:rPr>
        <w:t xml:space="preserve"> </w:t>
      </w:r>
      <w:r>
        <w:rPr>
          <w:sz w:val="20"/>
        </w:rPr>
        <w:t>arise</w:t>
      </w:r>
      <w:r>
        <w:rPr>
          <w:spacing w:val="-4"/>
          <w:sz w:val="20"/>
        </w:rPr>
        <w:t xml:space="preserve"> </w:t>
      </w:r>
      <w:r>
        <w:rPr>
          <w:sz w:val="20"/>
        </w:rPr>
        <w:t>from</w:t>
      </w:r>
      <w:r>
        <w:rPr>
          <w:spacing w:val="-1"/>
          <w:sz w:val="20"/>
        </w:rPr>
        <w:t xml:space="preserve"> </w:t>
      </w:r>
      <w:r>
        <w:rPr>
          <w:sz w:val="20"/>
        </w:rPr>
        <w:t>rendering</w:t>
      </w:r>
      <w:r>
        <w:rPr>
          <w:spacing w:val="-1"/>
          <w:sz w:val="20"/>
        </w:rPr>
        <w:t xml:space="preserve"> </w:t>
      </w:r>
      <w:r>
        <w:rPr>
          <w:sz w:val="20"/>
        </w:rPr>
        <w:t>or</w:t>
      </w:r>
      <w:r>
        <w:rPr>
          <w:spacing w:val="-2"/>
          <w:sz w:val="20"/>
        </w:rPr>
        <w:t xml:space="preserve"> </w:t>
      </w:r>
      <w:r>
        <w:rPr>
          <w:sz w:val="20"/>
        </w:rPr>
        <w:t>failure</w:t>
      </w:r>
      <w:r>
        <w:rPr>
          <w:spacing w:val="-2"/>
          <w:sz w:val="20"/>
        </w:rPr>
        <w:t xml:space="preserve"> </w:t>
      </w:r>
      <w:r>
        <w:rPr>
          <w:sz w:val="20"/>
        </w:rPr>
        <w:t>to</w:t>
      </w:r>
      <w:r>
        <w:rPr>
          <w:spacing w:val="-1"/>
          <w:sz w:val="20"/>
        </w:rPr>
        <w:t xml:space="preserve"> </w:t>
      </w:r>
      <w:r>
        <w:rPr>
          <w:sz w:val="20"/>
        </w:rPr>
        <w:t>render</w:t>
      </w:r>
      <w:r>
        <w:rPr>
          <w:spacing w:val="-4"/>
          <w:sz w:val="20"/>
        </w:rPr>
        <w:t xml:space="preserve"> </w:t>
      </w:r>
      <w:r>
        <w:rPr>
          <w:sz w:val="20"/>
        </w:rPr>
        <w:t>the</w:t>
      </w:r>
      <w:r>
        <w:rPr>
          <w:spacing w:val="-4"/>
          <w:sz w:val="20"/>
        </w:rPr>
        <w:t xml:space="preserve"> </w:t>
      </w:r>
      <w:r>
        <w:rPr>
          <w:sz w:val="20"/>
        </w:rPr>
        <w:t xml:space="preserve">services to be provided under the terms of </w:t>
      </w:r>
      <w:r w:rsidR="00F76414">
        <w:rPr>
          <w:sz w:val="20"/>
        </w:rPr>
        <w:t>the Contract</w:t>
      </w:r>
      <w:r>
        <w:rPr>
          <w:sz w:val="20"/>
        </w:rPr>
        <w:t>.</w:t>
      </w:r>
    </w:p>
    <w:p w:rsidR="00A376EF" w:rsidRPr="00A376EF" w:rsidRDefault="00A376EF" w:rsidP="00A376EF">
      <w:pPr>
        <w:pStyle w:val="ListParagraph"/>
        <w:rPr>
          <w:sz w:val="20"/>
        </w:rPr>
      </w:pPr>
    </w:p>
    <w:p w:rsidR="00A376EF" w:rsidRPr="00A376EF" w:rsidRDefault="00A376EF" w:rsidP="00A376EF">
      <w:pPr>
        <w:tabs>
          <w:tab w:val="left" w:pos="1415"/>
          <w:tab w:val="left" w:pos="1416"/>
        </w:tabs>
        <w:spacing w:before="1" w:line="276" w:lineRule="auto"/>
        <w:rPr>
          <w:sz w:val="20"/>
        </w:rPr>
      </w:pPr>
    </w:p>
    <w:p w:rsidR="00EC2039" w:rsidRDefault="00EC2039">
      <w:pPr>
        <w:pStyle w:val="BodyText"/>
        <w:spacing w:before="4"/>
        <w:rPr>
          <w:sz w:val="20"/>
        </w:rPr>
      </w:pPr>
    </w:p>
    <w:p w:rsidR="00EC2039" w:rsidRDefault="00040474">
      <w:pPr>
        <w:pStyle w:val="ListParagraph"/>
        <w:numPr>
          <w:ilvl w:val="2"/>
          <w:numId w:val="1"/>
        </w:numPr>
        <w:tabs>
          <w:tab w:val="left" w:pos="1415"/>
          <w:tab w:val="left" w:pos="1416"/>
        </w:tabs>
        <w:spacing w:line="276" w:lineRule="auto"/>
        <w:ind w:right="630"/>
        <w:rPr>
          <w:sz w:val="20"/>
        </w:rPr>
      </w:pPr>
      <w:r>
        <w:rPr>
          <w:sz w:val="20"/>
        </w:rPr>
        <w:t xml:space="preserve">Commercial </w:t>
      </w:r>
      <w:r w:rsidR="00810066">
        <w:rPr>
          <w:sz w:val="20"/>
        </w:rPr>
        <w:t>C</w:t>
      </w:r>
      <w:r>
        <w:rPr>
          <w:sz w:val="20"/>
        </w:rPr>
        <w:t xml:space="preserve">rime </w:t>
      </w:r>
      <w:r w:rsidR="00810066">
        <w:rPr>
          <w:sz w:val="20"/>
        </w:rPr>
        <w:t>I</w:t>
      </w:r>
      <w:r>
        <w:rPr>
          <w:sz w:val="20"/>
        </w:rPr>
        <w:t>nsurance with limits of not less than $1,000,000 per loss of</w:t>
      </w:r>
      <w:r>
        <w:rPr>
          <w:spacing w:val="-32"/>
          <w:sz w:val="20"/>
        </w:rPr>
        <w:t xml:space="preserve"> </w:t>
      </w:r>
      <w:r>
        <w:rPr>
          <w:sz w:val="20"/>
        </w:rPr>
        <w:t>money or securities due to employee dishonesty, theft, forgery, computer fraud, and</w:t>
      </w:r>
      <w:r>
        <w:rPr>
          <w:spacing w:val="-24"/>
          <w:sz w:val="20"/>
        </w:rPr>
        <w:t xml:space="preserve"> </w:t>
      </w:r>
      <w:r>
        <w:rPr>
          <w:sz w:val="20"/>
        </w:rPr>
        <w:t>extortion.</w:t>
      </w:r>
    </w:p>
    <w:p w:rsidR="008800E5" w:rsidRDefault="008800E5" w:rsidP="008800E5">
      <w:pPr>
        <w:pStyle w:val="ListParagraph"/>
        <w:tabs>
          <w:tab w:val="left" w:pos="1415"/>
          <w:tab w:val="left" w:pos="1416"/>
        </w:tabs>
        <w:spacing w:line="276" w:lineRule="auto"/>
        <w:ind w:left="1415" w:right="630" w:firstLine="0"/>
        <w:rPr>
          <w:sz w:val="20"/>
        </w:rPr>
      </w:pPr>
    </w:p>
    <w:p w:rsidR="00B77275" w:rsidRDefault="00B77275">
      <w:pPr>
        <w:pStyle w:val="ListParagraph"/>
        <w:numPr>
          <w:ilvl w:val="2"/>
          <w:numId w:val="1"/>
        </w:numPr>
        <w:tabs>
          <w:tab w:val="left" w:pos="1415"/>
          <w:tab w:val="left" w:pos="1416"/>
        </w:tabs>
        <w:spacing w:line="276" w:lineRule="auto"/>
        <w:ind w:right="630"/>
        <w:rPr>
          <w:sz w:val="20"/>
        </w:rPr>
      </w:pPr>
      <w:r>
        <w:rPr>
          <w:sz w:val="20"/>
        </w:rPr>
        <w:t xml:space="preserve">Pollution </w:t>
      </w:r>
      <w:r w:rsidR="00F77C99">
        <w:rPr>
          <w:sz w:val="20"/>
        </w:rPr>
        <w:t>L</w:t>
      </w:r>
      <w:r>
        <w:rPr>
          <w:sz w:val="20"/>
        </w:rPr>
        <w:t xml:space="preserve">iability </w:t>
      </w:r>
      <w:r w:rsidR="00F77C99">
        <w:rPr>
          <w:sz w:val="20"/>
        </w:rPr>
        <w:t>I</w:t>
      </w:r>
      <w:r>
        <w:rPr>
          <w:sz w:val="20"/>
        </w:rPr>
        <w:t xml:space="preserve">nsurance </w:t>
      </w:r>
      <w:r w:rsidR="0065568F">
        <w:rPr>
          <w:sz w:val="20"/>
        </w:rPr>
        <w:t xml:space="preserve">with limits not less than $5 million per occurrence and $5 million annual aggregate.  The policy will include coverage for claims </w:t>
      </w:r>
      <w:r>
        <w:rPr>
          <w:sz w:val="20"/>
        </w:rPr>
        <w:t>for bodily injury, property damage and environmental damage resulting from</w:t>
      </w:r>
      <w:r w:rsidR="00B96736">
        <w:rPr>
          <w:sz w:val="20"/>
        </w:rPr>
        <w:t xml:space="preserve"> </w:t>
      </w:r>
      <w:r>
        <w:rPr>
          <w:sz w:val="20"/>
        </w:rPr>
        <w:t xml:space="preserve">pollution and related cleanup costs incurred arising out of the work or services to be performed under this contract.  </w:t>
      </w:r>
      <w:r w:rsidR="0065568F">
        <w:rPr>
          <w:sz w:val="20"/>
        </w:rPr>
        <w:t xml:space="preserve">The policy shall not contain exclusions for lead-based paint, asbestos, mold, fungi and bacteria liability coverage.  </w:t>
      </w:r>
      <w:r>
        <w:rPr>
          <w:sz w:val="20"/>
        </w:rPr>
        <w:t xml:space="preserve">Coverage shall be provided for both </w:t>
      </w:r>
      <w:r w:rsidR="00442C2F">
        <w:rPr>
          <w:sz w:val="20"/>
        </w:rPr>
        <w:t>work</w:t>
      </w:r>
      <w:r>
        <w:rPr>
          <w:sz w:val="20"/>
        </w:rPr>
        <w:t xml:space="preserve"> performed on site, as well as during the transport of hazardous materials.</w:t>
      </w:r>
      <w:r w:rsidR="00B96736">
        <w:rPr>
          <w:sz w:val="20"/>
        </w:rPr>
        <w:t xml:space="preserve">  When the scope of subcontractor work includes hazardous material remediation, asbestos and/or lead based paint abatement or </w:t>
      </w:r>
      <w:r w:rsidR="0065568F">
        <w:rPr>
          <w:sz w:val="20"/>
        </w:rPr>
        <w:t>removal,</w:t>
      </w:r>
      <w:r w:rsidR="00B96736">
        <w:rPr>
          <w:sz w:val="20"/>
        </w:rPr>
        <w:t xml:space="preserve"> the subcontractor shall provide minimum limits of liability of $5 million per occurrence and $5 million annual aggregate.</w:t>
      </w:r>
    </w:p>
    <w:p w:rsidR="00EC2039" w:rsidRDefault="00EC2039">
      <w:pPr>
        <w:pStyle w:val="BodyText"/>
        <w:spacing w:before="7"/>
        <w:rPr>
          <w:sz w:val="20"/>
        </w:rPr>
      </w:pPr>
    </w:p>
    <w:p w:rsidR="00EC2039" w:rsidRDefault="00040474">
      <w:pPr>
        <w:pStyle w:val="ListParagraph"/>
        <w:numPr>
          <w:ilvl w:val="1"/>
          <w:numId w:val="1"/>
        </w:numPr>
        <w:tabs>
          <w:tab w:val="left" w:pos="697"/>
        </w:tabs>
        <w:spacing w:line="276" w:lineRule="auto"/>
        <w:ind w:right="213" w:hanging="576"/>
      </w:pPr>
      <w:r>
        <w:t xml:space="preserve">Deductibles and Self-Insured Retentions. </w:t>
      </w:r>
      <w:r w:rsidR="00810066">
        <w:t xml:space="preserve"> </w:t>
      </w:r>
      <w:r>
        <w:t xml:space="preserve">Any deductibles or self-insured retentions must be declared to, and approved by, the </w:t>
      </w:r>
      <w:r w:rsidR="003F287F">
        <w:t>JCC</w:t>
      </w:r>
      <w:r>
        <w:t xml:space="preserve">. </w:t>
      </w:r>
      <w:r w:rsidR="00810066">
        <w:t xml:space="preserve"> </w:t>
      </w:r>
      <w:r>
        <w:t xml:space="preserve">The deductible and/or self-insured retention of the policies shall not limit or apply to </w:t>
      </w:r>
      <w:r w:rsidR="00F76414">
        <w:t xml:space="preserve">SPF’s </w:t>
      </w:r>
      <w:r>
        <w:t xml:space="preserve">liability to the </w:t>
      </w:r>
      <w:r w:rsidR="003F287F">
        <w:t>JCC</w:t>
      </w:r>
      <w:r>
        <w:t xml:space="preserve"> and shall be the sole responsibility of</w:t>
      </w:r>
      <w:r>
        <w:rPr>
          <w:spacing w:val="-7"/>
        </w:rPr>
        <w:t xml:space="preserve"> </w:t>
      </w:r>
      <w:r w:rsidR="00F76414">
        <w:t>SPF</w:t>
      </w:r>
      <w:r>
        <w:t>.</w:t>
      </w:r>
    </w:p>
    <w:p w:rsidR="00EC2039" w:rsidRDefault="00EC2039">
      <w:pPr>
        <w:pStyle w:val="BodyText"/>
        <w:spacing w:before="5"/>
        <w:rPr>
          <w:sz w:val="20"/>
        </w:rPr>
      </w:pPr>
    </w:p>
    <w:p w:rsidR="00EC2039" w:rsidRDefault="00040474">
      <w:pPr>
        <w:pStyle w:val="ListParagraph"/>
        <w:numPr>
          <w:ilvl w:val="1"/>
          <w:numId w:val="1"/>
        </w:numPr>
        <w:tabs>
          <w:tab w:val="left" w:pos="697"/>
        </w:tabs>
        <w:spacing w:line="276" w:lineRule="auto"/>
        <w:ind w:right="308" w:hanging="576"/>
        <w:jc w:val="both"/>
      </w:pPr>
      <w:r>
        <w:t>Other Insurance Provisions. The Commercial General Liability</w:t>
      </w:r>
      <w:r w:rsidR="00B77275">
        <w:t>,</w:t>
      </w:r>
      <w:r>
        <w:t xml:space="preserve"> Commercial Automobile Liability </w:t>
      </w:r>
      <w:r w:rsidR="00B77275">
        <w:t>and Pollution Liability insurance</w:t>
      </w:r>
      <w:r>
        <w:t xml:space="preserve"> required by </w:t>
      </w:r>
      <w:r w:rsidR="00F76414">
        <w:t>the Contract</w:t>
      </w:r>
      <w:r>
        <w:t xml:space="preserve"> must contain, or be endorsed to contain, the following</w:t>
      </w:r>
      <w:r>
        <w:rPr>
          <w:spacing w:val="-3"/>
        </w:rPr>
        <w:t xml:space="preserve"> </w:t>
      </w:r>
      <w:r>
        <w:t>provisions:</w:t>
      </w:r>
    </w:p>
    <w:p w:rsidR="00EC2039" w:rsidRDefault="00EC2039">
      <w:pPr>
        <w:pStyle w:val="BodyText"/>
        <w:spacing w:before="6"/>
        <w:rPr>
          <w:sz w:val="20"/>
        </w:rPr>
      </w:pPr>
    </w:p>
    <w:p w:rsidR="00EC2039" w:rsidRDefault="00040474">
      <w:pPr>
        <w:pStyle w:val="ListParagraph"/>
        <w:numPr>
          <w:ilvl w:val="2"/>
          <w:numId w:val="1"/>
        </w:numPr>
        <w:tabs>
          <w:tab w:val="left" w:pos="1415"/>
          <w:tab w:val="left" w:pos="1416"/>
        </w:tabs>
        <w:spacing w:line="276" w:lineRule="auto"/>
        <w:ind w:right="168" w:hanging="719"/>
        <w:rPr>
          <w:sz w:val="20"/>
        </w:rPr>
      </w:pPr>
      <w:r>
        <w:rPr>
          <w:sz w:val="20"/>
        </w:rPr>
        <w:t>The</w:t>
      </w:r>
      <w:r>
        <w:rPr>
          <w:spacing w:val="-3"/>
          <w:sz w:val="20"/>
        </w:rPr>
        <w:t xml:space="preserve"> </w:t>
      </w:r>
      <w:r>
        <w:rPr>
          <w:sz w:val="20"/>
        </w:rPr>
        <w:t>State</w:t>
      </w:r>
      <w:r>
        <w:rPr>
          <w:spacing w:val="-2"/>
          <w:sz w:val="20"/>
        </w:rPr>
        <w:t xml:space="preserve"> </w:t>
      </w:r>
      <w:r>
        <w:rPr>
          <w:sz w:val="20"/>
        </w:rPr>
        <w:t>of</w:t>
      </w:r>
      <w:r>
        <w:rPr>
          <w:spacing w:val="-1"/>
          <w:sz w:val="20"/>
        </w:rPr>
        <w:t xml:space="preserve"> </w:t>
      </w:r>
      <w:r>
        <w:rPr>
          <w:sz w:val="20"/>
        </w:rPr>
        <w:t>California,</w:t>
      </w:r>
      <w:r>
        <w:rPr>
          <w:spacing w:val="-3"/>
          <w:sz w:val="20"/>
        </w:rPr>
        <w:t xml:space="preserve"> </w:t>
      </w:r>
      <w:r>
        <w:rPr>
          <w:sz w:val="20"/>
        </w:rPr>
        <w:t>the</w:t>
      </w:r>
      <w:r>
        <w:rPr>
          <w:spacing w:val="-4"/>
          <w:sz w:val="20"/>
        </w:rPr>
        <w:t xml:space="preserve"> </w:t>
      </w:r>
      <w:r>
        <w:rPr>
          <w:sz w:val="20"/>
        </w:rPr>
        <w:t>Judicial</w:t>
      </w:r>
      <w:r>
        <w:rPr>
          <w:spacing w:val="-3"/>
          <w:sz w:val="20"/>
        </w:rPr>
        <w:t xml:space="preserve"> </w:t>
      </w:r>
      <w:r>
        <w:rPr>
          <w:sz w:val="20"/>
        </w:rPr>
        <w:t>Council</w:t>
      </w:r>
      <w:r>
        <w:rPr>
          <w:spacing w:val="-2"/>
          <w:sz w:val="20"/>
        </w:rPr>
        <w:t xml:space="preserve"> </w:t>
      </w:r>
      <w:r>
        <w:rPr>
          <w:sz w:val="20"/>
        </w:rPr>
        <w:t>of</w:t>
      </w:r>
      <w:r>
        <w:rPr>
          <w:spacing w:val="-4"/>
          <w:sz w:val="20"/>
        </w:rPr>
        <w:t xml:space="preserve"> </w:t>
      </w:r>
      <w:r>
        <w:rPr>
          <w:sz w:val="20"/>
        </w:rPr>
        <w:t>California,</w:t>
      </w:r>
      <w:r>
        <w:rPr>
          <w:spacing w:val="-1"/>
          <w:sz w:val="20"/>
        </w:rPr>
        <w:t xml:space="preserve"> </w:t>
      </w:r>
      <w:r>
        <w:rPr>
          <w:sz w:val="20"/>
        </w:rPr>
        <w:t>the</w:t>
      </w:r>
      <w:r>
        <w:rPr>
          <w:spacing w:val="-4"/>
          <w:sz w:val="20"/>
        </w:rPr>
        <w:t xml:space="preserve"> </w:t>
      </w:r>
      <w:r>
        <w:rPr>
          <w:sz w:val="20"/>
        </w:rPr>
        <w:t>Courts,</w:t>
      </w:r>
      <w:r>
        <w:rPr>
          <w:spacing w:val="-3"/>
          <w:sz w:val="20"/>
        </w:rPr>
        <w:t xml:space="preserve"> </w:t>
      </w:r>
      <w:r>
        <w:rPr>
          <w:sz w:val="20"/>
        </w:rPr>
        <w:t>the</w:t>
      </w:r>
      <w:r>
        <w:rPr>
          <w:spacing w:val="-5"/>
          <w:sz w:val="20"/>
        </w:rPr>
        <w:t xml:space="preserve"> </w:t>
      </w:r>
      <w:r>
        <w:rPr>
          <w:sz w:val="20"/>
        </w:rPr>
        <w:t>Counties,</w:t>
      </w:r>
      <w:r>
        <w:rPr>
          <w:spacing w:val="-3"/>
          <w:sz w:val="20"/>
        </w:rPr>
        <w:t xml:space="preserve"> </w:t>
      </w:r>
      <w:r>
        <w:rPr>
          <w:sz w:val="20"/>
        </w:rPr>
        <w:t>and the officers, officials, employees, and agents of those entities, are to be named as additional insured with the same type and amount of coverage as</w:t>
      </w:r>
      <w:r>
        <w:rPr>
          <w:spacing w:val="-8"/>
          <w:sz w:val="20"/>
        </w:rPr>
        <w:t xml:space="preserve"> </w:t>
      </w:r>
      <w:r w:rsidR="00F76414">
        <w:rPr>
          <w:sz w:val="20"/>
        </w:rPr>
        <w:t>SPF</w:t>
      </w:r>
      <w:r>
        <w:rPr>
          <w:sz w:val="20"/>
        </w:rPr>
        <w:t>.</w:t>
      </w:r>
    </w:p>
    <w:p w:rsidR="00EC2039" w:rsidRDefault="00EC2039">
      <w:pPr>
        <w:pStyle w:val="BodyText"/>
        <w:spacing w:before="5"/>
        <w:rPr>
          <w:sz w:val="20"/>
        </w:rPr>
      </w:pPr>
    </w:p>
    <w:p w:rsidR="00EC2039" w:rsidRDefault="00040474">
      <w:pPr>
        <w:pStyle w:val="ListParagraph"/>
        <w:numPr>
          <w:ilvl w:val="2"/>
          <w:numId w:val="1"/>
        </w:numPr>
        <w:tabs>
          <w:tab w:val="left" w:pos="1416"/>
          <w:tab w:val="left" w:pos="1417"/>
        </w:tabs>
        <w:spacing w:line="276" w:lineRule="auto"/>
        <w:ind w:left="1416" w:right="164"/>
        <w:rPr>
          <w:sz w:val="20"/>
        </w:rPr>
      </w:pPr>
      <w:r>
        <w:rPr>
          <w:sz w:val="20"/>
        </w:rPr>
        <w:t xml:space="preserve">To the extent of </w:t>
      </w:r>
      <w:r w:rsidR="00F76414">
        <w:rPr>
          <w:sz w:val="20"/>
        </w:rPr>
        <w:t xml:space="preserve">SPF’s </w:t>
      </w:r>
      <w:r>
        <w:rPr>
          <w:sz w:val="20"/>
        </w:rPr>
        <w:t xml:space="preserve">negligence, </w:t>
      </w:r>
      <w:r w:rsidR="00F76414">
        <w:rPr>
          <w:sz w:val="20"/>
        </w:rPr>
        <w:t xml:space="preserve">SPF’s </w:t>
      </w:r>
      <w:r>
        <w:rPr>
          <w:sz w:val="20"/>
        </w:rPr>
        <w:t xml:space="preserve">insurance coverage shall be primary insurance. Any insurance and/or self-insurance maintained by the </w:t>
      </w:r>
      <w:r w:rsidR="003F287F">
        <w:rPr>
          <w:sz w:val="20"/>
        </w:rPr>
        <w:t>JCC</w:t>
      </w:r>
      <w:r>
        <w:rPr>
          <w:sz w:val="20"/>
        </w:rPr>
        <w:t>, its officers, officials, employees,</w:t>
      </w:r>
      <w:r>
        <w:rPr>
          <w:spacing w:val="-4"/>
          <w:sz w:val="20"/>
        </w:rPr>
        <w:t xml:space="preserve"> </w:t>
      </w:r>
      <w:r>
        <w:rPr>
          <w:sz w:val="20"/>
        </w:rPr>
        <w:t>or</w:t>
      </w:r>
      <w:r>
        <w:rPr>
          <w:spacing w:val="-2"/>
          <w:sz w:val="20"/>
        </w:rPr>
        <w:t xml:space="preserve"> </w:t>
      </w:r>
      <w:r>
        <w:rPr>
          <w:sz w:val="20"/>
        </w:rPr>
        <w:t>agents</w:t>
      </w:r>
      <w:r>
        <w:rPr>
          <w:spacing w:val="-4"/>
          <w:sz w:val="20"/>
        </w:rPr>
        <w:t xml:space="preserve"> </w:t>
      </w:r>
      <w:r>
        <w:rPr>
          <w:sz w:val="20"/>
        </w:rPr>
        <w:t>shall</w:t>
      </w:r>
      <w:r>
        <w:rPr>
          <w:spacing w:val="-2"/>
          <w:sz w:val="20"/>
        </w:rPr>
        <w:t xml:space="preserve"> </w:t>
      </w:r>
      <w:r>
        <w:rPr>
          <w:sz w:val="20"/>
        </w:rPr>
        <w:t>not</w:t>
      </w:r>
      <w:r>
        <w:rPr>
          <w:spacing w:val="-3"/>
          <w:sz w:val="20"/>
        </w:rPr>
        <w:t xml:space="preserve"> </w:t>
      </w:r>
      <w:r>
        <w:rPr>
          <w:sz w:val="20"/>
        </w:rPr>
        <w:t>contribute</w:t>
      </w:r>
      <w:r>
        <w:rPr>
          <w:spacing w:val="-5"/>
          <w:sz w:val="20"/>
        </w:rPr>
        <w:t xml:space="preserve"> </w:t>
      </w:r>
      <w:r>
        <w:rPr>
          <w:sz w:val="20"/>
        </w:rPr>
        <w:t>with</w:t>
      </w:r>
      <w:r>
        <w:rPr>
          <w:spacing w:val="-3"/>
          <w:sz w:val="20"/>
        </w:rPr>
        <w:t xml:space="preserve"> </w:t>
      </w:r>
      <w:r>
        <w:rPr>
          <w:sz w:val="20"/>
        </w:rPr>
        <w:t>the</w:t>
      </w:r>
      <w:r>
        <w:rPr>
          <w:spacing w:val="-2"/>
          <w:sz w:val="20"/>
        </w:rPr>
        <w:t xml:space="preserve"> </w:t>
      </w:r>
      <w:r>
        <w:rPr>
          <w:sz w:val="20"/>
        </w:rPr>
        <w:t>insurance</w:t>
      </w:r>
      <w:r>
        <w:rPr>
          <w:spacing w:val="-5"/>
          <w:sz w:val="20"/>
        </w:rPr>
        <w:t xml:space="preserve"> </w:t>
      </w:r>
      <w:r>
        <w:rPr>
          <w:sz w:val="20"/>
        </w:rPr>
        <w:t>or</w:t>
      </w:r>
      <w:r>
        <w:rPr>
          <w:spacing w:val="-2"/>
          <w:sz w:val="20"/>
        </w:rPr>
        <w:t xml:space="preserve"> </w:t>
      </w:r>
      <w:r>
        <w:rPr>
          <w:sz w:val="20"/>
        </w:rPr>
        <w:t>benefit</w:t>
      </w:r>
      <w:r>
        <w:rPr>
          <w:spacing w:val="-1"/>
          <w:sz w:val="20"/>
        </w:rPr>
        <w:t xml:space="preserve"> </w:t>
      </w:r>
      <w:r w:rsidR="00D26CA5">
        <w:rPr>
          <w:sz w:val="20"/>
        </w:rPr>
        <w:t>SPF</w:t>
      </w:r>
      <w:r w:rsidR="00D26CA5">
        <w:rPr>
          <w:spacing w:val="-2"/>
          <w:sz w:val="20"/>
        </w:rPr>
        <w:t xml:space="preserve"> </w:t>
      </w:r>
      <w:r>
        <w:rPr>
          <w:sz w:val="20"/>
        </w:rPr>
        <w:t>in</w:t>
      </w:r>
      <w:r>
        <w:rPr>
          <w:spacing w:val="1"/>
          <w:sz w:val="20"/>
        </w:rPr>
        <w:t xml:space="preserve"> </w:t>
      </w:r>
      <w:r>
        <w:rPr>
          <w:sz w:val="20"/>
        </w:rPr>
        <w:t>any</w:t>
      </w:r>
      <w:r>
        <w:rPr>
          <w:spacing w:val="-4"/>
          <w:sz w:val="20"/>
        </w:rPr>
        <w:t xml:space="preserve"> </w:t>
      </w:r>
      <w:r>
        <w:rPr>
          <w:sz w:val="20"/>
        </w:rPr>
        <w:t>way.</w:t>
      </w:r>
    </w:p>
    <w:p w:rsidR="00EC2039" w:rsidRDefault="00EC2039">
      <w:pPr>
        <w:pStyle w:val="BodyText"/>
        <w:spacing w:before="5"/>
        <w:rPr>
          <w:sz w:val="20"/>
        </w:rPr>
      </w:pPr>
    </w:p>
    <w:p w:rsidR="00EC2039" w:rsidRDefault="00D26CA5">
      <w:pPr>
        <w:pStyle w:val="ListParagraph"/>
        <w:numPr>
          <w:ilvl w:val="2"/>
          <w:numId w:val="1"/>
        </w:numPr>
        <w:tabs>
          <w:tab w:val="left" w:pos="1416"/>
          <w:tab w:val="left" w:pos="1417"/>
        </w:tabs>
        <w:spacing w:line="276" w:lineRule="auto"/>
        <w:ind w:left="1416" w:right="376"/>
        <w:rPr>
          <w:sz w:val="20"/>
        </w:rPr>
      </w:pPr>
      <w:r>
        <w:rPr>
          <w:sz w:val="20"/>
        </w:rPr>
        <w:t xml:space="preserve">SPF’s </w:t>
      </w:r>
      <w:r w:rsidR="00040474">
        <w:rPr>
          <w:sz w:val="20"/>
        </w:rPr>
        <w:t>insurance shall apply separately to each insured against whom a claim is</w:t>
      </w:r>
      <w:r w:rsidR="00040474">
        <w:rPr>
          <w:spacing w:val="-32"/>
          <w:sz w:val="20"/>
        </w:rPr>
        <w:t xml:space="preserve"> </w:t>
      </w:r>
      <w:r w:rsidR="00040474">
        <w:rPr>
          <w:sz w:val="20"/>
        </w:rPr>
        <w:t>made and/or lawsuit is brought, except with respect to the limits of the insurer’s</w:t>
      </w:r>
      <w:r w:rsidR="00040474">
        <w:rPr>
          <w:spacing w:val="-17"/>
          <w:sz w:val="20"/>
        </w:rPr>
        <w:t xml:space="preserve"> </w:t>
      </w:r>
      <w:r w:rsidR="00040474">
        <w:rPr>
          <w:sz w:val="20"/>
        </w:rPr>
        <w:t>liability.</w:t>
      </w:r>
    </w:p>
    <w:p w:rsidR="00EC2039" w:rsidRDefault="00EC2039">
      <w:pPr>
        <w:pStyle w:val="BodyText"/>
        <w:spacing w:before="7"/>
        <w:rPr>
          <w:sz w:val="20"/>
        </w:rPr>
      </w:pPr>
    </w:p>
    <w:p w:rsidR="00EC2039" w:rsidRDefault="00D26CA5">
      <w:pPr>
        <w:pStyle w:val="ListParagraph"/>
        <w:numPr>
          <w:ilvl w:val="1"/>
          <w:numId w:val="1"/>
        </w:numPr>
        <w:tabs>
          <w:tab w:val="left" w:pos="697"/>
        </w:tabs>
        <w:spacing w:line="273" w:lineRule="auto"/>
        <w:ind w:left="695" w:right="233" w:hanging="575"/>
      </w:pPr>
      <w:r>
        <w:t xml:space="preserve">SPF </w:t>
      </w:r>
      <w:r w:rsidR="00040474">
        <w:t xml:space="preserve">shall provide the </w:t>
      </w:r>
      <w:r w:rsidR="003F287F">
        <w:t>JCC</w:t>
      </w:r>
      <w:r w:rsidR="00040474">
        <w:t xml:space="preserve"> certificates of insurance satisfactory to the </w:t>
      </w:r>
      <w:r w:rsidR="003F287F">
        <w:t>JCC</w:t>
      </w:r>
      <w:r w:rsidR="00040474">
        <w:t xml:space="preserve"> evidencing all required insurance is in force before </w:t>
      </w:r>
      <w:r>
        <w:t xml:space="preserve">SPF </w:t>
      </w:r>
      <w:r w:rsidR="00040474">
        <w:t xml:space="preserve">begins any Work under </w:t>
      </w:r>
      <w:r>
        <w:t>the Contract</w:t>
      </w:r>
      <w:r w:rsidR="00040474">
        <w:t>.</w:t>
      </w:r>
    </w:p>
    <w:p w:rsidR="00EC2039" w:rsidRDefault="00EC2039">
      <w:pPr>
        <w:pStyle w:val="BodyText"/>
        <w:spacing w:before="10"/>
        <w:rPr>
          <w:sz w:val="20"/>
        </w:rPr>
      </w:pPr>
    </w:p>
    <w:p w:rsidR="00EC2039" w:rsidRDefault="00D26CA5" w:rsidP="003F287F">
      <w:pPr>
        <w:pStyle w:val="ListParagraph"/>
        <w:numPr>
          <w:ilvl w:val="1"/>
          <w:numId w:val="1"/>
        </w:numPr>
        <w:tabs>
          <w:tab w:val="left" w:pos="696"/>
        </w:tabs>
        <w:spacing w:before="90" w:line="273" w:lineRule="auto"/>
        <w:ind w:right="118"/>
      </w:pPr>
      <w:r>
        <w:t xml:space="preserve">SPF </w:t>
      </w:r>
      <w:r w:rsidR="00040474">
        <w:t>shall waive any right of recovery or subrogation</w:t>
      </w:r>
      <w:r w:rsidR="00040474" w:rsidRPr="003F287F">
        <w:rPr>
          <w:spacing w:val="-33"/>
        </w:rPr>
        <w:t xml:space="preserve"> </w:t>
      </w:r>
      <w:r w:rsidR="00040474">
        <w:t>they</w:t>
      </w:r>
      <w:r w:rsidR="003F287F">
        <w:t xml:space="preserve"> </w:t>
      </w:r>
      <w:r w:rsidR="00040474">
        <w:t>may have against the State of California, the Judicial Council of California, the Courts, the Counties, and the officers, officials, employees, and agents of those entities.</w:t>
      </w:r>
    </w:p>
    <w:p w:rsidR="00EC2039" w:rsidRDefault="00EC2039">
      <w:pPr>
        <w:pStyle w:val="BodyText"/>
        <w:spacing w:before="11"/>
        <w:rPr>
          <w:sz w:val="20"/>
        </w:rPr>
      </w:pPr>
    </w:p>
    <w:p w:rsidR="00EC2039" w:rsidRDefault="00040474">
      <w:pPr>
        <w:pStyle w:val="ListParagraph"/>
        <w:numPr>
          <w:ilvl w:val="1"/>
          <w:numId w:val="1"/>
        </w:numPr>
        <w:tabs>
          <w:tab w:val="left" w:pos="696"/>
        </w:tabs>
        <w:spacing w:line="276" w:lineRule="auto"/>
        <w:ind w:left="695" w:hanging="576"/>
        <w:jc w:val="both"/>
      </w:pPr>
      <w:r>
        <w:t xml:space="preserve">If at any time the foregoing </w:t>
      </w:r>
      <w:r w:rsidR="00D26CA5">
        <w:t xml:space="preserve">SPF’s </w:t>
      </w:r>
      <w:r>
        <w:t xml:space="preserve">policies become unsatisfactory to the </w:t>
      </w:r>
      <w:r w:rsidR="003F287F">
        <w:t>JCC</w:t>
      </w:r>
      <w:r>
        <w:t xml:space="preserve"> as to form or substance, or if a company issuing any such policy shall be or become unsatisfactory to the </w:t>
      </w:r>
      <w:r w:rsidR="003F287F">
        <w:t>JCC</w:t>
      </w:r>
      <w:r>
        <w:t xml:space="preserve">, </w:t>
      </w:r>
      <w:r w:rsidR="00D26CA5">
        <w:t xml:space="preserve">SPF </w:t>
      </w:r>
      <w:r>
        <w:t xml:space="preserve">shall, upon Notice to that effect from the </w:t>
      </w:r>
      <w:r w:rsidR="003F287F">
        <w:t>JCC</w:t>
      </w:r>
      <w:r>
        <w:t xml:space="preserve">, promptly obtain a new policy, and shall </w:t>
      </w:r>
      <w:r>
        <w:lastRenderedPageBreak/>
        <w:t xml:space="preserve">submit the same to the </w:t>
      </w:r>
      <w:r w:rsidR="003F287F">
        <w:t>JCC</w:t>
      </w:r>
      <w:r>
        <w:t>, with the appropriate certificates and endorsements, for approval.</w:t>
      </w:r>
    </w:p>
    <w:p w:rsidR="00EC2039" w:rsidRDefault="00EC2039">
      <w:pPr>
        <w:pStyle w:val="BodyText"/>
        <w:spacing w:before="5"/>
        <w:rPr>
          <w:sz w:val="20"/>
        </w:rPr>
      </w:pPr>
    </w:p>
    <w:p w:rsidR="00EC2039" w:rsidRDefault="00040474">
      <w:pPr>
        <w:pStyle w:val="ListParagraph"/>
        <w:numPr>
          <w:ilvl w:val="1"/>
          <w:numId w:val="1"/>
        </w:numPr>
        <w:tabs>
          <w:tab w:val="left" w:pos="696"/>
        </w:tabs>
        <w:spacing w:before="1" w:line="276" w:lineRule="auto"/>
        <w:ind w:left="695" w:right="188" w:hanging="576"/>
      </w:pPr>
      <w:r>
        <w:t xml:space="preserve">All of </w:t>
      </w:r>
      <w:r w:rsidR="00D26CA5">
        <w:t xml:space="preserve">SPF’s </w:t>
      </w:r>
      <w:r>
        <w:t xml:space="preserve">policies shall be endorsed to state that such policies shall not be cancelled, non-renewed, terminated, or reduced in coverage without thirty (30) Days written notice to the </w:t>
      </w:r>
      <w:r w:rsidR="003F287F">
        <w:t>JCC</w:t>
      </w:r>
      <w:r>
        <w:t>.</w:t>
      </w:r>
    </w:p>
    <w:p w:rsidR="00EC2039" w:rsidRDefault="00EC2039">
      <w:pPr>
        <w:pStyle w:val="BodyText"/>
        <w:spacing w:before="6"/>
        <w:rPr>
          <w:sz w:val="20"/>
        </w:rPr>
      </w:pPr>
    </w:p>
    <w:p w:rsidR="00EC2039" w:rsidRPr="00A376EF" w:rsidRDefault="00040474" w:rsidP="00A376EF">
      <w:pPr>
        <w:pStyle w:val="ListParagraph"/>
        <w:numPr>
          <w:ilvl w:val="1"/>
          <w:numId w:val="1"/>
        </w:numPr>
        <w:tabs>
          <w:tab w:val="left" w:pos="696"/>
        </w:tabs>
        <w:spacing w:before="3" w:line="276" w:lineRule="auto"/>
        <w:ind w:left="695" w:right="168" w:hanging="576"/>
        <w:rPr>
          <w:sz w:val="20"/>
        </w:rPr>
      </w:pPr>
      <w:r>
        <w:t xml:space="preserve">In the event that the insurance obtained by </w:t>
      </w:r>
      <w:r w:rsidR="00D26CA5">
        <w:t xml:space="preserve">SPF </w:t>
      </w:r>
      <w:r>
        <w:t xml:space="preserve">does not cover the acts of its Subcontractors, </w:t>
      </w:r>
      <w:r w:rsidR="00D26CA5">
        <w:t xml:space="preserve">SPF </w:t>
      </w:r>
      <w:r>
        <w:t xml:space="preserve">shall ensure that its Subcontractors obtain insurance appropriate to the Work being performed in amounts and with coverage as established by the usual business practices of the </w:t>
      </w:r>
      <w:r w:rsidR="00D26CA5">
        <w:t xml:space="preserve">SPF </w:t>
      </w:r>
      <w:r>
        <w:t>and with the prior approval of the Risk Management Unit, which approval shall not be unreasonably</w:t>
      </w:r>
      <w:r w:rsidRPr="00A376EF">
        <w:rPr>
          <w:spacing w:val="-11"/>
        </w:rPr>
        <w:t xml:space="preserve"> </w:t>
      </w:r>
      <w:r>
        <w:t>withheld.</w:t>
      </w:r>
      <w:bookmarkStart w:id="0" w:name="_GoBack"/>
      <w:bookmarkEnd w:id="0"/>
    </w:p>
    <w:sectPr w:rsidR="00EC2039" w:rsidRPr="00A376EF" w:rsidSect="00A376EF">
      <w:headerReference w:type="default" r:id="rId8"/>
      <w:footerReference w:type="default" r:id="rId9"/>
      <w:pgSz w:w="12240" w:h="15840"/>
      <w:pgMar w:top="1360" w:right="1340" w:bottom="1060" w:left="1320" w:header="1728" w:footer="86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17A" w:rsidRDefault="00040474">
      <w:r>
        <w:separator/>
      </w:r>
    </w:p>
  </w:endnote>
  <w:endnote w:type="continuationSeparator" w:id="0">
    <w:p w:rsidR="0042217A" w:rsidRDefault="0004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039" w:rsidRDefault="00040474">
    <w:pPr>
      <w:pStyle w:val="BodyText"/>
      <w:spacing w:line="14" w:lineRule="auto"/>
      <w:rPr>
        <w:sz w:val="20"/>
      </w:rPr>
    </w:pPr>
    <w:r>
      <w:rPr>
        <w:noProof/>
      </w:rPr>
      <mc:AlternateContent>
        <mc:Choice Requires="wps">
          <w:drawing>
            <wp:anchor distT="0" distB="0" distL="114300" distR="114300" simplePos="0" relativeHeight="503312960" behindDoc="1" locked="0" layoutInCell="1" allowOverlap="1">
              <wp:simplePos x="0" y="0"/>
              <wp:positionH relativeFrom="page">
                <wp:posOffset>3416300</wp:posOffset>
              </wp:positionH>
              <wp:positionV relativeFrom="page">
                <wp:posOffset>9367520</wp:posOffset>
              </wp:positionV>
              <wp:extent cx="952500" cy="165735"/>
              <wp:effectExtent l="0" t="444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039" w:rsidRDefault="00EC2039">
                          <w:pPr>
                            <w:spacing w:before="10"/>
                            <w:ind w:left="2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1" o:spid="_x0000_s1027" type="#_x0000_t202" style="position:absolute;margin-left:269pt;margin-top:737.6pt;width:75pt;height:13.05pt;z-index:-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" filled="f" stroked="f">
              <v:textbox inset="0,0,0,0">
                <w:txbxContent>
                  <w:p w:rsidR="00EC2039" w:rsidRDefault="00EC2039">
                    <w:pPr>
                      <w:spacing w:before="10"/>
                      <w:ind w:left="20"/>
                      <w:rPr>
                        <w:rFonts w:ascii="Times New Roman"/>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17A" w:rsidRDefault="00040474">
      <w:r>
        <w:separator/>
      </w:r>
    </w:p>
  </w:footnote>
  <w:footnote w:type="continuationSeparator" w:id="0">
    <w:p w:rsidR="0042217A" w:rsidRDefault="00040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039" w:rsidRDefault="00040474">
    <w:pPr>
      <w:pStyle w:val="BodyText"/>
      <w:spacing w:line="14" w:lineRule="auto"/>
      <w:rPr>
        <w:sz w:val="20"/>
      </w:rPr>
    </w:pPr>
    <w:r>
      <w:rPr>
        <w:noProof/>
      </w:rPr>
      <mc:AlternateContent>
        <mc:Choice Requires="wps">
          <w:drawing>
            <wp:anchor distT="0" distB="0" distL="114300" distR="114300" simplePos="0" relativeHeight="503312936" behindDoc="1" locked="0" layoutInCell="1" allowOverlap="1">
              <wp:simplePos x="0" y="0"/>
              <wp:positionH relativeFrom="margin">
                <wp:align>left</wp:align>
              </wp:positionH>
              <wp:positionV relativeFrom="topMargin">
                <wp:posOffset>282327</wp:posOffset>
              </wp:positionV>
              <wp:extent cx="3566160" cy="701560"/>
              <wp:effectExtent l="0" t="0" r="152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0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039" w:rsidRPr="00036107" w:rsidRDefault="00A376EF" w:rsidP="00036107">
                          <w:pPr>
                            <w:pStyle w:val="BodyText"/>
                            <w:spacing w:line="252" w:lineRule="exact"/>
                            <w:rPr>
                              <w:rFonts w:ascii="Times New Roman"/>
                              <w:sz w:val="28"/>
                              <w:szCs w:val="28"/>
                            </w:rPr>
                          </w:pPr>
                          <w:r w:rsidRPr="00036107">
                            <w:rPr>
                              <w:rFonts w:ascii="Times New Roman"/>
                              <w:sz w:val="28"/>
                              <w:szCs w:val="28"/>
                            </w:rPr>
                            <w:t>Statewide O&amp;M Facility Maintenance Services RFQ-FS-SP-2019-02-JP</w:t>
                          </w:r>
                        </w:p>
                        <w:p w:rsidR="00A376EF" w:rsidRPr="00036107" w:rsidRDefault="00A376EF" w:rsidP="00036107">
                          <w:pPr>
                            <w:pStyle w:val="BodyText"/>
                            <w:spacing w:line="252" w:lineRule="exact"/>
                            <w:rPr>
                              <w:rFonts w:ascii="Times New Roman"/>
                              <w:sz w:val="28"/>
                              <w:szCs w:val="28"/>
                            </w:rPr>
                          </w:pPr>
                          <w:r w:rsidRPr="00036107">
                            <w:rPr>
                              <w:rFonts w:ascii="Times New Roman"/>
                              <w:sz w:val="28"/>
                              <w:szCs w:val="28"/>
                            </w:rPr>
                            <w:t>Attachment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0;margin-top:22.25pt;width:280.8pt;height:55.25pt;z-index:-35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gyqw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" filled="f" stroked="f">
              <v:textbox inset="0,0,0,0">
                <w:txbxContent>
                  <w:p w:rsidR="00EC2039" w:rsidRPr="00036107" w:rsidRDefault="00A376EF" w:rsidP="00036107">
                    <w:pPr>
                      <w:pStyle w:val="BodyText"/>
                      <w:spacing w:line="252" w:lineRule="exact"/>
                      <w:rPr>
                        <w:rFonts w:ascii="Times New Roman"/>
                        <w:sz w:val="28"/>
                        <w:szCs w:val="28"/>
                      </w:rPr>
                    </w:pPr>
                    <w:r w:rsidRPr="00036107">
                      <w:rPr>
                        <w:rFonts w:ascii="Times New Roman"/>
                        <w:sz w:val="28"/>
                        <w:szCs w:val="28"/>
                      </w:rPr>
                      <w:t>Statewide O&amp;M Facility Maintenance Services RFQ-FS-SP-2019-02-JP</w:t>
                    </w:r>
                  </w:p>
                  <w:p w:rsidR="00A376EF" w:rsidRPr="00036107" w:rsidRDefault="00A376EF" w:rsidP="00036107">
                    <w:pPr>
                      <w:pStyle w:val="BodyText"/>
                      <w:spacing w:line="252" w:lineRule="exact"/>
                      <w:rPr>
                        <w:rFonts w:ascii="Times New Roman"/>
                        <w:sz w:val="28"/>
                        <w:szCs w:val="28"/>
                      </w:rPr>
                    </w:pPr>
                    <w:r w:rsidRPr="00036107">
                      <w:rPr>
                        <w:rFonts w:ascii="Times New Roman"/>
                        <w:sz w:val="28"/>
                        <w:szCs w:val="28"/>
                      </w:rPr>
                      <w:t>Attachment 8</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73DB8"/>
    <w:multiLevelType w:val="multilevel"/>
    <w:tmpl w:val="51EC1BAC"/>
    <w:lvl w:ilvl="0">
      <w:start w:val="18"/>
      <w:numFmt w:val="none"/>
      <w:lvlText w:val="1"/>
      <w:lvlJc w:val="left"/>
      <w:pPr>
        <w:ind w:left="696" w:hanging="577"/>
      </w:pPr>
      <w:rPr>
        <w:rFonts w:hint="default"/>
      </w:rPr>
    </w:lvl>
    <w:lvl w:ilvl="1">
      <w:start w:val="1"/>
      <w:numFmt w:val="decimal"/>
      <w:lvlText w:val="%1%2"/>
      <w:lvlJc w:val="left"/>
      <w:pPr>
        <w:ind w:left="696" w:hanging="577"/>
      </w:pPr>
      <w:rPr>
        <w:rFonts w:ascii="Times New Roman" w:eastAsia="Times New Roman" w:hAnsi="Times New Roman" w:cs="Times New Roman" w:hint="default"/>
        <w:w w:val="100"/>
        <w:sz w:val="22"/>
        <w:szCs w:val="22"/>
      </w:rPr>
    </w:lvl>
    <w:lvl w:ilvl="2">
      <w:start w:val="1"/>
      <w:numFmt w:val="decimal"/>
      <w:lvlText w:val="%1.%2.%3"/>
      <w:lvlJc w:val="left"/>
      <w:pPr>
        <w:ind w:left="1415" w:hanging="720"/>
      </w:pPr>
      <w:rPr>
        <w:rFonts w:ascii="Times New Roman" w:eastAsia="Times New Roman" w:hAnsi="Times New Roman" w:cs="Times New Roman" w:hint="default"/>
        <w:spacing w:val="-2"/>
        <w:w w:val="99"/>
        <w:sz w:val="20"/>
        <w:szCs w:val="20"/>
      </w:rPr>
    </w:lvl>
    <w:lvl w:ilvl="3">
      <w:numFmt w:val="bullet"/>
      <w:lvlText w:val="•"/>
      <w:lvlJc w:val="left"/>
      <w:pPr>
        <w:ind w:left="2702" w:hanging="720"/>
      </w:pPr>
      <w:rPr>
        <w:rFonts w:hint="default"/>
      </w:rPr>
    </w:lvl>
    <w:lvl w:ilvl="4">
      <w:numFmt w:val="bullet"/>
      <w:lvlText w:val="•"/>
      <w:lvlJc w:val="left"/>
      <w:pPr>
        <w:ind w:left="3685" w:hanging="720"/>
      </w:pPr>
      <w:rPr>
        <w:rFonts w:hint="default"/>
      </w:rPr>
    </w:lvl>
    <w:lvl w:ilvl="5">
      <w:numFmt w:val="bullet"/>
      <w:lvlText w:val="•"/>
      <w:lvlJc w:val="left"/>
      <w:pPr>
        <w:ind w:left="4667" w:hanging="720"/>
      </w:pPr>
      <w:rPr>
        <w:rFonts w:hint="default"/>
      </w:rPr>
    </w:lvl>
    <w:lvl w:ilvl="6">
      <w:numFmt w:val="bullet"/>
      <w:lvlText w:val="•"/>
      <w:lvlJc w:val="left"/>
      <w:pPr>
        <w:ind w:left="5650" w:hanging="720"/>
      </w:pPr>
      <w:rPr>
        <w:rFonts w:hint="default"/>
      </w:rPr>
    </w:lvl>
    <w:lvl w:ilvl="7">
      <w:numFmt w:val="bullet"/>
      <w:lvlText w:val="•"/>
      <w:lvlJc w:val="left"/>
      <w:pPr>
        <w:ind w:left="6632" w:hanging="720"/>
      </w:pPr>
      <w:rPr>
        <w:rFonts w:hint="default"/>
      </w:rPr>
    </w:lvl>
    <w:lvl w:ilvl="8">
      <w:numFmt w:val="bullet"/>
      <w:lvlText w:val="•"/>
      <w:lvlJc w:val="left"/>
      <w:pPr>
        <w:ind w:left="7615" w:hanging="720"/>
      </w:pPr>
      <w:rPr>
        <w:rFonts w:hint="default"/>
      </w:rPr>
    </w:lvl>
  </w:abstractNum>
  <w:abstractNum w:abstractNumId="1" w15:restartNumberingAfterBreak="0">
    <w:nsid w:val="65CB7A3C"/>
    <w:multiLevelType w:val="multilevel"/>
    <w:tmpl w:val="7598AFD2"/>
    <w:lvl w:ilvl="0">
      <w:start w:val="17"/>
      <w:numFmt w:val="decimal"/>
      <w:lvlText w:val="%1"/>
      <w:lvlJc w:val="left"/>
      <w:pPr>
        <w:ind w:left="696" w:hanging="577"/>
      </w:pPr>
      <w:rPr>
        <w:rFonts w:hint="default"/>
      </w:rPr>
    </w:lvl>
    <w:lvl w:ilvl="1">
      <w:start w:val="4"/>
      <w:numFmt w:val="decimal"/>
      <w:lvlText w:val="%1.%2"/>
      <w:lvlJc w:val="left"/>
      <w:pPr>
        <w:ind w:left="696" w:hanging="577"/>
      </w:pPr>
      <w:rPr>
        <w:rFonts w:ascii="Times New Roman" w:eastAsia="Times New Roman" w:hAnsi="Times New Roman" w:cs="Times New Roman" w:hint="default"/>
        <w:w w:val="100"/>
        <w:sz w:val="22"/>
        <w:szCs w:val="22"/>
      </w:rPr>
    </w:lvl>
    <w:lvl w:ilvl="2">
      <w:numFmt w:val="bullet"/>
      <w:lvlText w:val="•"/>
      <w:lvlJc w:val="left"/>
      <w:pPr>
        <w:ind w:left="1686" w:hanging="577"/>
      </w:pPr>
      <w:rPr>
        <w:rFonts w:hint="default"/>
      </w:rPr>
    </w:lvl>
    <w:lvl w:ilvl="3">
      <w:numFmt w:val="bullet"/>
      <w:lvlText w:val="•"/>
      <w:lvlJc w:val="left"/>
      <w:pPr>
        <w:ind w:left="2673" w:hanging="577"/>
      </w:pPr>
      <w:rPr>
        <w:rFonts w:hint="default"/>
      </w:rPr>
    </w:lvl>
    <w:lvl w:ilvl="4">
      <w:numFmt w:val="bullet"/>
      <w:lvlText w:val="•"/>
      <w:lvlJc w:val="left"/>
      <w:pPr>
        <w:ind w:left="3660" w:hanging="577"/>
      </w:pPr>
      <w:rPr>
        <w:rFonts w:hint="default"/>
      </w:rPr>
    </w:lvl>
    <w:lvl w:ilvl="5">
      <w:numFmt w:val="bullet"/>
      <w:lvlText w:val="•"/>
      <w:lvlJc w:val="left"/>
      <w:pPr>
        <w:ind w:left="4646" w:hanging="577"/>
      </w:pPr>
      <w:rPr>
        <w:rFonts w:hint="default"/>
      </w:rPr>
    </w:lvl>
    <w:lvl w:ilvl="6">
      <w:numFmt w:val="bullet"/>
      <w:lvlText w:val="•"/>
      <w:lvlJc w:val="left"/>
      <w:pPr>
        <w:ind w:left="5633" w:hanging="577"/>
      </w:pPr>
      <w:rPr>
        <w:rFonts w:hint="default"/>
      </w:rPr>
    </w:lvl>
    <w:lvl w:ilvl="7">
      <w:numFmt w:val="bullet"/>
      <w:lvlText w:val="•"/>
      <w:lvlJc w:val="left"/>
      <w:pPr>
        <w:ind w:left="6620" w:hanging="577"/>
      </w:pPr>
      <w:rPr>
        <w:rFonts w:hint="default"/>
      </w:rPr>
    </w:lvl>
    <w:lvl w:ilvl="8">
      <w:numFmt w:val="bullet"/>
      <w:lvlText w:val="•"/>
      <w:lvlJc w:val="left"/>
      <w:pPr>
        <w:ind w:left="7606" w:hanging="57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39"/>
    <w:rsid w:val="00036107"/>
    <w:rsid w:val="00040474"/>
    <w:rsid w:val="002D6A4F"/>
    <w:rsid w:val="002F7753"/>
    <w:rsid w:val="003F287F"/>
    <w:rsid w:val="0042217A"/>
    <w:rsid w:val="00442C2F"/>
    <w:rsid w:val="00473FA0"/>
    <w:rsid w:val="00560F6B"/>
    <w:rsid w:val="0065568F"/>
    <w:rsid w:val="007744FE"/>
    <w:rsid w:val="00810066"/>
    <w:rsid w:val="008800E5"/>
    <w:rsid w:val="009F544A"/>
    <w:rsid w:val="00A376EF"/>
    <w:rsid w:val="00B77275"/>
    <w:rsid w:val="00B96736"/>
    <w:rsid w:val="00D26CA5"/>
    <w:rsid w:val="00EC2039"/>
    <w:rsid w:val="00F76414"/>
    <w:rsid w:val="00F7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8ABDD73-06FE-4758-BFBD-BF976CB0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95" w:right="104"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0474"/>
    <w:pPr>
      <w:tabs>
        <w:tab w:val="center" w:pos="4680"/>
        <w:tab w:val="right" w:pos="9360"/>
      </w:tabs>
    </w:pPr>
  </w:style>
  <w:style w:type="character" w:customStyle="1" w:styleId="HeaderChar">
    <w:name w:val="Header Char"/>
    <w:basedOn w:val="DefaultParagraphFont"/>
    <w:link w:val="Header"/>
    <w:uiPriority w:val="99"/>
    <w:rsid w:val="00040474"/>
    <w:rPr>
      <w:rFonts w:ascii="Cambria" w:eastAsia="Cambria" w:hAnsi="Cambria" w:cs="Cambria"/>
    </w:rPr>
  </w:style>
  <w:style w:type="paragraph" w:styleId="Footer">
    <w:name w:val="footer"/>
    <w:basedOn w:val="Normal"/>
    <w:link w:val="FooterChar"/>
    <w:uiPriority w:val="99"/>
    <w:unhideWhenUsed/>
    <w:rsid w:val="00040474"/>
    <w:pPr>
      <w:tabs>
        <w:tab w:val="center" w:pos="4680"/>
        <w:tab w:val="right" w:pos="9360"/>
      </w:tabs>
    </w:pPr>
  </w:style>
  <w:style w:type="character" w:customStyle="1" w:styleId="FooterChar">
    <w:name w:val="Footer Char"/>
    <w:basedOn w:val="DefaultParagraphFont"/>
    <w:link w:val="Footer"/>
    <w:uiPriority w:val="99"/>
    <w:rsid w:val="00040474"/>
    <w:rPr>
      <w:rFonts w:ascii="Cambria" w:eastAsia="Cambria" w:hAnsi="Cambria" w:cs="Cambria"/>
    </w:rPr>
  </w:style>
  <w:style w:type="paragraph" w:styleId="BalloonText">
    <w:name w:val="Balloon Text"/>
    <w:basedOn w:val="Normal"/>
    <w:link w:val="BalloonTextChar"/>
    <w:uiPriority w:val="99"/>
    <w:semiHidden/>
    <w:unhideWhenUsed/>
    <w:rsid w:val="00B96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36"/>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D854-06A0-417F-AD15-3A17DE225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Chappelle, Jennifer</dc:creator>
  <cp:lastModifiedBy>Sinning</cp:lastModifiedBy>
  <cp:revision>4</cp:revision>
  <dcterms:created xsi:type="dcterms:W3CDTF">2019-07-02T21:57:00Z</dcterms:created>
  <dcterms:modified xsi:type="dcterms:W3CDTF">2019-07-03T02:21:00Z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Canon iR5075                    </vt:lpwstr>
  </property>
  <property fmtid="{D5CDD505-2E9C-101B-9397-08002B2CF9AE}" pid="4" name="LastSaved">
    <vt:filetime>2019-03-15T00:00:00Z</vt:filetime>
  </property>
</Properties>
</file>