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1ACD" w:rsidRDefault="00B719B3" w:rsidP="00B719B3">
      <w:pPr>
        <w:spacing w:after="149" w:line="259" w:lineRule="auto"/>
        <w:jc w:val="center"/>
      </w:pPr>
      <w:r>
        <w:rPr>
          <w:b/>
          <w:sz w:val="22"/>
        </w:rPr>
        <w:t>ATTACHMENT 2</w:t>
      </w:r>
    </w:p>
    <w:p w:rsidR="00A01ACD" w:rsidRDefault="00105BB0">
      <w:pPr>
        <w:spacing w:after="94" w:line="259" w:lineRule="auto"/>
        <w:ind w:left="5" w:firstLine="0"/>
        <w:jc w:val="center"/>
      </w:pPr>
      <w:r>
        <w:rPr>
          <w:b/>
        </w:rPr>
        <w:t xml:space="preserve">JBCL APPENDIX </w:t>
      </w:r>
    </w:p>
    <w:p w:rsidR="00A01ACD" w:rsidRDefault="00105BB0">
      <w:pPr>
        <w:spacing w:after="74" w:line="240" w:lineRule="auto"/>
        <w:ind w:left="1" w:firstLine="0"/>
      </w:pPr>
      <w:r>
        <w:rPr>
          <w:i/>
        </w:rPr>
        <w:t xml:space="preserve">This JBCL Appendix contains the provisions required for compliance with Public Contract Code (“PCC”), part 2.5, enacted under Senate Bill 78 (Stats. 2011, </w:t>
      </w:r>
      <w:proofErr w:type="spellStart"/>
      <w:r>
        <w:rPr>
          <w:i/>
        </w:rPr>
        <w:t>ch.</w:t>
      </w:r>
      <w:proofErr w:type="spellEnd"/>
      <w:r>
        <w:rPr>
          <w:i/>
        </w:rPr>
        <w:t xml:space="preserve"> 10), and the Judicial Branch Contracting Manual </w:t>
      </w:r>
      <w:bookmarkStart w:id="0" w:name="_GoBack"/>
      <w:bookmarkEnd w:id="0"/>
      <w:r>
        <w:rPr>
          <w:i/>
        </w:rPr>
        <w:t xml:space="preserve">(“JBCM”) adopted pursuant to that law. In this appendix, (i) “Agreement” refers to the agreement into which this appendix is incorporated, (ii) “JBE” refers to the California judicial branch entity that is a party to the Agreement, (iii) “Contractor” refers to the other party to the Agreement, and (iv) “Consulting Services” refers to those services described in chapter 8, appendix C, section 1 of the JBCM. </w:t>
      </w:r>
    </w:p>
    <w:p w:rsidR="00A01ACD" w:rsidRDefault="00105BB0">
      <w:pPr>
        <w:spacing w:after="0" w:line="259" w:lineRule="auto"/>
        <w:ind w:left="361" w:firstLine="0"/>
      </w:pPr>
      <w:r>
        <w:rPr>
          <w:b/>
        </w:rPr>
        <w:t xml:space="preserve"> </w:t>
      </w:r>
    </w:p>
    <w:p w:rsidR="00A01ACD" w:rsidRDefault="00105BB0">
      <w:pPr>
        <w:numPr>
          <w:ilvl w:val="0"/>
          <w:numId w:val="1"/>
        </w:numPr>
      </w:pPr>
      <w:r>
        <w:rPr>
          <w:b/>
        </w:rPr>
        <w:t xml:space="preserve">Contractor Certification Clauses.  </w:t>
      </w:r>
      <w:r>
        <w:t>Contractor certifies that the following representations and warranties are true. Contractor shall cause these representations and warranties to remain true during the term of this Agreement, and Contractor shall promptly notify the JBE if any representation and warranty becomes untrue.</w:t>
      </w:r>
      <w:r>
        <w:rPr>
          <w:b/>
        </w:rPr>
        <w:t xml:space="preserve"> </w:t>
      </w:r>
    </w:p>
    <w:p w:rsidR="00A01ACD" w:rsidRDefault="00105BB0">
      <w:pPr>
        <w:spacing w:after="0" w:line="259" w:lineRule="auto"/>
        <w:ind w:left="901" w:firstLine="0"/>
      </w:pPr>
      <w:r>
        <w:rPr>
          <w:b/>
          <w:i/>
        </w:rPr>
        <w:t xml:space="preserve"> </w:t>
      </w:r>
    </w:p>
    <w:p w:rsidR="00A01ACD" w:rsidRDefault="00105BB0">
      <w:pPr>
        <w:numPr>
          <w:ilvl w:val="1"/>
          <w:numId w:val="1"/>
        </w:numPr>
      </w:pPr>
      <w:r>
        <w:rPr>
          <w:b/>
        </w:rPr>
        <w:t>Nondiscrimination.</w:t>
      </w:r>
      <w:r>
        <w:t xml:space="preserve"> Contractor complies with the federal Americans with Disabilities Act (42 U.S.C. 12101 et seq.), and California’s Fair Employment and Housing Act (Government Code section 12990 et seq.) and associated regulations (Code of Regulations, title 2, section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obligations of nondiscrimination.  </w:t>
      </w:r>
    </w:p>
    <w:p w:rsidR="00A01ACD" w:rsidRDefault="00105BB0">
      <w:pPr>
        <w:spacing w:after="0" w:line="259" w:lineRule="auto"/>
        <w:ind w:left="720" w:firstLine="0"/>
      </w:pPr>
      <w:r>
        <w:t xml:space="preserve"> </w:t>
      </w:r>
    </w:p>
    <w:p w:rsidR="00A01ACD" w:rsidRDefault="00105BB0">
      <w:pPr>
        <w:numPr>
          <w:ilvl w:val="1"/>
          <w:numId w:val="1"/>
        </w:numPr>
      </w:pPr>
      <w:r>
        <w:rPr>
          <w:b/>
        </w:rPr>
        <w:t>National Labor Relations Board.</w:t>
      </w:r>
      <w:r>
        <w:t xml:space="preserve"> No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 </w:t>
      </w:r>
    </w:p>
    <w:p w:rsidR="00A01ACD" w:rsidRDefault="00105BB0">
      <w:pPr>
        <w:spacing w:after="0" w:line="259" w:lineRule="auto"/>
        <w:ind w:left="720" w:firstLine="0"/>
      </w:pPr>
      <w:r>
        <w:t xml:space="preserve"> </w:t>
      </w:r>
    </w:p>
    <w:p w:rsidR="00A01ACD" w:rsidRDefault="00105BB0">
      <w:pPr>
        <w:numPr>
          <w:ilvl w:val="1"/>
          <w:numId w:val="1"/>
        </w:numPr>
      </w:pPr>
      <w:r>
        <w:rPr>
          <w:b/>
        </w:rPr>
        <w:t>Not an Expatriate Corporation.</w:t>
      </w:r>
      <w:r>
        <w:t xml:space="preserve"> Contractor is not an expatriate corporation or subsidiary of an expatriate corporation within the meaning of PCC 10286.1, and is eligible to contract with the JBE. </w:t>
      </w:r>
    </w:p>
    <w:p w:rsidR="00A01ACD" w:rsidRDefault="00105BB0">
      <w:pPr>
        <w:spacing w:after="0" w:line="259" w:lineRule="auto"/>
        <w:ind w:left="0" w:firstLine="0"/>
      </w:pPr>
      <w:r>
        <w:t xml:space="preserve"> </w:t>
      </w:r>
    </w:p>
    <w:p w:rsidR="00A01ACD" w:rsidRDefault="00105BB0">
      <w:pPr>
        <w:numPr>
          <w:ilvl w:val="0"/>
          <w:numId w:val="1"/>
        </w:numPr>
      </w:pPr>
      <w:r>
        <w:rPr>
          <w:b/>
        </w:rPr>
        <w:t xml:space="preserve">Provisions Applicable Only to Certain Agreements. </w:t>
      </w:r>
      <w:r>
        <w:t xml:space="preserve">The provisions in this section are </w:t>
      </w:r>
      <w:r>
        <w:rPr>
          <w:b/>
          <w:i/>
          <w:color w:val="FF0000"/>
        </w:rPr>
        <w:t>applicable only to the types of agreements specified in the title of each subsection</w:t>
      </w:r>
      <w:r>
        <w:t xml:space="preserve">. If the Agreement is not of the type described in the title of a subsection, then that subsection does not apply to the Agreement. </w:t>
      </w:r>
    </w:p>
    <w:p w:rsidR="00A01ACD" w:rsidRDefault="00105BB0">
      <w:pPr>
        <w:spacing w:after="0" w:line="259" w:lineRule="auto"/>
        <w:ind w:left="451" w:firstLine="0"/>
      </w:pPr>
      <w:r>
        <w:t xml:space="preserve"> </w:t>
      </w:r>
    </w:p>
    <w:p w:rsidR="00A01ACD" w:rsidRDefault="00105BB0">
      <w:pPr>
        <w:numPr>
          <w:ilvl w:val="1"/>
          <w:numId w:val="1"/>
        </w:numPr>
      </w:pPr>
      <w:r>
        <w:rPr>
          <w:b/>
        </w:rPr>
        <w:t xml:space="preserve">Agreements over $10,000. </w:t>
      </w:r>
      <w:r>
        <w:t>This Agreement is subject to examinations and audit by the State Auditor for a period of three years after final payment.</w:t>
      </w:r>
      <w:r>
        <w:rPr>
          <w:b/>
        </w:rPr>
        <w:t xml:space="preserve"> </w:t>
      </w:r>
    </w:p>
    <w:p w:rsidR="00A01ACD" w:rsidRDefault="00105BB0">
      <w:pPr>
        <w:spacing w:after="0" w:line="259" w:lineRule="auto"/>
        <w:ind w:left="719" w:firstLine="0"/>
      </w:pPr>
      <w:r>
        <w:rPr>
          <w:b/>
        </w:rPr>
        <w:t xml:space="preserve"> </w:t>
      </w:r>
    </w:p>
    <w:p w:rsidR="00A01ACD" w:rsidRDefault="00105BB0">
      <w:pPr>
        <w:numPr>
          <w:ilvl w:val="1"/>
          <w:numId w:val="1"/>
        </w:numPr>
      </w:pPr>
      <w:r>
        <w:rPr>
          <w:b/>
        </w:rPr>
        <w:t xml:space="preserve">Agreements over $50,000. </w:t>
      </w:r>
      <w:r>
        <w:t xml:space="preserve">No JBE funds received under this Agreement will be used to assist, promote or deter union organizing during the term of this Agreement (including any extension or renewal term).  </w:t>
      </w:r>
    </w:p>
    <w:p w:rsidR="00A01ACD" w:rsidRDefault="00105BB0">
      <w:pPr>
        <w:spacing w:after="0" w:line="259" w:lineRule="auto"/>
        <w:ind w:left="719" w:firstLine="0"/>
      </w:pPr>
      <w:r>
        <w:t xml:space="preserve"> </w:t>
      </w:r>
    </w:p>
    <w:p w:rsidR="00A01ACD" w:rsidRDefault="00105BB0">
      <w:pPr>
        <w:numPr>
          <w:ilvl w:val="1"/>
          <w:numId w:val="1"/>
        </w:numPr>
      </w:pPr>
      <w:r>
        <w:rPr>
          <w:b/>
        </w:rPr>
        <w:t xml:space="preserve">Agreements of $100,000 or More. </w:t>
      </w:r>
      <w:r>
        <w:t xml:space="preserve">Contractor certifies that it is, and will remain for the term of the Agreement, in compliance with: (i) PCC 10295.3, which places limitations on contracts with contractors who discriminate in the provision of benefits on the basis of marital or domestic partner status; and (ii) PCC 10295.35, which places limitations on contracts with contractors that discriminate in the provision of benefits on the basis of an employee’s or dependent’s actual or perceived gender identity.  Contractor recognizes the importance of child and family support obligations and fully complies with (and will continue to comply with during the term of this Agreement) all applicable state and federal laws relating to child and family support enforcement, including, but not limited to, disclosure of information </w:t>
      </w:r>
      <w:r>
        <w:lastRenderedPageBreak/>
        <w:t>and compliance with earnings assignment orders, as provided in Family Code section 5200 et seq</w:t>
      </w:r>
      <w:r>
        <w:rPr>
          <w:i/>
        </w:rPr>
        <w:t xml:space="preserve">. </w:t>
      </w:r>
      <w:r>
        <w:t xml:space="preserve">Contractor provides the names of all new employees to the New Hire Registry maintained by the California </w:t>
      </w:r>
    </w:p>
    <w:p w:rsidR="00A01ACD" w:rsidRDefault="00105BB0">
      <w:pPr>
        <w:ind w:left="716"/>
      </w:pPr>
      <w:r>
        <w:t xml:space="preserve">Employment Development Department. </w:t>
      </w:r>
      <w:r>
        <w:rPr>
          <w:b/>
        </w:rPr>
        <w:t>Contractor certifies, under penalty of perjury</w:t>
      </w:r>
      <w:r>
        <w:t xml:space="preserve">, that it: (i) is in </w:t>
      </w:r>
    </w:p>
    <w:p w:rsidR="00A01ACD" w:rsidRDefault="00105BB0">
      <w:pPr>
        <w:ind w:left="716"/>
      </w:pPr>
      <w:r>
        <w:t xml:space="preserve">compliance with the Unruh Civil Rights Act (Section 51 of the Civil Code); (ii) is in compliance with the California Fair Employment and Housing Act (Chapter 7 (commencing with Section 12960) of Part 2.8 of Division 3 of the Title 2 of the Government Code); and (iii)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 </w:t>
      </w:r>
    </w:p>
    <w:p w:rsidR="00A01ACD" w:rsidRDefault="00105BB0">
      <w:pPr>
        <w:spacing w:after="0" w:line="259" w:lineRule="auto"/>
        <w:ind w:left="1441" w:firstLine="0"/>
      </w:pPr>
      <w:r>
        <w:t xml:space="preserve"> </w:t>
      </w:r>
    </w:p>
    <w:p w:rsidR="00A01ACD" w:rsidRDefault="00105BB0">
      <w:pPr>
        <w:numPr>
          <w:ilvl w:val="1"/>
          <w:numId w:val="1"/>
        </w:numPr>
      </w:pPr>
      <w:r>
        <w:rPr>
          <w:b/>
        </w:rPr>
        <w:t xml:space="preserve">Agreements for Services over $200,000 (Excluding Consulting Services). </w:t>
      </w:r>
      <w:r>
        <w:t xml:space="preserve">Contractor shall give priority consideration in filling vacancies in positions funded by this Agreement to qualified recipients of aid under Welfare and Institutions Code section 11200 in accordance with PCC 10353.  </w:t>
      </w:r>
    </w:p>
    <w:p w:rsidR="00A01ACD" w:rsidRDefault="00105BB0">
      <w:pPr>
        <w:spacing w:after="0" w:line="259" w:lineRule="auto"/>
        <w:ind w:left="721" w:firstLine="0"/>
      </w:pPr>
      <w:r>
        <w:t xml:space="preserve"> </w:t>
      </w:r>
    </w:p>
    <w:p w:rsidR="00A01ACD" w:rsidRDefault="00105BB0">
      <w:pPr>
        <w:numPr>
          <w:ilvl w:val="1"/>
          <w:numId w:val="1"/>
        </w:numPr>
      </w:pPr>
      <w:r>
        <w:rPr>
          <w:b/>
        </w:rPr>
        <w:t>Agreements of $1,000,000 or More.</w:t>
      </w:r>
      <w:r>
        <w:t xml:space="preserve"> 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JBE to enter into this Agreement pursuant to PCC 2203(c).   </w:t>
      </w:r>
    </w:p>
    <w:p w:rsidR="00A01ACD" w:rsidRDefault="00105BB0">
      <w:pPr>
        <w:spacing w:after="0" w:line="259" w:lineRule="auto"/>
        <w:ind w:left="721" w:firstLine="0"/>
      </w:pPr>
      <w:r>
        <w:t xml:space="preserve"> </w:t>
      </w:r>
    </w:p>
    <w:p w:rsidR="00A01ACD" w:rsidRDefault="00105BB0">
      <w:pPr>
        <w:numPr>
          <w:ilvl w:val="1"/>
          <w:numId w:val="1"/>
        </w:numPr>
      </w:pPr>
      <w:r>
        <w:rPr>
          <w:b/>
        </w:rPr>
        <w:t xml:space="preserve">Agreements for the Purchase of Goods. </w:t>
      </w:r>
      <w:r>
        <w:t xml:space="preserve">Contractor shall not sell or use any article or product as a “loss leader” as defined in Business and Professions Code section 17030.   </w:t>
      </w:r>
    </w:p>
    <w:p w:rsidR="00A01ACD" w:rsidRDefault="00105BB0">
      <w:pPr>
        <w:spacing w:after="0" w:line="259" w:lineRule="auto"/>
        <w:ind w:left="720" w:firstLine="0"/>
      </w:pPr>
      <w:r>
        <w:t xml:space="preserve"> </w:t>
      </w:r>
    </w:p>
    <w:p w:rsidR="00A01ACD" w:rsidRDefault="00105BB0">
      <w:pPr>
        <w:numPr>
          <w:ilvl w:val="1"/>
          <w:numId w:val="1"/>
        </w:numPr>
      </w:pPr>
      <w:r>
        <w:rPr>
          <w:b/>
        </w:rPr>
        <w:t xml:space="preserve">Agreements for the Purchase of Certain Goods, and Printing, Janitorial, and Building Maintenance Services Agreements. </w:t>
      </w:r>
      <w:r>
        <w:t xml:space="preserve">If Contractor will sell to the JBE, or use in the performance of this Agreement, goods specified in PCC 12207 (for example, certain paper products, office supplies, mulch, glass products, lubricating oils, plastic products, paint, antifreeze, tires and tire-derived products, and metal products), then with respect to those goods: (i) Contractor shall use recycled products in the performance of this Agreement to the maximum extent doing so is economically feasible, and (ii) upon request, Contractor shall certify in writing under penalty of perjury, the minimum, if not exact, percentage of </w:t>
      </w:r>
      <w:proofErr w:type="spellStart"/>
      <w:r>
        <w:t>post consumer</w:t>
      </w:r>
      <w:proofErr w:type="spellEnd"/>
      <w:r>
        <w:t xml:space="preserve">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  </w:t>
      </w:r>
    </w:p>
    <w:p w:rsidR="00A01ACD" w:rsidRDefault="00105BB0">
      <w:pPr>
        <w:spacing w:after="0" w:line="259" w:lineRule="auto"/>
        <w:ind w:left="720" w:firstLine="0"/>
      </w:pPr>
      <w:r>
        <w:t xml:space="preserve"> </w:t>
      </w:r>
    </w:p>
    <w:p w:rsidR="00A01ACD" w:rsidRDefault="00105BB0">
      <w:pPr>
        <w:numPr>
          <w:ilvl w:val="1"/>
          <w:numId w:val="1"/>
        </w:numPr>
      </w:pPr>
      <w:r>
        <w:rPr>
          <w:b/>
        </w:rPr>
        <w:t xml:space="preserve">Agreements for Furnishing Equipment, Materials, Supplies, or for Laundering Services. </w:t>
      </w:r>
      <w:r>
        <w:t xml:space="preserve">Contractor certifies that no apparel, garments or corresponding accessories, equipment, materials, or supplies furnished to the JBE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t>Sweatfree</w:t>
      </w:r>
      <w:proofErr w:type="spellEnd"/>
      <w:r>
        <w:t xml:space="preserv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JBE.  </w:t>
      </w:r>
    </w:p>
    <w:p w:rsidR="00A01ACD" w:rsidRDefault="00105BB0">
      <w:pPr>
        <w:spacing w:after="0" w:line="259" w:lineRule="auto"/>
        <w:ind w:left="720" w:firstLine="0"/>
      </w:pPr>
      <w:r>
        <w:t xml:space="preserve"> </w:t>
      </w:r>
    </w:p>
    <w:p w:rsidR="00A01ACD" w:rsidRDefault="00105BB0">
      <w:pPr>
        <w:numPr>
          <w:ilvl w:val="1"/>
          <w:numId w:val="1"/>
        </w:numPr>
      </w:pPr>
      <w:r>
        <w:rPr>
          <w:b/>
        </w:rPr>
        <w:t xml:space="preserve">Agreements relating to DVBE Incentive. </w:t>
      </w:r>
      <w:r>
        <w:t xml:space="preserve"> 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(i) Contractor </w:t>
      </w:r>
      <w:r>
        <w:lastRenderedPageBreak/>
        <w:t xml:space="preserve">must use the DVBE subcontractors identified in its bid or proposal, unless the JBE approves in writing replacement by another DVBE subcontractor in accordance with the terms of this Agreement; and (ii) Contractor must within sixty (60) days of receiving final payment under this Agreement certify in a report to the JBE: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 </w:t>
      </w:r>
    </w:p>
    <w:p w:rsidR="00A01ACD" w:rsidRDefault="00105BB0">
      <w:pPr>
        <w:spacing w:after="0" w:line="259" w:lineRule="auto"/>
        <w:ind w:left="721" w:firstLine="0"/>
      </w:pPr>
      <w:r>
        <w:rPr>
          <w:b/>
        </w:rPr>
        <w:t xml:space="preserve"> </w:t>
      </w:r>
    </w:p>
    <w:p w:rsidR="00A01ACD" w:rsidRDefault="00105BB0">
      <w:pPr>
        <w:numPr>
          <w:ilvl w:val="1"/>
          <w:numId w:val="1"/>
        </w:numPr>
      </w:pPr>
      <w:r>
        <w:rPr>
          <w:b/>
        </w:rPr>
        <w:t xml:space="preserve">Agreements Resulting from Competitive Solicitations. </w:t>
      </w:r>
      <w:r>
        <w:t xml:space="preserve">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Such assignment shall be made and become effective at the time the JBE tenders final payment to the Contractor. If the JBE receives, either through judgment or settlement, a monetary recovery for a cause of action assigned under this section,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Upon demand in writing by the Contractor, the JBE shall, within one year from such demand, reassign the cause of action assigned under this part if the Contractor has been or may have been injured by the violation of law for which the cause of action arose and (a) the JBE has not been injured thereby, or (b) the JBE declines to file a court action for the cause of action. </w:t>
      </w:r>
    </w:p>
    <w:p w:rsidR="00A01ACD" w:rsidRDefault="00105BB0">
      <w:pPr>
        <w:spacing w:after="0" w:line="259" w:lineRule="auto"/>
        <w:ind w:left="721" w:firstLine="0"/>
      </w:pPr>
      <w:r>
        <w:t xml:space="preserve"> </w:t>
      </w:r>
    </w:p>
    <w:p w:rsidR="00A01ACD" w:rsidRDefault="00105BB0">
      <w:pPr>
        <w:numPr>
          <w:ilvl w:val="1"/>
          <w:numId w:val="1"/>
        </w:numPr>
      </w:pPr>
      <w:r>
        <w:rPr>
          <w:b/>
        </w:rPr>
        <w:t xml:space="preserve">Agreements for Legal Services. </w:t>
      </w:r>
      <w:r>
        <w:t xml:space="preserve">Contractor shall: (i) adhere to legal cost and billing guidelines designated by the JBE; (ii) adhere to litigation plans designated by the JBE, if applicable; (iii) adhere to case phasing of activities designated by the JBE, if applicable; (iv) submit and adhere to legal budgets as designated by the JBE; (v) maintain legal malpractice insurance in an amount not less than the amount designated by the JBE; and (vi) submit to legal bill audits and law firm audits if so requested by the JBE, whether conducted by employees or designees of the JBE or by any legal cost-control provider retained by the JBE for that purpose. Contractor may be required to submit to a legal cost and utilization review as determined by the JBE. If (a) the value of this Agreement is 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 or an equivalent amount of financial contributions to qualified legal services projects and support centers, as defined in section 6213 of the Business and Professions Code, during each year of the Agreement equal to the lesser of either (A) thirty (30) multiplied by the number of full time attorneys in the firm’s offices in California, with the number of hours prorated on an actual day basis for any period of less than a full year or (B) the number of hours equal to ten percent (10%) of the contract amount divided by the average billing rate of the firm. Failure to make a good faith effort may be cause for nonrenewal of this Agreement or another judicial branch or other state contract for legal </w:t>
      </w:r>
      <w:proofErr w:type="gramStart"/>
      <w:r>
        <w:t>services, and</w:t>
      </w:r>
      <w:proofErr w:type="gramEnd"/>
      <w:r>
        <w:t xml:space="preserve"> may be taken into account when determining the award of future contracts with a judicial branch entity for legal services. </w:t>
      </w:r>
    </w:p>
    <w:p w:rsidR="00A01ACD" w:rsidRDefault="00105BB0">
      <w:pPr>
        <w:spacing w:after="0" w:line="259" w:lineRule="auto"/>
        <w:ind w:left="1" w:firstLine="0"/>
      </w:pPr>
      <w:r>
        <w:t xml:space="preserve"> </w:t>
      </w:r>
    </w:p>
    <w:p w:rsidR="00A01ACD" w:rsidRDefault="00105BB0">
      <w:pPr>
        <w:numPr>
          <w:ilvl w:val="1"/>
          <w:numId w:val="1"/>
        </w:numPr>
      </w:pPr>
      <w:r>
        <w:rPr>
          <w:b/>
        </w:rPr>
        <w:t xml:space="preserve">Agreements Allowing for Reimbursement of Contractor’s Costs. </w:t>
      </w:r>
      <w:r>
        <w:t xml:space="preserve">Contractor must include with any request for reimbursement from the JBE a certification that the Contractor is not seeking </w:t>
      </w:r>
    </w:p>
    <w:p w:rsidR="00A01ACD" w:rsidRDefault="00105BB0">
      <w:pPr>
        <w:ind w:left="716"/>
      </w:pPr>
      <w:r>
        <w:t xml:space="preserve">reimbursement for costs incurred to assist, promote, or deter union organizing. If Contractor incurs costs or makes expenditures to assist, promote or deter union organizing, Contractor will maintain records sufficient to show that no reimbursement from the JBE was sought for these costs, and Contractor will provide those records to the Attorney General upon request.   </w:t>
      </w:r>
    </w:p>
    <w:p w:rsidR="00A01ACD" w:rsidRDefault="00105BB0">
      <w:pPr>
        <w:spacing w:after="0" w:line="259" w:lineRule="auto"/>
        <w:ind w:left="720" w:firstLine="0"/>
      </w:pPr>
      <w:r>
        <w:t xml:space="preserve"> </w:t>
      </w:r>
    </w:p>
    <w:p w:rsidR="00A01ACD" w:rsidRDefault="00105BB0">
      <w:pPr>
        <w:numPr>
          <w:ilvl w:val="1"/>
          <w:numId w:val="1"/>
        </w:numPr>
      </w:pPr>
      <w:r>
        <w:rPr>
          <w:b/>
        </w:rPr>
        <w:lastRenderedPageBreak/>
        <w:t xml:space="preserve">Agreements Performed in California by Contractors that are Corporations, LLCs, or LPs. </w:t>
      </w:r>
      <w:r>
        <w:t xml:space="preserve"> Contractor is, and will remain for the term of the Agreement, qualified to do business and in good standing in California. </w:t>
      </w:r>
    </w:p>
    <w:p w:rsidR="00A01ACD" w:rsidRDefault="00105BB0">
      <w:pPr>
        <w:spacing w:after="0" w:line="259" w:lineRule="auto"/>
        <w:ind w:left="720" w:firstLine="0"/>
      </w:pPr>
      <w:r>
        <w:t xml:space="preserve"> </w:t>
      </w:r>
    </w:p>
    <w:p w:rsidR="00A01ACD" w:rsidRDefault="00105BB0">
      <w:pPr>
        <w:numPr>
          <w:ilvl w:val="1"/>
          <w:numId w:val="1"/>
        </w:numPr>
      </w:pPr>
      <w:r>
        <w:rPr>
          <w:b/>
        </w:rPr>
        <w:t>Agreements that the JBE Cannot Terminate for Convenience.</w:t>
      </w:r>
      <w:r>
        <w:t xml:space="preserve"> The JBE's obligations under this Agreement are subject to the availability of applicable funds. Funding beyond the initial appropriation year is conditioned upon appropriation of sufficient funds to support the activities described in this Agreement. Upon notice, the JBE may terminate this Agreement in whole or in part, without prejudice to any right or remedy of the JBE, if expected or actual funding is withdrawn, reduced, or limited in any way. If this Agreement is terminated for </w:t>
      </w:r>
      <w:proofErr w:type="spellStart"/>
      <w:r>
        <w:t>nonavailability</w:t>
      </w:r>
      <w:proofErr w:type="spellEnd"/>
      <w:r>
        <w:t xml:space="preserve"> of funds, the JBE will pay Contractor for the fair value of work satisfactorily performed prior to the termination, not to exceed the total contract amount.  </w:t>
      </w:r>
    </w:p>
    <w:p w:rsidR="00A01ACD" w:rsidRDefault="00105BB0">
      <w:pPr>
        <w:spacing w:after="0" w:line="259" w:lineRule="auto"/>
        <w:ind w:left="1" w:firstLine="0"/>
      </w:pPr>
      <w:r>
        <w:t xml:space="preserve"> </w:t>
      </w:r>
    </w:p>
    <w:p w:rsidR="00A01ACD" w:rsidRDefault="00105BB0">
      <w:pPr>
        <w:numPr>
          <w:ilvl w:val="1"/>
          <w:numId w:val="1"/>
        </w:numPr>
      </w:pPr>
      <w:r>
        <w:rPr>
          <w:b/>
        </w:rPr>
        <w:t xml:space="preserve">Agreements relating to small business preference.  </w:t>
      </w:r>
      <w:r>
        <w:t xml:space="preserve">This section is applicable if Contractor received a small business preference in connection with this Agreement.  Contractor’s failure to meet the small business commitment set forth in its bid or proposal constitutes a breach of this Agreement.  Contractor must within sixty (60) days of receiving final payment under this Agreement report to the JBE the actual percentage of small/micro business participation that was achieved.  If Contractor is a nonprofit veteran service agency (“NVSA”), Contractor must employ veterans receiving services from the NVSA for not less than 75 percent of the person-hours of direct labor required </w:t>
      </w:r>
      <w:proofErr w:type="gramStart"/>
      <w:r>
        <w:t>for the production of</w:t>
      </w:r>
      <w:proofErr w:type="gramEnd"/>
      <w:r>
        <w:t xml:space="preserve"> goods and the provision of services performed pursuant to this Agreement.</w:t>
      </w:r>
      <w:r>
        <w:rPr>
          <w:b/>
        </w:rPr>
        <w:t xml:space="preserve"> </w:t>
      </w:r>
    </w:p>
    <w:sectPr w:rsidR="00A01ACD">
      <w:headerReference w:type="even" r:id="rId7"/>
      <w:headerReference w:type="default" r:id="rId8"/>
      <w:footerReference w:type="even" r:id="rId9"/>
      <w:footerReference w:type="default" r:id="rId10"/>
      <w:headerReference w:type="first" r:id="rId11"/>
      <w:footerReference w:type="first" r:id="rId12"/>
      <w:pgSz w:w="12240" w:h="15840"/>
      <w:pgMar w:top="1417" w:right="1447" w:bottom="1507" w:left="1439" w:header="622"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06F2" w:rsidRDefault="00105BB0">
      <w:pPr>
        <w:spacing w:after="0" w:line="240" w:lineRule="auto"/>
      </w:pPr>
      <w:r>
        <w:separator/>
      </w:r>
    </w:p>
  </w:endnote>
  <w:endnote w:type="continuationSeparator" w:id="0">
    <w:p w:rsidR="000606F2" w:rsidRDefault="00105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ACD" w:rsidRDefault="00105BB0">
    <w:pPr>
      <w:spacing w:after="17" w:line="259" w:lineRule="auto"/>
      <w:ind w:left="7" w:firstLine="0"/>
      <w:jc w:val="center"/>
    </w:pPr>
    <w:r>
      <w:fldChar w:fldCharType="begin"/>
    </w:r>
    <w:r>
      <w:instrText xml:space="preserve"> PAGE   \* MERGEFORMAT </w:instrText>
    </w:r>
    <w:r>
      <w:fldChar w:fldCharType="separate"/>
    </w:r>
    <w:r>
      <w:t>1</w:t>
    </w:r>
    <w:r>
      <w:fldChar w:fldCharType="end"/>
    </w:r>
    <w:r>
      <w:t xml:space="preserve"> </w:t>
    </w:r>
  </w:p>
  <w:p w:rsidR="00A01ACD" w:rsidRDefault="00105BB0">
    <w:pPr>
      <w:spacing w:after="0" w:line="259" w:lineRule="auto"/>
      <w:ind w:left="1" w:firstLine="0"/>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ACD" w:rsidRDefault="00105BB0">
    <w:pPr>
      <w:spacing w:after="17" w:line="259" w:lineRule="auto"/>
      <w:ind w:left="7" w:firstLine="0"/>
      <w:jc w:val="center"/>
    </w:pPr>
    <w:r>
      <w:fldChar w:fldCharType="begin"/>
    </w:r>
    <w:r>
      <w:instrText xml:space="preserve"> PAGE   \* MERGEFORMAT </w:instrText>
    </w:r>
    <w:r>
      <w:fldChar w:fldCharType="separate"/>
    </w:r>
    <w:r w:rsidR="00356307">
      <w:rPr>
        <w:noProof/>
      </w:rPr>
      <w:t>1</w:t>
    </w:r>
    <w:r>
      <w:fldChar w:fldCharType="end"/>
    </w:r>
    <w:r>
      <w:t xml:space="preserve"> </w:t>
    </w:r>
  </w:p>
  <w:p w:rsidR="00A01ACD" w:rsidRDefault="00105BB0">
    <w:pPr>
      <w:spacing w:after="0" w:line="259" w:lineRule="auto"/>
      <w:ind w:left="1" w:firstLine="0"/>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ACD" w:rsidRDefault="00105BB0">
    <w:pPr>
      <w:spacing w:after="17" w:line="259" w:lineRule="auto"/>
      <w:ind w:left="7" w:firstLine="0"/>
      <w:jc w:val="center"/>
    </w:pPr>
    <w:r>
      <w:fldChar w:fldCharType="begin"/>
    </w:r>
    <w:r>
      <w:instrText xml:space="preserve"> PAGE   \* MERGEFORMAT </w:instrText>
    </w:r>
    <w:r>
      <w:fldChar w:fldCharType="separate"/>
    </w:r>
    <w:r>
      <w:t>1</w:t>
    </w:r>
    <w:r>
      <w:fldChar w:fldCharType="end"/>
    </w:r>
    <w:r>
      <w:t xml:space="preserve"> </w:t>
    </w:r>
  </w:p>
  <w:p w:rsidR="00A01ACD" w:rsidRDefault="00105BB0">
    <w:pPr>
      <w:spacing w:after="0" w:line="259" w:lineRule="auto"/>
      <w:ind w:left="1" w:firstLine="0"/>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06F2" w:rsidRDefault="00105BB0">
      <w:pPr>
        <w:spacing w:after="0" w:line="240" w:lineRule="auto"/>
      </w:pPr>
      <w:r>
        <w:separator/>
      </w:r>
    </w:p>
  </w:footnote>
  <w:footnote w:type="continuationSeparator" w:id="0">
    <w:p w:rsidR="000606F2" w:rsidRDefault="00105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ACD" w:rsidRDefault="00105BB0">
    <w:pPr>
      <w:spacing w:after="0" w:line="259" w:lineRule="auto"/>
      <w:ind w:left="1" w:firstLine="0"/>
    </w:pPr>
    <w:r>
      <w:rPr>
        <w:b/>
        <w:sz w:val="16"/>
      </w:rPr>
      <w:t xml:space="preserve">JBCL APPENDIX </w:t>
    </w:r>
    <w:r>
      <w:rPr>
        <w:i/>
        <w:sz w:val="16"/>
      </w:rPr>
      <w:t xml:space="preserve">(rev. December 2016) </w:t>
    </w: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ACD" w:rsidRDefault="00105BB0">
    <w:pPr>
      <w:spacing w:after="0" w:line="259" w:lineRule="auto"/>
      <w:ind w:left="1" w:firstLine="0"/>
      <w:rPr>
        <w:sz w:val="24"/>
      </w:rPr>
    </w:pPr>
    <w:r>
      <w:rPr>
        <w:b/>
        <w:sz w:val="16"/>
      </w:rPr>
      <w:t xml:space="preserve">JBCL APPENDIX </w:t>
    </w:r>
    <w:r>
      <w:rPr>
        <w:i/>
        <w:sz w:val="16"/>
      </w:rPr>
      <w:t xml:space="preserve">(rev. December 2016) </w:t>
    </w:r>
    <w:r>
      <w:rPr>
        <w:sz w:val="24"/>
      </w:rPr>
      <w:t xml:space="preserve"> </w:t>
    </w:r>
  </w:p>
  <w:p w:rsidR="00105BB0" w:rsidRDefault="00105BB0">
    <w:pPr>
      <w:spacing w:after="0" w:line="259" w:lineRule="auto"/>
      <w:ind w:left="1" w:firstLine="0"/>
      <w:rPr>
        <w:b/>
        <w:sz w:val="16"/>
      </w:rPr>
    </w:pPr>
    <w:r>
      <w:rPr>
        <w:b/>
        <w:sz w:val="16"/>
      </w:rPr>
      <w:t>RFP Titl</w:t>
    </w:r>
    <w:r w:rsidR="00550250">
      <w:rPr>
        <w:b/>
        <w:sz w:val="16"/>
      </w:rPr>
      <w:t xml:space="preserve">e: </w:t>
    </w:r>
    <w:r w:rsidR="009632CB">
      <w:rPr>
        <w:b/>
        <w:sz w:val="16"/>
      </w:rPr>
      <w:t>New Vehicle Purchase</w:t>
    </w:r>
  </w:p>
  <w:p w:rsidR="00105BB0" w:rsidRDefault="00550250">
    <w:pPr>
      <w:spacing w:after="0" w:line="259" w:lineRule="auto"/>
      <w:ind w:left="1" w:firstLine="0"/>
    </w:pPr>
    <w:r>
      <w:rPr>
        <w:b/>
        <w:sz w:val="16"/>
      </w:rPr>
      <w:t xml:space="preserve">IFB Number: </w:t>
    </w:r>
    <w:r w:rsidR="009632CB">
      <w:rPr>
        <w:b/>
        <w:sz w:val="16"/>
      </w:rPr>
      <w:t>RFP-JCC-252020-RB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ACD" w:rsidRDefault="00105BB0">
    <w:pPr>
      <w:spacing w:after="0" w:line="259" w:lineRule="auto"/>
      <w:ind w:left="1" w:firstLine="0"/>
    </w:pPr>
    <w:r>
      <w:rPr>
        <w:b/>
        <w:sz w:val="16"/>
      </w:rPr>
      <w:t xml:space="preserve">JBCL APPENDIX </w:t>
    </w:r>
    <w:r>
      <w:rPr>
        <w:i/>
        <w:sz w:val="16"/>
      </w:rPr>
      <w:t xml:space="preserve">(rev. December 2016) </w:t>
    </w:r>
    <w:r>
      <w:rPr>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53C37"/>
    <w:multiLevelType w:val="multilevel"/>
    <w:tmpl w:val="72DCF4EE"/>
    <w:lvl w:ilvl="0">
      <w:start w:val="1"/>
      <w:numFmt w:val="decimal"/>
      <w:lvlText w:val="%1."/>
      <w:lvlJc w:val="left"/>
      <w:pPr>
        <w:ind w:left="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1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ACD"/>
    <w:rsid w:val="000606F2"/>
    <w:rsid w:val="00105BB0"/>
    <w:rsid w:val="00356307"/>
    <w:rsid w:val="00550250"/>
    <w:rsid w:val="006C1C49"/>
    <w:rsid w:val="009632CB"/>
    <w:rsid w:val="00A01ACD"/>
    <w:rsid w:val="00AF3B61"/>
    <w:rsid w:val="00B6038F"/>
    <w:rsid w:val="00B719B3"/>
    <w:rsid w:val="00B762C7"/>
    <w:rsid w:val="00BD1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A64E0"/>
  <w15:docId w15:val="{083D9CFC-7852-4CA1-ABB2-D14F1E001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49" w:lineRule="auto"/>
      <w:ind w:left="11" w:hanging="10"/>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19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9B3"/>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2283</Words>
  <Characters>13017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Acosta, Alfonso</dc:creator>
  <cp:keywords/>
  <cp:lastModifiedBy>Acosta, Alfonso</cp:lastModifiedBy>
  <cp:revision>2</cp:revision>
  <cp:lastPrinted>2020-02-26T16:05:00Z</cp:lastPrinted>
  <dcterms:created xsi:type="dcterms:W3CDTF">2020-02-26T16:07:00Z</dcterms:created>
  <dcterms:modified xsi:type="dcterms:W3CDTF">2020-02-26T16:07:00Z</dcterms:modified>
</cp:coreProperties>
</file>