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0F66" w14:textId="77777777" w:rsidR="008548E7" w:rsidRDefault="008548E7" w:rsidP="008548E7"/>
    <w:p w14:paraId="33AF9632" w14:textId="77777777" w:rsidR="008548E7" w:rsidRPr="00826B9E" w:rsidRDefault="008548E7" w:rsidP="008548E7">
      <w:pPr>
        <w:pStyle w:val="JBCMHeading2"/>
        <w:jc w:val="center"/>
        <w:rPr>
          <w:rStyle w:val="Heading4Char"/>
          <w:i w:val="0"/>
          <w:iCs/>
        </w:rPr>
      </w:pPr>
      <w:r w:rsidRPr="00826B9E">
        <w:rPr>
          <w:rStyle w:val="Heading4Char"/>
          <w:i w:val="0"/>
          <w:iCs/>
        </w:rPr>
        <w:t>ATTACHMENT 14</w:t>
      </w:r>
    </w:p>
    <w:p w14:paraId="7221C358" w14:textId="77777777" w:rsidR="008548E7" w:rsidRDefault="008548E7" w:rsidP="008548E7">
      <w:pPr>
        <w:spacing w:line="300" w:lineRule="atLeast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COST WORKSHEET</w:t>
      </w:r>
    </w:p>
    <w:p w14:paraId="144FF63E" w14:textId="77777777" w:rsidR="008548E7" w:rsidRDefault="008548E7" w:rsidP="008548E7">
      <w:pPr>
        <w:spacing w:line="300" w:lineRule="atLeast"/>
        <w:jc w:val="center"/>
        <w:rPr>
          <w:rFonts w:cs="Arial"/>
          <w:b/>
          <w:bCs/>
          <w:u w:val="single"/>
        </w:rPr>
      </w:pPr>
    </w:p>
    <w:p w14:paraId="5AA651F5" w14:textId="077067A9" w:rsidR="008548E7" w:rsidRDefault="008548E7" w:rsidP="008548E7">
      <w:pPr>
        <w:spacing w:line="300" w:lineRule="atLeast"/>
        <w:rPr>
          <w:b/>
          <w:bCs/>
        </w:rPr>
      </w:pPr>
      <w:r w:rsidRPr="00565127">
        <w:t xml:space="preserve">The Contractor shall furnish all labor, materials, and equipment necessary to perform the </w:t>
      </w:r>
      <w:r>
        <w:rPr>
          <w:spacing w:val="-2"/>
        </w:rPr>
        <w:t>INFORMATION SYSTEMS SECURITY OUTREACH PROGRAM</w:t>
      </w:r>
      <w:r w:rsidRPr="00565127">
        <w:rPr>
          <w:spacing w:val="-2"/>
        </w:rPr>
        <w:t xml:space="preserve"> SERVICES in accordance with the specifications described</w:t>
      </w:r>
      <w:r w:rsidRPr="00565127">
        <w:t xml:space="preserve"> in </w:t>
      </w:r>
      <w:r>
        <w:t>Attachment 2</w:t>
      </w:r>
      <w:r w:rsidRPr="00565127">
        <w:t xml:space="preserve">, </w:t>
      </w:r>
      <w:r>
        <w:t>Terms and Conditions</w:t>
      </w:r>
      <w:r w:rsidRPr="00565127">
        <w:t>, at the</w:t>
      </w:r>
      <w:r>
        <w:t xml:space="preserve"> blended</w:t>
      </w:r>
      <w:r w:rsidRPr="00565127">
        <w:t xml:space="preserve"> </w:t>
      </w:r>
      <w:r w:rsidR="00697F33">
        <w:t xml:space="preserve">hourly </w:t>
      </w:r>
      <w:r w:rsidRPr="00565127">
        <w:t xml:space="preserve">rates specified below. </w:t>
      </w:r>
      <w:r w:rsidRPr="00565127">
        <w:rPr>
          <w:b/>
          <w:bCs/>
        </w:rPr>
        <w:t xml:space="preserve">Payment for services performed under this Agreement shall be by deliverables </w:t>
      </w:r>
      <w:r>
        <w:rPr>
          <w:b/>
          <w:bCs/>
        </w:rPr>
        <w:t xml:space="preserve">at the blended rate </w:t>
      </w:r>
      <w:r w:rsidRPr="00565127">
        <w:rPr>
          <w:b/>
          <w:bCs/>
        </w:rPr>
        <w:t>on an hourly basis.</w:t>
      </w:r>
      <w:r w:rsidR="009F7B6E">
        <w:rPr>
          <w:b/>
          <w:bCs/>
        </w:rPr>
        <w:t xml:space="preserve"> The blended hourly rate shall not include allowable expenses (</w:t>
      </w:r>
      <w:proofErr w:type="gramStart"/>
      <w:r w:rsidR="009F7B6E">
        <w:rPr>
          <w:b/>
          <w:bCs/>
        </w:rPr>
        <w:t>e.g.</w:t>
      </w:r>
      <w:proofErr w:type="gramEnd"/>
      <w:r w:rsidR="009F7B6E">
        <w:rPr>
          <w:b/>
          <w:bCs/>
        </w:rPr>
        <w:t xml:space="preserve"> travel). </w:t>
      </w:r>
    </w:p>
    <w:p w14:paraId="39A30F01" w14:textId="77777777" w:rsidR="008548E7" w:rsidRDefault="008548E7" w:rsidP="008548E7">
      <w:pPr>
        <w:spacing w:line="300" w:lineRule="atLeast"/>
        <w:rPr>
          <w:b/>
          <w:bCs/>
        </w:rPr>
      </w:pPr>
    </w:p>
    <w:p w14:paraId="3F835B86" w14:textId="4321FC28" w:rsidR="008548E7" w:rsidRDefault="008548E7" w:rsidP="008548E7">
      <w:pPr>
        <w:spacing w:line="300" w:lineRule="atLeast"/>
        <w:rPr>
          <w:b/>
          <w:bCs/>
        </w:rPr>
      </w:pPr>
      <w:r>
        <w:rPr>
          <w:b/>
          <w:bCs/>
        </w:rPr>
        <w:t>The annual amount shall not exceed $1,040,000.00, or $3,120,000.00 for the initial three (3) year term.  The annual amount for each one</w:t>
      </w:r>
      <w:r w:rsidR="00D47597">
        <w:rPr>
          <w:b/>
          <w:bCs/>
        </w:rPr>
        <w:t xml:space="preserve"> (1) </w:t>
      </w:r>
      <w:r>
        <w:rPr>
          <w:b/>
          <w:bCs/>
        </w:rPr>
        <w:t xml:space="preserve">year option term shall not exceed $1,040,000.00. </w:t>
      </w:r>
    </w:p>
    <w:p w14:paraId="2D5B0C6E" w14:textId="77777777" w:rsidR="008548E7" w:rsidRDefault="008548E7" w:rsidP="008548E7">
      <w:pPr>
        <w:spacing w:line="300" w:lineRule="atLeast"/>
        <w:rPr>
          <w:b/>
          <w:bCs/>
        </w:rPr>
      </w:pPr>
    </w:p>
    <w:p w14:paraId="18F8AF41" w14:textId="396C1A64" w:rsidR="008548E7" w:rsidRPr="00CC39DA" w:rsidRDefault="008548E7" w:rsidP="008548E7">
      <w:pPr>
        <w:spacing w:line="300" w:lineRule="atLeast"/>
        <w:rPr>
          <w:i/>
          <w:iCs/>
        </w:rPr>
      </w:pPr>
      <w:r w:rsidRPr="00565127">
        <w:rPr>
          <w:i/>
        </w:rPr>
        <w:t>Submission of this information is mandatory.</w:t>
      </w:r>
      <w:r>
        <w:rPr>
          <w:i/>
        </w:rPr>
        <w:t xml:space="preserve"> </w:t>
      </w:r>
    </w:p>
    <w:p w14:paraId="17681B8B" w14:textId="77777777" w:rsidR="008548E7" w:rsidRDefault="008548E7" w:rsidP="008548E7">
      <w:pPr>
        <w:spacing w:line="300" w:lineRule="atLeast"/>
        <w:rPr>
          <w:b/>
          <w:bCs/>
        </w:rPr>
      </w:pPr>
    </w:p>
    <w:tbl>
      <w:tblPr>
        <w:tblW w:w="81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4230"/>
        <w:gridCol w:w="3515"/>
      </w:tblGrid>
      <w:tr w:rsidR="00E06FBC" w:rsidRPr="00565127" w14:paraId="18F1F07D" w14:textId="77777777" w:rsidTr="004D2ED9">
        <w:trPr>
          <w:trHeight w:hRule="exact" w:val="62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C817E3" w14:textId="0BFE114A" w:rsidR="00E06FBC" w:rsidRPr="00B770AB" w:rsidRDefault="00E06FBC" w:rsidP="00301BFF">
            <w:pPr>
              <w:tabs>
                <w:tab w:val="left" w:pos="10080"/>
              </w:tabs>
              <w:spacing w:before="120" w:after="120"/>
              <w:ind w:left="144"/>
              <w:jc w:val="center"/>
              <w:rPr>
                <w:b/>
                <w:bCs/>
              </w:rPr>
            </w:pPr>
            <w:r w:rsidRPr="00B770AB">
              <w:rPr>
                <w:b/>
                <w:bCs/>
              </w:rPr>
              <w:t>Term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492A8B" w14:textId="17C6A4F4" w:rsidR="00E06FBC" w:rsidRPr="00B770AB" w:rsidRDefault="00E06FBC" w:rsidP="00301BFF">
            <w:pPr>
              <w:tabs>
                <w:tab w:val="left" w:pos="10080"/>
              </w:tabs>
              <w:spacing w:before="120" w:after="120"/>
              <w:ind w:left="144"/>
              <w:jc w:val="center"/>
              <w:rPr>
                <w:b/>
                <w:bCs/>
              </w:rPr>
            </w:pPr>
            <w:r w:rsidRPr="00B770AB">
              <w:rPr>
                <w:b/>
                <w:bCs/>
              </w:rPr>
              <w:t>Blended Hourly Rate</w:t>
            </w:r>
          </w:p>
        </w:tc>
      </w:tr>
      <w:tr w:rsidR="00E06FBC" w:rsidRPr="00565127" w14:paraId="288DCDA6" w14:textId="77777777" w:rsidTr="004D2ED9">
        <w:trPr>
          <w:trHeight w:hRule="exact" w:val="83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D26B" w14:textId="77777777" w:rsidR="00E06FBC" w:rsidRDefault="00E06FBC" w:rsidP="00B770AB">
            <w:pPr>
              <w:tabs>
                <w:tab w:val="left" w:pos="10080"/>
              </w:tabs>
              <w:spacing w:after="120"/>
              <w:ind w:left="144"/>
              <w:jc w:val="center"/>
              <w:rPr>
                <w:b/>
                <w:bCs/>
              </w:rPr>
            </w:pPr>
          </w:p>
          <w:p w14:paraId="521EBF38" w14:textId="77AA4286" w:rsidR="004D2ED9" w:rsidRDefault="004D2ED9" w:rsidP="004D2ED9">
            <w:pPr>
              <w:tabs>
                <w:tab w:val="left" w:pos="10080"/>
              </w:tabs>
              <w:spacing w:after="120"/>
              <w:ind w:left="144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A4A9" w14:textId="27786DF3" w:rsidR="00E06FBC" w:rsidRDefault="00E06FBC" w:rsidP="00B770AB">
            <w:pPr>
              <w:tabs>
                <w:tab w:val="left" w:pos="10080"/>
              </w:tabs>
              <w:spacing w:after="120"/>
              <w:ind w:lef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Initial Term </w:t>
            </w:r>
          </w:p>
          <w:p w14:paraId="64F0922D" w14:textId="5DA37BFC" w:rsidR="00E06FBC" w:rsidRDefault="00E06FBC" w:rsidP="00B770AB">
            <w:pPr>
              <w:tabs>
                <w:tab w:val="left" w:pos="10080"/>
              </w:tabs>
              <w:spacing w:after="120"/>
              <w:ind w:left="144"/>
              <w:jc w:val="center"/>
            </w:pPr>
            <w:r>
              <w:rPr>
                <w:b/>
                <w:bCs/>
              </w:rPr>
              <w:t>(Year 1: July 1, 2023 – June 30, 2024)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BDAF" w14:textId="77777777" w:rsidR="00E06FBC" w:rsidRPr="00565127" w:rsidRDefault="00E06FBC" w:rsidP="00697F33">
            <w:pPr>
              <w:tabs>
                <w:tab w:val="left" w:pos="10080"/>
              </w:tabs>
              <w:spacing w:before="240" w:after="120"/>
              <w:ind w:left="144"/>
              <w:jc w:val="center"/>
            </w:pPr>
          </w:p>
        </w:tc>
      </w:tr>
      <w:tr w:rsidR="00E06FBC" w:rsidRPr="00565127" w14:paraId="0B7E2EFE" w14:textId="77777777" w:rsidTr="004D2ED9">
        <w:trPr>
          <w:trHeight w:hRule="exact" w:val="83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ACB" w14:textId="77777777" w:rsidR="00E06FBC" w:rsidRDefault="00E06FBC" w:rsidP="00B770AB">
            <w:pPr>
              <w:spacing w:after="120" w:line="300" w:lineRule="atLeast"/>
              <w:jc w:val="center"/>
              <w:rPr>
                <w:b/>
                <w:bCs/>
              </w:rPr>
            </w:pPr>
          </w:p>
          <w:p w14:paraId="48F2450E" w14:textId="054DA391" w:rsidR="004D2ED9" w:rsidRDefault="004D2ED9" w:rsidP="00B770AB">
            <w:pPr>
              <w:spacing w:after="120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2282" w14:textId="009AAD2D" w:rsidR="00E06FBC" w:rsidRDefault="00E06FBC" w:rsidP="00B770AB">
            <w:pPr>
              <w:spacing w:after="120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 Term</w:t>
            </w:r>
          </w:p>
          <w:p w14:paraId="0993C0D4" w14:textId="63D86A48" w:rsidR="00E06FBC" w:rsidRDefault="00E06FBC" w:rsidP="00301BFF">
            <w:pPr>
              <w:spacing w:after="120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(Year 2: July 1, 2024 – June 30, 2025)</w:t>
            </w:r>
          </w:p>
          <w:p w14:paraId="04593234" w14:textId="77777777" w:rsidR="00E06FBC" w:rsidRDefault="00E06FBC" w:rsidP="00301BFF">
            <w:pPr>
              <w:tabs>
                <w:tab w:val="left" w:pos="10080"/>
              </w:tabs>
              <w:spacing w:before="120" w:after="120"/>
              <w:ind w:left="144"/>
              <w:jc w:val="center"/>
              <w:rPr>
                <w:b/>
                <w:bCs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964E" w14:textId="77777777" w:rsidR="00E06FBC" w:rsidRPr="00565127" w:rsidRDefault="00E06FBC" w:rsidP="00697F33">
            <w:pPr>
              <w:tabs>
                <w:tab w:val="left" w:pos="10080"/>
              </w:tabs>
              <w:spacing w:before="240" w:after="120"/>
              <w:ind w:left="144"/>
              <w:jc w:val="center"/>
            </w:pPr>
          </w:p>
        </w:tc>
      </w:tr>
      <w:tr w:rsidR="00E06FBC" w:rsidRPr="00565127" w14:paraId="139EE7EF" w14:textId="77777777" w:rsidTr="004D2ED9">
        <w:trPr>
          <w:trHeight w:hRule="exact" w:val="83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37E3" w14:textId="77777777" w:rsidR="00E06FBC" w:rsidRDefault="00E06FBC" w:rsidP="00301BFF">
            <w:pPr>
              <w:spacing w:after="120" w:line="300" w:lineRule="atLeast"/>
              <w:jc w:val="center"/>
              <w:rPr>
                <w:b/>
                <w:bCs/>
              </w:rPr>
            </w:pPr>
          </w:p>
          <w:p w14:paraId="448E456D" w14:textId="26AA7D61" w:rsidR="004D2ED9" w:rsidRDefault="004D2ED9" w:rsidP="00301BFF">
            <w:pPr>
              <w:spacing w:after="120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751C" w14:textId="114FFC49" w:rsidR="00E06FBC" w:rsidRDefault="00E06FBC" w:rsidP="00301BFF">
            <w:pPr>
              <w:spacing w:after="120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 Term</w:t>
            </w:r>
          </w:p>
          <w:p w14:paraId="04E25472" w14:textId="0072300A" w:rsidR="00E06FBC" w:rsidRDefault="00E06FBC" w:rsidP="00301BFF">
            <w:pPr>
              <w:spacing w:after="120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(Year 3: July 1, 2025 – June 30, 2026)</w:t>
            </w:r>
          </w:p>
          <w:p w14:paraId="79CE3F67" w14:textId="77777777" w:rsidR="00E06FBC" w:rsidRDefault="00E06FBC" w:rsidP="00301BFF">
            <w:pPr>
              <w:spacing w:after="12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46C5" w14:textId="77777777" w:rsidR="00E06FBC" w:rsidRPr="00565127" w:rsidRDefault="00E06FBC" w:rsidP="00697F33">
            <w:pPr>
              <w:tabs>
                <w:tab w:val="left" w:pos="10080"/>
              </w:tabs>
              <w:spacing w:before="240" w:after="120"/>
              <w:ind w:left="144"/>
              <w:jc w:val="center"/>
            </w:pPr>
          </w:p>
        </w:tc>
      </w:tr>
      <w:tr w:rsidR="00E06FBC" w:rsidRPr="00565127" w14:paraId="4EF1DAAF" w14:textId="77777777" w:rsidTr="004D2ED9">
        <w:trPr>
          <w:trHeight w:hRule="exact" w:val="83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A722" w14:textId="77777777" w:rsidR="00E06FBC" w:rsidRDefault="00E06FBC" w:rsidP="00301BFF">
            <w:pPr>
              <w:spacing w:after="120" w:line="300" w:lineRule="atLeast"/>
              <w:jc w:val="center"/>
              <w:rPr>
                <w:b/>
                <w:bCs/>
              </w:rPr>
            </w:pPr>
          </w:p>
          <w:p w14:paraId="1FD2CBD2" w14:textId="607BD9D2" w:rsidR="004D2ED9" w:rsidRDefault="004D2ED9" w:rsidP="00301BFF">
            <w:pPr>
              <w:spacing w:after="120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72BF" w14:textId="210A3653" w:rsidR="00E06FBC" w:rsidRDefault="00E06FBC" w:rsidP="00301BFF">
            <w:pPr>
              <w:spacing w:after="120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Option Year 1</w:t>
            </w:r>
          </w:p>
          <w:p w14:paraId="4122E8B2" w14:textId="37A9A7FB" w:rsidR="00E06FBC" w:rsidRDefault="00E06FBC" w:rsidP="00301BFF">
            <w:pPr>
              <w:spacing w:after="120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(July 1, 2026 – June 30, 2027)</w:t>
            </w:r>
          </w:p>
          <w:p w14:paraId="7345D04C" w14:textId="77777777" w:rsidR="00E06FBC" w:rsidRDefault="00E06FBC" w:rsidP="00301BFF">
            <w:pPr>
              <w:spacing w:after="12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F96E" w14:textId="77777777" w:rsidR="00E06FBC" w:rsidRPr="00565127" w:rsidRDefault="00E06FBC" w:rsidP="00697F33">
            <w:pPr>
              <w:tabs>
                <w:tab w:val="left" w:pos="10080"/>
              </w:tabs>
              <w:spacing w:before="240" w:after="120"/>
              <w:ind w:left="144"/>
              <w:jc w:val="center"/>
            </w:pPr>
          </w:p>
        </w:tc>
      </w:tr>
      <w:tr w:rsidR="00E06FBC" w:rsidRPr="00565127" w14:paraId="5D28A8F4" w14:textId="77777777" w:rsidTr="004D2ED9">
        <w:trPr>
          <w:trHeight w:hRule="exact" w:val="83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267C" w14:textId="77777777" w:rsidR="00E06FBC" w:rsidRDefault="00E06FBC" w:rsidP="00301BFF">
            <w:pPr>
              <w:spacing w:after="120" w:line="300" w:lineRule="atLeast"/>
              <w:jc w:val="center"/>
              <w:rPr>
                <w:b/>
                <w:bCs/>
              </w:rPr>
            </w:pPr>
          </w:p>
          <w:p w14:paraId="1CC9B26B" w14:textId="624DC6CB" w:rsidR="004D2ED9" w:rsidRDefault="004D2ED9" w:rsidP="00301BFF">
            <w:pPr>
              <w:spacing w:after="120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50BB" w14:textId="74E1FD92" w:rsidR="00E06FBC" w:rsidRDefault="00E06FBC" w:rsidP="00301BFF">
            <w:pPr>
              <w:spacing w:after="120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Option Year 2</w:t>
            </w:r>
          </w:p>
          <w:p w14:paraId="76A8D1A6" w14:textId="029E1271" w:rsidR="00E06FBC" w:rsidRDefault="00E06FBC" w:rsidP="00301BFF">
            <w:pPr>
              <w:spacing w:after="120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(July 1, 2027 – June 30, 2028)</w:t>
            </w:r>
          </w:p>
          <w:p w14:paraId="457FC497" w14:textId="77777777" w:rsidR="00E06FBC" w:rsidRDefault="00E06FBC" w:rsidP="00301BFF">
            <w:pPr>
              <w:spacing w:after="12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B54A" w14:textId="77777777" w:rsidR="00E06FBC" w:rsidRPr="00565127" w:rsidRDefault="00E06FBC" w:rsidP="00697F33">
            <w:pPr>
              <w:tabs>
                <w:tab w:val="left" w:pos="10080"/>
              </w:tabs>
              <w:spacing w:before="240" w:after="120"/>
              <w:ind w:left="144"/>
              <w:jc w:val="center"/>
            </w:pPr>
          </w:p>
        </w:tc>
      </w:tr>
      <w:tr w:rsidR="004D2ED9" w:rsidRPr="00565127" w14:paraId="00AF3EE5" w14:textId="77777777" w:rsidTr="004D2ED9">
        <w:trPr>
          <w:trHeight w:hRule="exact" w:val="1243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458" w14:textId="77777777" w:rsidR="00200085" w:rsidRDefault="004D2ED9" w:rsidP="004D2ED9">
            <w:pPr>
              <w:spacing w:after="120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Average Blended Hourly Rate </w:t>
            </w:r>
          </w:p>
          <w:p w14:paraId="60BE9E69" w14:textId="5730E402" w:rsidR="004D2ED9" w:rsidRDefault="004D2ED9" w:rsidP="004D2ED9">
            <w:pPr>
              <w:spacing w:after="120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Initial Term and Option Years</w:t>
            </w:r>
          </w:p>
          <w:p w14:paraId="200C89F7" w14:textId="0BD00E58" w:rsidR="004D2ED9" w:rsidRDefault="004D2ED9" w:rsidP="004D2ED9">
            <w:pPr>
              <w:spacing w:after="120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(A+B+C+D+E) ÷ 5 =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8580" w14:textId="415BF382" w:rsidR="00DB60CC" w:rsidRPr="00565127" w:rsidRDefault="00DB60CC" w:rsidP="00DB60CC">
            <w:pPr>
              <w:tabs>
                <w:tab w:val="left" w:pos="10080"/>
              </w:tabs>
              <w:spacing w:before="240" w:after="120"/>
              <w:jc w:val="center"/>
            </w:pPr>
          </w:p>
        </w:tc>
      </w:tr>
    </w:tbl>
    <w:p w14:paraId="12E3EB57" w14:textId="31222A31" w:rsidR="00697F33" w:rsidRDefault="00697F33" w:rsidP="00697F33">
      <w:pPr>
        <w:spacing w:line="300" w:lineRule="atLeast"/>
        <w:jc w:val="center"/>
        <w:rPr>
          <w:b/>
          <w:bCs/>
        </w:rPr>
      </w:pPr>
    </w:p>
    <w:p w14:paraId="045469DD" w14:textId="77777777" w:rsidR="00E06FBC" w:rsidRDefault="00E06FBC" w:rsidP="00697F33">
      <w:pPr>
        <w:spacing w:line="300" w:lineRule="atLeast"/>
        <w:jc w:val="center"/>
        <w:rPr>
          <w:b/>
          <w:bCs/>
        </w:rPr>
      </w:pPr>
    </w:p>
    <w:p w14:paraId="1DCB6712" w14:textId="77777777" w:rsidR="00E06FBC" w:rsidRDefault="00E06FBC" w:rsidP="00697F33">
      <w:pPr>
        <w:spacing w:line="300" w:lineRule="atLeast"/>
        <w:jc w:val="center"/>
        <w:rPr>
          <w:b/>
          <w:bCs/>
        </w:rPr>
      </w:pPr>
    </w:p>
    <w:p w14:paraId="560A8B0B" w14:textId="77777777" w:rsidR="00E06FBC" w:rsidRDefault="00E06FBC" w:rsidP="00697F33">
      <w:pPr>
        <w:spacing w:line="300" w:lineRule="atLeast"/>
        <w:jc w:val="center"/>
        <w:rPr>
          <w:b/>
          <w:bCs/>
        </w:rPr>
      </w:pPr>
    </w:p>
    <w:p w14:paraId="0D674046" w14:textId="77777777" w:rsidR="00E06FBC" w:rsidRDefault="00E06FBC" w:rsidP="00697F33">
      <w:pPr>
        <w:spacing w:line="300" w:lineRule="atLeast"/>
        <w:jc w:val="center"/>
        <w:rPr>
          <w:b/>
          <w:bCs/>
        </w:rPr>
      </w:pPr>
    </w:p>
    <w:p w14:paraId="782F7327" w14:textId="77777777" w:rsidR="004D2ED9" w:rsidRDefault="004D2ED9" w:rsidP="004D2ED9">
      <w:pPr>
        <w:spacing w:line="300" w:lineRule="atLeast"/>
        <w:rPr>
          <w:b/>
          <w:bCs/>
        </w:rPr>
      </w:pPr>
    </w:p>
    <w:p w14:paraId="31DF0A6E" w14:textId="50C3876E" w:rsidR="00E06FBC" w:rsidRDefault="00E06FBC" w:rsidP="00E06FBC">
      <w:pPr>
        <w:spacing w:line="300" w:lineRule="atLeast"/>
        <w:rPr>
          <w:b/>
          <w:bCs/>
        </w:rPr>
      </w:pPr>
      <w:r>
        <w:rPr>
          <w:b/>
          <w:bCs/>
        </w:rPr>
        <w:t>Cost Score Evaluation:</w:t>
      </w:r>
    </w:p>
    <w:p w14:paraId="50D6186D" w14:textId="77777777" w:rsidR="00E06FBC" w:rsidRDefault="00E06FBC" w:rsidP="00E06FBC">
      <w:pPr>
        <w:spacing w:line="300" w:lineRule="atLeast"/>
        <w:rPr>
          <w:b/>
          <w:bCs/>
        </w:rPr>
      </w:pPr>
    </w:p>
    <w:p w14:paraId="19CA3E22" w14:textId="69C0C6C8" w:rsidR="00E06FBC" w:rsidRDefault="004D2ED9" w:rsidP="00E06FBC">
      <w:pPr>
        <w:spacing w:line="300" w:lineRule="atLeast"/>
      </w:pPr>
      <w:r>
        <w:t>Each Proposer’s cost score will be calculated using the ratio of lowest A</w:t>
      </w:r>
      <w:r w:rsidR="00E06FBC">
        <w:t xml:space="preserve">verage </w:t>
      </w:r>
      <w:r>
        <w:t>B</w:t>
      </w:r>
      <w:r w:rsidR="00E06FBC">
        <w:t xml:space="preserve">lended </w:t>
      </w:r>
      <w:r>
        <w:t>H</w:t>
      </w:r>
      <w:r w:rsidR="00E06FBC">
        <w:t xml:space="preserve">ourly </w:t>
      </w:r>
      <w:r>
        <w:t>R</w:t>
      </w:r>
      <w:r w:rsidR="00E06FBC">
        <w:t>ate</w:t>
      </w:r>
      <w:r>
        <w:t xml:space="preserve"> for Initial Term and Option Years to the Proposer’s </w:t>
      </w:r>
      <w:r w:rsidR="006C7291">
        <w:t>Average Blended Hourly Rate for Initial Term and Option Years</w:t>
      </w:r>
      <w:r>
        <w:t>, multiplied by the maximum number of cost points available (50 points)</w:t>
      </w:r>
      <w:r w:rsidR="006C7291">
        <w:t>, as shown in the calculation below:</w:t>
      </w:r>
    </w:p>
    <w:p w14:paraId="0F0535C2" w14:textId="77777777" w:rsidR="004D2ED9" w:rsidRDefault="004D2ED9" w:rsidP="00E06FBC">
      <w:pPr>
        <w:spacing w:line="300" w:lineRule="atLeast"/>
      </w:pPr>
    </w:p>
    <w:p w14:paraId="3C599B9B" w14:textId="58CA6469" w:rsidR="004D2ED9" w:rsidRDefault="004D2ED9" w:rsidP="00E06FBC">
      <w:pPr>
        <w:spacing w:line="300" w:lineRule="atLeast"/>
      </w:pPr>
      <w:r>
        <w:t>Lowest Average Blended Hourly Rate</w:t>
      </w:r>
      <w:r>
        <w:tab/>
        <w:t>X</w:t>
      </w:r>
      <w:r>
        <w:tab/>
        <w:t>Total Cost Points Available</w:t>
      </w:r>
    </w:p>
    <w:p w14:paraId="654578A0" w14:textId="677AE423" w:rsidR="004D2ED9" w:rsidRDefault="004D2ED9" w:rsidP="00E06FBC">
      <w:pPr>
        <w:spacing w:line="300" w:lineRule="atLeast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CA39" wp14:editId="45A20114">
                <wp:simplePos x="0" y="0"/>
                <wp:positionH relativeFrom="margin">
                  <wp:align>left</wp:align>
                </wp:positionH>
                <wp:positionV relativeFrom="paragraph">
                  <wp:posOffset>11227</wp:posOffset>
                </wp:positionV>
                <wp:extent cx="2473929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392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C0B6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194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" strokecolor="black [3213]" strokeweight="1.5pt">
                <w10:wrap anchorx="margin"/>
              </v:line>
            </w:pict>
          </mc:Fallback>
        </mc:AlternateContent>
      </w:r>
      <w:r>
        <w:t xml:space="preserve">Proposer’s Average Blended Hourly Rate </w:t>
      </w:r>
    </w:p>
    <w:p w14:paraId="786C17BD" w14:textId="77777777" w:rsidR="004D2ED9" w:rsidRDefault="004D2ED9" w:rsidP="00E06FBC">
      <w:pPr>
        <w:spacing w:line="300" w:lineRule="atLeast"/>
      </w:pPr>
    </w:p>
    <w:p w14:paraId="140D6223" w14:textId="2F0CD8C7" w:rsidR="006C7291" w:rsidRDefault="006C7291" w:rsidP="006C7291">
      <w:r w:rsidRPr="001A735D">
        <w:t xml:space="preserve">Refer to the table below for an example of the cost score calculation process. </w:t>
      </w:r>
    </w:p>
    <w:p w14:paraId="41EF91D5" w14:textId="77777777" w:rsidR="006C7291" w:rsidRPr="001A735D" w:rsidRDefault="006C7291" w:rsidP="006C7291"/>
    <w:p w14:paraId="607A9927" w14:textId="77777777" w:rsidR="006C7291" w:rsidRDefault="006C7291" w:rsidP="006C7291">
      <w:pPr>
        <w:rPr>
          <w:b/>
          <w:bCs/>
        </w:rPr>
      </w:pPr>
      <w:r w:rsidRPr="001A735D">
        <w:rPr>
          <w:b/>
          <w:bCs/>
        </w:rPr>
        <w:t>Cost figures in the example below explain the calculations and have no other significance.</w:t>
      </w:r>
    </w:p>
    <w:p w14:paraId="7B420C74" w14:textId="77777777" w:rsidR="006C7291" w:rsidRPr="001A735D" w:rsidRDefault="006C7291" w:rsidP="006C7291">
      <w:pPr>
        <w:rPr>
          <w:b/>
          <w:bCs/>
        </w:rPr>
      </w:pPr>
    </w:p>
    <w:p w14:paraId="5A524F19" w14:textId="77777777" w:rsidR="006C7291" w:rsidRPr="001A735D" w:rsidRDefault="006C7291" w:rsidP="006C7291">
      <w:pPr>
        <w:rPr>
          <w:i/>
          <w:iCs/>
        </w:rPr>
      </w:pPr>
      <w:bookmarkStart w:id="0" w:name="5.4_Technical_Requirements_Scoring_Crite"/>
      <w:bookmarkStart w:id="1" w:name="5.5_Cost_Score"/>
      <w:bookmarkStart w:id="2" w:name="Cost_Evaluation_and_Scoring_Methodology_"/>
      <w:bookmarkStart w:id="3" w:name="_bookmark0"/>
      <w:bookmarkEnd w:id="0"/>
      <w:bookmarkEnd w:id="1"/>
      <w:bookmarkEnd w:id="2"/>
      <w:bookmarkEnd w:id="3"/>
      <w:r w:rsidRPr="001A735D">
        <w:rPr>
          <w:i/>
          <w:iCs/>
        </w:rPr>
        <w:t>Cost Evaluation and Scoring Methodology (Example only)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3042"/>
        <w:gridCol w:w="1890"/>
        <w:gridCol w:w="2070"/>
      </w:tblGrid>
      <w:tr w:rsidR="00B266C7" w:rsidRPr="001A735D" w14:paraId="382D63C1" w14:textId="77777777" w:rsidTr="00200085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B15B6F" w14:textId="77777777" w:rsidR="006C7291" w:rsidRPr="001A735D" w:rsidRDefault="006C7291" w:rsidP="00200085">
            <w:pPr>
              <w:spacing w:before="120"/>
              <w:jc w:val="center"/>
            </w:pPr>
            <w:r w:rsidRPr="001A735D">
              <w:t>Bidder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0D73A4" w14:textId="1DCE3CEF" w:rsidR="006C7291" w:rsidRPr="001A735D" w:rsidRDefault="006C7291" w:rsidP="00200085">
            <w:pPr>
              <w:jc w:val="center"/>
            </w:pPr>
            <w:r>
              <w:t>Average Blended Hourly Rate for Initial Term and Option Years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1A0489" w14:textId="77777777" w:rsidR="006C7291" w:rsidRPr="001A735D" w:rsidRDefault="006C7291" w:rsidP="00200085">
            <w:pPr>
              <w:spacing w:before="120"/>
              <w:jc w:val="center"/>
            </w:pPr>
            <w:r w:rsidRPr="001A735D">
              <w:t>Calculation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2CF12E" w14:textId="77777777" w:rsidR="006C7291" w:rsidRPr="001A735D" w:rsidRDefault="006C7291" w:rsidP="00200085">
            <w:pPr>
              <w:spacing w:before="120"/>
              <w:jc w:val="center"/>
            </w:pPr>
            <w:r w:rsidRPr="001A735D">
              <w:t>Cost Points Awarded</w:t>
            </w:r>
          </w:p>
        </w:tc>
      </w:tr>
      <w:tr w:rsidR="006C7291" w:rsidRPr="001A735D" w14:paraId="5D116AE7" w14:textId="77777777" w:rsidTr="00200085">
        <w:trPr>
          <w:trHeight w:val="50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A81F" w14:textId="77777777" w:rsidR="006C7291" w:rsidRPr="001A735D" w:rsidRDefault="006C7291" w:rsidP="00200085">
            <w:pPr>
              <w:spacing w:before="120"/>
              <w:jc w:val="center"/>
            </w:pPr>
            <w:r w:rsidRPr="001A735D">
              <w:t>A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9244" w14:textId="1DD5FE49" w:rsidR="006C7291" w:rsidRPr="001A735D" w:rsidRDefault="006C7291" w:rsidP="00200085">
            <w:pPr>
              <w:spacing w:before="120"/>
              <w:jc w:val="center"/>
            </w:pPr>
            <w:r w:rsidRPr="001A735D">
              <w:t>$</w:t>
            </w:r>
            <w:r>
              <w:t>150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0ED9" w14:textId="5867BF20" w:rsidR="006C7291" w:rsidRPr="001A735D" w:rsidRDefault="006C7291" w:rsidP="00200085">
            <w:pPr>
              <w:spacing w:before="120" w:after="120"/>
            </w:pPr>
            <w:r w:rsidRPr="001A735D">
              <w:rPr>
                <w:u w:val="single"/>
              </w:rPr>
              <w:t>$</w:t>
            </w:r>
            <w:r>
              <w:rPr>
                <w:u w:val="single"/>
              </w:rPr>
              <w:t>150</w:t>
            </w:r>
            <w:r w:rsidRPr="001A735D">
              <w:rPr>
                <w:u w:val="single"/>
              </w:rPr>
              <w:t xml:space="preserve"> </w:t>
            </w:r>
            <w:r w:rsidRPr="001A735D">
              <w:t xml:space="preserve"> X </w:t>
            </w:r>
            <w:r>
              <w:t>50</w:t>
            </w:r>
          </w:p>
          <w:p w14:paraId="03C47400" w14:textId="0F2BF7CD" w:rsidR="006C7291" w:rsidRPr="001A735D" w:rsidRDefault="006C7291" w:rsidP="00200085">
            <w:pPr>
              <w:spacing w:before="120" w:after="120"/>
            </w:pPr>
            <w:r w:rsidRPr="001A735D">
              <w:t>$</w:t>
            </w:r>
            <w:r>
              <w:t>150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DD52" w14:textId="5B8A502E" w:rsidR="006C7291" w:rsidRPr="001A735D" w:rsidRDefault="006C7291" w:rsidP="00200085">
            <w:pPr>
              <w:spacing w:before="120"/>
              <w:jc w:val="center"/>
            </w:pPr>
            <w:r>
              <w:t>50</w:t>
            </w:r>
          </w:p>
        </w:tc>
      </w:tr>
      <w:tr w:rsidR="006C7291" w:rsidRPr="001A735D" w14:paraId="30CF00F4" w14:textId="77777777" w:rsidTr="00200085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1124" w14:textId="77777777" w:rsidR="006C7291" w:rsidRPr="001A735D" w:rsidRDefault="006C7291" w:rsidP="00200085">
            <w:pPr>
              <w:spacing w:before="120"/>
              <w:jc w:val="center"/>
            </w:pPr>
            <w:r w:rsidRPr="001A735D">
              <w:t>B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30CD" w14:textId="0D07C639" w:rsidR="006C7291" w:rsidRPr="001A735D" w:rsidRDefault="006C7291" w:rsidP="00200085">
            <w:pPr>
              <w:spacing w:before="120"/>
              <w:jc w:val="center"/>
            </w:pPr>
            <w:r w:rsidRPr="001A735D">
              <w:t>$</w:t>
            </w:r>
            <w:r>
              <w:t>200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EE16" w14:textId="79A3B5D8" w:rsidR="006C7291" w:rsidRPr="001A735D" w:rsidRDefault="006C7291" w:rsidP="00200085">
            <w:pPr>
              <w:spacing w:before="120" w:after="120"/>
            </w:pPr>
            <w:r w:rsidRPr="001A735D">
              <w:rPr>
                <w:u w:val="single"/>
              </w:rPr>
              <w:t>$</w:t>
            </w:r>
            <w:r>
              <w:rPr>
                <w:u w:val="single"/>
              </w:rPr>
              <w:t>150</w:t>
            </w:r>
            <w:r w:rsidRPr="001A735D">
              <w:t xml:space="preserve"> </w:t>
            </w:r>
            <w:r>
              <w:t xml:space="preserve"> </w:t>
            </w:r>
            <w:r w:rsidRPr="001A735D">
              <w:t xml:space="preserve">X </w:t>
            </w:r>
            <w:r>
              <w:t>50</w:t>
            </w:r>
          </w:p>
          <w:p w14:paraId="026F7A06" w14:textId="14367EA3" w:rsidR="006C7291" w:rsidRPr="001A735D" w:rsidRDefault="006C7291" w:rsidP="00200085">
            <w:pPr>
              <w:spacing w:before="120" w:after="120"/>
            </w:pPr>
            <w:r w:rsidRPr="001A735D">
              <w:t>$</w:t>
            </w:r>
            <w:r>
              <w:t>200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EE6A" w14:textId="3ADDBCA7" w:rsidR="006C7291" w:rsidRPr="001A735D" w:rsidRDefault="006C7291" w:rsidP="00200085">
            <w:pPr>
              <w:spacing w:before="120"/>
              <w:jc w:val="center"/>
            </w:pPr>
            <w:r>
              <w:t>37.5</w:t>
            </w:r>
          </w:p>
        </w:tc>
      </w:tr>
      <w:tr w:rsidR="006C7291" w:rsidRPr="001A735D" w14:paraId="0D529A0A" w14:textId="77777777" w:rsidTr="00200085">
        <w:trPr>
          <w:trHeight w:val="44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6642" w14:textId="77777777" w:rsidR="006C7291" w:rsidRPr="001A735D" w:rsidRDefault="006C7291" w:rsidP="00200085">
            <w:pPr>
              <w:spacing w:before="120"/>
              <w:jc w:val="center"/>
            </w:pPr>
            <w:r w:rsidRPr="001A735D">
              <w:t>C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3B5A2" w14:textId="2A079691" w:rsidR="006C7291" w:rsidRPr="001A735D" w:rsidRDefault="006C7291" w:rsidP="00200085">
            <w:pPr>
              <w:spacing w:before="120"/>
              <w:jc w:val="center"/>
            </w:pPr>
            <w:r w:rsidRPr="001A735D">
              <w:t>$</w:t>
            </w:r>
            <w:r>
              <w:t>350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C08E0" w14:textId="0D8BB952" w:rsidR="006C7291" w:rsidRPr="001A735D" w:rsidRDefault="006C7291" w:rsidP="00200085">
            <w:pPr>
              <w:spacing w:before="120" w:after="120"/>
            </w:pPr>
            <w:r w:rsidRPr="001A735D">
              <w:rPr>
                <w:u w:val="single"/>
              </w:rPr>
              <w:t>$</w:t>
            </w:r>
            <w:r>
              <w:rPr>
                <w:u w:val="single"/>
              </w:rPr>
              <w:t xml:space="preserve">150 </w:t>
            </w:r>
            <w:r w:rsidRPr="001A735D">
              <w:t xml:space="preserve"> X </w:t>
            </w:r>
            <w:r>
              <w:t>50</w:t>
            </w:r>
          </w:p>
          <w:p w14:paraId="6AFD717C" w14:textId="0A810BBB" w:rsidR="006C7291" w:rsidRPr="001A735D" w:rsidRDefault="006C7291" w:rsidP="00200085">
            <w:pPr>
              <w:spacing w:before="120" w:after="120"/>
            </w:pPr>
            <w:r w:rsidRPr="001A735D">
              <w:t>$</w:t>
            </w:r>
            <w:r>
              <w:t>350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78268" w14:textId="64534E89" w:rsidR="006C7291" w:rsidRPr="001A735D" w:rsidRDefault="00200085" w:rsidP="00200085">
            <w:pPr>
              <w:spacing w:before="120"/>
              <w:jc w:val="center"/>
            </w:pPr>
            <w:r>
              <w:t>21.4</w:t>
            </w:r>
          </w:p>
        </w:tc>
      </w:tr>
    </w:tbl>
    <w:p w14:paraId="30A0B9B4" w14:textId="77777777" w:rsidR="004D2ED9" w:rsidRPr="00200085" w:rsidRDefault="004D2ED9" w:rsidP="00200085">
      <w:pPr>
        <w:spacing w:line="300" w:lineRule="atLeast"/>
      </w:pPr>
    </w:p>
    <w:sectPr w:rsidR="004D2ED9" w:rsidRPr="00200085" w:rsidSect="00042C6F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869C" w14:textId="77777777" w:rsidR="00E7695A" w:rsidRDefault="00E7695A">
      <w:r>
        <w:separator/>
      </w:r>
    </w:p>
  </w:endnote>
  <w:endnote w:type="continuationSeparator" w:id="0">
    <w:p w14:paraId="4F9BF768" w14:textId="77777777" w:rsidR="00E7695A" w:rsidRDefault="00E7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8320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31F98D" w14:textId="24D6A52C" w:rsidR="00AA3D6C" w:rsidRDefault="00AA3D6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1BAE78B" w14:textId="77777777" w:rsidR="00AA3D6C" w:rsidRDefault="00AA3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87B5" w14:textId="77777777" w:rsidR="00E7695A" w:rsidRDefault="00E7695A">
      <w:r>
        <w:separator/>
      </w:r>
    </w:p>
  </w:footnote>
  <w:footnote w:type="continuationSeparator" w:id="0">
    <w:p w14:paraId="7314D5FF" w14:textId="77777777" w:rsidR="00E7695A" w:rsidRDefault="00E76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4201" w14:textId="77777777" w:rsidR="00CC39DA" w:rsidRPr="00826B9E" w:rsidRDefault="00DB60CC" w:rsidP="00CC39DA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826B9E">
      <w:t xml:space="preserve">RFP Title:  </w:t>
    </w:r>
    <w:r w:rsidRPr="00826B9E">
      <w:rPr>
        <w:szCs w:val="28"/>
      </w:rPr>
      <w:t>Information Systems Security Outreach Program</w:t>
    </w:r>
  </w:p>
  <w:p w14:paraId="3DCB292F" w14:textId="77777777" w:rsidR="00CC39DA" w:rsidRPr="00826B9E" w:rsidRDefault="00DB60CC" w:rsidP="00CC39DA">
    <w:pPr>
      <w:pStyle w:val="CommentText"/>
      <w:tabs>
        <w:tab w:val="left" w:pos="1242"/>
      </w:tabs>
      <w:ind w:right="252"/>
      <w:jc w:val="both"/>
    </w:pPr>
    <w:r w:rsidRPr="00826B9E">
      <w:t>RFP Number:</w:t>
    </w:r>
    <w:r w:rsidRPr="00826B9E">
      <w:rPr>
        <w:color w:val="000000"/>
      </w:rPr>
      <w:t xml:space="preserve">  </w:t>
    </w:r>
    <w:r w:rsidRPr="00826B9E">
      <w:rPr>
        <w:color w:val="000000"/>
        <w:sz w:val="22"/>
        <w:szCs w:val="22"/>
      </w:rPr>
      <w:t xml:space="preserve"> </w:t>
    </w:r>
    <w:r w:rsidRPr="00826B9E">
      <w:rPr>
        <w:iCs/>
      </w:rPr>
      <w:t>IT-2023-03-LP</w:t>
    </w:r>
  </w:p>
  <w:p w14:paraId="35F7BDA0" w14:textId="77777777" w:rsidR="00974789" w:rsidRDefault="00DB6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F49"/>
    <w:multiLevelType w:val="hybridMultilevel"/>
    <w:tmpl w:val="3A38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60B74"/>
    <w:multiLevelType w:val="hybridMultilevel"/>
    <w:tmpl w:val="0FB0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95485">
    <w:abstractNumId w:val="0"/>
  </w:num>
  <w:num w:numId="2" w16cid:durableId="1159036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C2"/>
    <w:rsid w:val="00016E6F"/>
    <w:rsid w:val="00167D16"/>
    <w:rsid w:val="00200085"/>
    <w:rsid w:val="002D3145"/>
    <w:rsid w:val="003403C2"/>
    <w:rsid w:val="0043510E"/>
    <w:rsid w:val="004D2ED9"/>
    <w:rsid w:val="00605650"/>
    <w:rsid w:val="00614835"/>
    <w:rsid w:val="00697F33"/>
    <w:rsid w:val="006C7291"/>
    <w:rsid w:val="00807300"/>
    <w:rsid w:val="00825902"/>
    <w:rsid w:val="008548E7"/>
    <w:rsid w:val="009D7161"/>
    <w:rsid w:val="009F7B6E"/>
    <w:rsid w:val="00AA3D6C"/>
    <w:rsid w:val="00AF532D"/>
    <w:rsid w:val="00B266C7"/>
    <w:rsid w:val="00B770AB"/>
    <w:rsid w:val="00CD0528"/>
    <w:rsid w:val="00D47597"/>
    <w:rsid w:val="00DB60CC"/>
    <w:rsid w:val="00E06FBC"/>
    <w:rsid w:val="00E769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8D3D"/>
  <w15:chartTrackingRefBased/>
  <w15:docId w15:val="{04FB948D-CA1D-42F5-B692-A9012FAA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pp Normal"/>
    <w:qFormat/>
    <w:rsid w:val="003403C2"/>
    <w:pPr>
      <w:spacing w:line="240" w:lineRule="auto"/>
    </w:pPr>
    <w:rPr>
      <w:rFonts w:ascii="Times New Roman" w:eastAsia="Times" w:hAnsi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30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730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730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aliases w:val="Apnd Head,4,h4,H4,Map Title,Title 1"/>
    <w:basedOn w:val="Normal"/>
    <w:next w:val="BodyText"/>
    <w:link w:val="Heading4Char"/>
    <w:qFormat/>
    <w:rsid w:val="003403C2"/>
    <w:pPr>
      <w:spacing w:line="300" w:lineRule="atLeast"/>
      <w:outlineLvl w:val="3"/>
    </w:pPr>
    <w:rPr>
      <w:rFonts w:cs="Arial"/>
      <w:bCs/>
      <w:i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30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30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30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30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30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730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0730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30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300"/>
  </w:style>
  <w:style w:type="character" w:customStyle="1" w:styleId="Heading8Char">
    <w:name w:val="Heading 8 Char"/>
    <w:basedOn w:val="DefaultParagraphFont"/>
    <w:link w:val="Heading8"/>
    <w:uiPriority w:val="9"/>
    <w:semiHidden/>
    <w:rsid w:val="00807300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30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0730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0730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30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07300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300"/>
    <w:pPr>
      <w:outlineLvl w:val="9"/>
    </w:pPr>
  </w:style>
  <w:style w:type="character" w:customStyle="1" w:styleId="Heading4Char">
    <w:name w:val="Heading 4 Char"/>
    <w:aliases w:val="Apnd Head Char,4 Char,h4 Char,H4 Char,Map Title Char,Title 1 Char"/>
    <w:basedOn w:val="DefaultParagraphFont"/>
    <w:link w:val="Heading4"/>
    <w:rsid w:val="003403C2"/>
    <w:rPr>
      <w:rFonts w:ascii="Times New Roman" w:eastAsia="Times" w:hAnsi="Times New Roman" w:cs="Arial"/>
      <w:bCs/>
      <w:i/>
      <w:kern w:val="0"/>
      <w:szCs w:val="28"/>
      <w14:ligatures w14:val="none"/>
    </w:rPr>
  </w:style>
  <w:style w:type="paragraph" w:customStyle="1" w:styleId="JBCMHeading2">
    <w:name w:val="JBCM Heading 2"/>
    <w:basedOn w:val="Normal"/>
    <w:next w:val="Normal"/>
    <w:qFormat/>
    <w:rsid w:val="003403C2"/>
    <w:pPr>
      <w:spacing w:before="240" w:after="60" w:line="300" w:lineRule="atLeast"/>
      <w:outlineLvl w:val="0"/>
    </w:pPr>
    <w:rPr>
      <w:rFonts w:asciiTheme="majorHAnsi" w:eastAsiaTheme="minorEastAsia" w:hAnsiTheme="majorHAnsi" w:cstheme="minorBidi"/>
      <w:b/>
      <w:caps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403C2"/>
    <w:pPr>
      <w:tabs>
        <w:tab w:val="center" w:pos="4680"/>
        <w:tab w:val="right" w:pos="9360"/>
      </w:tabs>
    </w:pPr>
    <w:rPr>
      <w:rFonts w:ascii="Arial" w:eastAsiaTheme="minorHAnsi" w:hAnsi="Arial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3403C2"/>
    <w:rPr>
      <w:rFonts w:ascii="Arial" w:hAnsi="Arial"/>
      <w:kern w:val="0"/>
      <w:lang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40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3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3C2"/>
    <w:rPr>
      <w:rFonts w:ascii="Times New Roman" w:eastAsia="Times" w:hAnsi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3403C2"/>
    <w:pPr>
      <w:spacing w:line="240" w:lineRule="auto"/>
    </w:pPr>
    <w:rPr>
      <w:rFonts w:ascii="Times New Roman" w:eastAsia="Times New Roman" w:hAnsi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3403C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403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03C2"/>
    <w:rPr>
      <w:rFonts w:ascii="Times New Roman" w:eastAsia="Times" w:hAnsi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3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D6C"/>
    <w:rPr>
      <w:rFonts w:ascii="Times New Roman" w:eastAsia="Times" w:hAnsi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9F7B6E"/>
    <w:pPr>
      <w:spacing w:line="240" w:lineRule="auto"/>
    </w:pPr>
    <w:rPr>
      <w:rFonts w:ascii="Times New Roman" w:eastAsia="Times" w:hAnsi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Picchi, Laila</dc:creator>
  <cp:keywords/>
  <dc:description/>
  <cp:lastModifiedBy>Picchi, Laila</cp:lastModifiedBy>
  <cp:revision>6</cp:revision>
  <dcterms:created xsi:type="dcterms:W3CDTF">2023-04-21T17:28:00Z</dcterms:created>
  <dcterms:modified xsi:type="dcterms:W3CDTF">2023-04-28T19:46:00Z</dcterms:modified>
</cp:coreProperties>
</file>