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1ACD" w:rsidRDefault="00B719B3" w:rsidP="00B719B3">
      <w:pPr>
        <w:spacing w:after="149" w:line="259" w:lineRule="auto"/>
        <w:jc w:val="center"/>
      </w:pPr>
      <w:r>
        <w:rPr>
          <w:b/>
          <w:sz w:val="22"/>
        </w:rPr>
        <w:t>ATTACHMENT 2</w:t>
      </w:r>
      <w:bookmarkStart w:id="0" w:name="_GoBack"/>
      <w:bookmarkEnd w:id="0"/>
    </w:p>
    <w:p w:rsidR="00A01ACD" w:rsidRDefault="00105BB0">
      <w:pPr>
        <w:spacing w:after="94" w:line="259" w:lineRule="auto"/>
        <w:ind w:left="5" w:firstLine="0"/>
        <w:jc w:val="center"/>
      </w:pPr>
      <w:r>
        <w:rPr>
          <w:b/>
        </w:rPr>
        <w:t xml:space="preserve">JBCL APPENDIX </w:t>
      </w:r>
    </w:p>
    <w:p w:rsidR="00A01ACD" w:rsidRDefault="00105BB0">
      <w:pPr>
        <w:spacing w:after="74" w:line="240" w:lineRule="auto"/>
        <w:ind w:left="1" w:firstLine="0"/>
      </w:pPr>
      <w:r>
        <w:rPr>
          <w:i/>
        </w:rPr>
        <w:t xml:space="preserve">This JBCL Appendix contains the provisions required for compliance with Public Contract Code (“PCC”), part 2.5, enacted under Senate Bill 78 (Stats. 2011, </w:t>
      </w:r>
      <w:proofErr w:type="spellStart"/>
      <w:r>
        <w:rPr>
          <w:i/>
        </w:rPr>
        <w:t>ch.</w:t>
      </w:r>
      <w:proofErr w:type="spellEnd"/>
      <w:r>
        <w:rPr>
          <w:i/>
        </w:rPr>
        <w:t xml:space="preserve"> 10), and the Judicial Branch Contracting Manual (“JBCM”) adopted pursuant to that law. In this appendix, (i) “Agreement” refers to the agreement into which this appendix is incorporated, (ii) “JBE” refers to the California judicial branch entity that is a party to the Agreement, (iii) “Contractor” refers to the other party to the Agreement, and (iv) “Consulting Services” refers to those services described in chapter 8, appendix C, section 1 of the JBCM. </w:t>
      </w:r>
    </w:p>
    <w:p w:rsidR="00A01ACD" w:rsidRDefault="00105BB0">
      <w:pPr>
        <w:spacing w:after="0" w:line="259" w:lineRule="auto"/>
        <w:ind w:left="361" w:firstLine="0"/>
      </w:pPr>
      <w:r>
        <w:rPr>
          <w:b/>
        </w:rPr>
        <w:t xml:space="preserve"> </w:t>
      </w:r>
    </w:p>
    <w:p w:rsidR="00A01ACD" w:rsidRDefault="00105BB0">
      <w:pPr>
        <w:numPr>
          <w:ilvl w:val="0"/>
          <w:numId w:val="1"/>
        </w:numPr>
      </w:pPr>
      <w:r>
        <w:rPr>
          <w:b/>
        </w:rPr>
        <w:t xml:space="preserve">Contractor Certification Clauses.  </w:t>
      </w:r>
      <w:r>
        <w:t>Contractor certifies that the following representations and warranties are true. Contractor shall cause these representations and warranties to remain true during the term of this Agreement, and Contractor shall promptly notify the JBE if any representation and warranty becomes untrue.</w:t>
      </w:r>
      <w:r>
        <w:rPr>
          <w:b/>
        </w:rPr>
        <w:t xml:space="preserve"> </w:t>
      </w:r>
    </w:p>
    <w:p w:rsidR="00A01ACD" w:rsidRDefault="00105BB0">
      <w:pPr>
        <w:spacing w:after="0" w:line="259" w:lineRule="auto"/>
        <w:ind w:left="901" w:firstLine="0"/>
      </w:pPr>
      <w:r>
        <w:rPr>
          <w:b/>
          <w:i/>
        </w:rPr>
        <w:t xml:space="preserve"> </w:t>
      </w:r>
    </w:p>
    <w:p w:rsidR="00A01ACD" w:rsidRDefault="00105BB0">
      <w:pPr>
        <w:numPr>
          <w:ilvl w:val="1"/>
          <w:numId w:val="1"/>
        </w:numPr>
      </w:pPr>
      <w:r>
        <w:rPr>
          <w:b/>
        </w:rPr>
        <w:t>Nondiscrimination.</w:t>
      </w:r>
      <w:r>
        <w:t xml:space="preserve"> Contractor complies with the federal Americans with Disabilities Act (42 U.S.C. 12101 et seq.), and California’s Fair Employment and Housing Act (Government Code section 12990 et seq.) and associated regulations (Code of Regulations, title 2, section 7285 et seq.). Contractor does not unlawfully discriminate against any employee or applicant for employment because of age (40 and over), ancestry, color, creed, disability (mental or physical) including HIV and AIDS, marital or domestic partner status, medical condition (including cancer and genetic characteristics), national origin, race, religion, request for family and medical care leave, sex (including gender and gender identity), and sexual orientation. Contractor has notified in writing each labor organization with which Contractor has a collective bargaining or other agreement of Contractor’s obligations of nondiscrimination.  </w:t>
      </w:r>
    </w:p>
    <w:p w:rsidR="00A01ACD" w:rsidRDefault="00105BB0">
      <w:pPr>
        <w:spacing w:after="0" w:line="259" w:lineRule="auto"/>
        <w:ind w:left="720" w:firstLine="0"/>
      </w:pPr>
      <w:r>
        <w:t xml:space="preserve"> </w:t>
      </w:r>
    </w:p>
    <w:p w:rsidR="00A01ACD" w:rsidRDefault="00105BB0">
      <w:pPr>
        <w:numPr>
          <w:ilvl w:val="1"/>
          <w:numId w:val="1"/>
        </w:numPr>
      </w:pPr>
      <w:r>
        <w:rPr>
          <w:b/>
        </w:rPr>
        <w:t>National Labor Relations Board.</w:t>
      </w:r>
      <w:r>
        <w:t xml:space="preserve"> No more than one, final unappealable finding of contempt of court by a federal court has been issued against Contractor within the immediately preceding two-year period because of Contractor's failure to comply with an order of a federal court requiring Contractor to comply with an order of the National Labor Relations Board. Contractor swears under penalty of perjury that this representation is true. </w:t>
      </w:r>
    </w:p>
    <w:p w:rsidR="00A01ACD" w:rsidRDefault="00105BB0">
      <w:pPr>
        <w:spacing w:after="0" w:line="259" w:lineRule="auto"/>
        <w:ind w:left="720" w:firstLine="0"/>
      </w:pPr>
      <w:r>
        <w:t xml:space="preserve"> </w:t>
      </w:r>
    </w:p>
    <w:p w:rsidR="00A01ACD" w:rsidRDefault="00105BB0">
      <w:pPr>
        <w:numPr>
          <w:ilvl w:val="1"/>
          <w:numId w:val="1"/>
        </w:numPr>
      </w:pPr>
      <w:r>
        <w:rPr>
          <w:b/>
        </w:rPr>
        <w:t>Not an Expatriate Corporation.</w:t>
      </w:r>
      <w:r>
        <w:t xml:space="preserve"> Contractor is not an expatriate corporation or subsidiary of an expatriate corporation within the meaning of PCC 10286.1, and is eligible to contract with the JBE. </w:t>
      </w:r>
    </w:p>
    <w:p w:rsidR="00A01ACD" w:rsidRDefault="00105BB0">
      <w:pPr>
        <w:spacing w:after="0" w:line="259" w:lineRule="auto"/>
        <w:ind w:left="0" w:firstLine="0"/>
      </w:pPr>
      <w:r>
        <w:t xml:space="preserve"> </w:t>
      </w:r>
    </w:p>
    <w:p w:rsidR="00A01ACD" w:rsidRDefault="00105BB0">
      <w:pPr>
        <w:numPr>
          <w:ilvl w:val="0"/>
          <w:numId w:val="1"/>
        </w:numPr>
      </w:pPr>
      <w:r>
        <w:rPr>
          <w:b/>
        </w:rPr>
        <w:t xml:space="preserve">Provisions Applicable Only to Certain Agreements. </w:t>
      </w:r>
      <w:r>
        <w:t xml:space="preserve">The provisions in this section are </w:t>
      </w:r>
      <w:r>
        <w:rPr>
          <w:b/>
          <w:i/>
          <w:color w:val="FF0000"/>
        </w:rPr>
        <w:t>applicable only to the types of agreements specified in the title of each subsection</w:t>
      </w:r>
      <w:r>
        <w:t xml:space="preserve">. If the Agreement is not of the type described in the title of a subsection, then that subsection does not apply to the Agreement. </w:t>
      </w:r>
    </w:p>
    <w:p w:rsidR="00A01ACD" w:rsidRDefault="00105BB0">
      <w:pPr>
        <w:spacing w:after="0" w:line="259" w:lineRule="auto"/>
        <w:ind w:left="451" w:firstLine="0"/>
      </w:pPr>
      <w:r>
        <w:t xml:space="preserve"> </w:t>
      </w:r>
    </w:p>
    <w:p w:rsidR="00A01ACD" w:rsidRDefault="00105BB0">
      <w:pPr>
        <w:numPr>
          <w:ilvl w:val="1"/>
          <w:numId w:val="1"/>
        </w:numPr>
      </w:pPr>
      <w:r>
        <w:rPr>
          <w:b/>
        </w:rPr>
        <w:t xml:space="preserve">Agreements over $10,000. </w:t>
      </w:r>
      <w:r>
        <w:t>This Agreement is subject to examinations and audit by the State Auditor for a period of three years after final payment.</w:t>
      </w:r>
      <w:r>
        <w:rPr>
          <w:b/>
        </w:rPr>
        <w:t xml:space="preserve"> </w:t>
      </w:r>
    </w:p>
    <w:p w:rsidR="00A01ACD" w:rsidRDefault="00105BB0">
      <w:pPr>
        <w:spacing w:after="0" w:line="259" w:lineRule="auto"/>
        <w:ind w:left="719" w:firstLine="0"/>
      </w:pPr>
      <w:r>
        <w:rPr>
          <w:b/>
        </w:rPr>
        <w:t xml:space="preserve"> </w:t>
      </w:r>
    </w:p>
    <w:p w:rsidR="00A01ACD" w:rsidRDefault="00105BB0">
      <w:pPr>
        <w:numPr>
          <w:ilvl w:val="1"/>
          <w:numId w:val="1"/>
        </w:numPr>
      </w:pPr>
      <w:r>
        <w:rPr>
          <w:b/>
        </w:rPr>
        <w:t xml:space="preserve">Agreements over $50,000. </w:t>
      </w:r>
      <w:r>
        <w:t xml:space="preserve">No JBE funds received under this Agreement will be used to assist, promote or deter union organizing during the term of this Agreement (including any extension or renewal term).  </w:t>
      </w:r>
    </w:p>
    <w:p w:rsidR="00A01ACD" w:rsidRDefault="00105BB0">
      <w:pPr>
        <w:spacing w:after="0" w:line="259" w:lineRule="auto"/>
        <w:ind w:left="719" w:firstLine="0"/>
      </w:pPr>
      <w:r>
        <w:t xml:space="preserve"> </w:t>
      </w:r>
    </w:p>
    <w:p w:rsidR="00A01ACD" w:rsidRDefault="00105BB0">
      <w:pPr>
        <w:numPr>
          <w:ilvl w:val="1"/>
          <w:numId w:val="1"/>
        </w:numPr>
      </w:pPr>
      <w:r>
        <w:rPr>
          <w:b/>
        </w:rPr>
        <w:t xml:space="preserve">Agreements of $100,000 or More. </w:t>
      </w:r>
      <w:r>
        <w:t xml:space="preserve">Contractor certifies that it is, and will remain for the term of the Agreement, in compliance with: (i) PCC 10295.3, which places limitations on contracts with contractors who discriminate in the provision of benefits on the basis of marital or domestic partner status; and (ii) PCC 10295.35, which places limitations on contracts with contractors that discriminate in the provision of benefits on the basis of an employee’s or dependent’s actual or perceived gender identity.  Contractor recognizes the importance of child and family support obligations and fully complies with (and will continue to comply with during the term of this Agreement) all applicable state and federal laws relating to child and family support enforcement, including, but not limited to, disclosure of information </w:t>
      </w:r>
      <w:r>
        <w:lastRenderedPageBreak/>
        <w:t>and compliance with earnings assignment orders, as provided in Family Code section 5200 et seq</w:t>
      </w:r>
      <w:r>
        <w:rPr>
          <w:i/>
        </w:rPr>
        <w:t xml:space="preserve">. </w:t>
      </w:r>
      <w:r>
        <w:t xml:space="preserve">Contractor provides the names of all new employees to the New Hire Registry maintained by the California </w:t>
      </w:r>
    </w:p>
    <w:p w:rsidR="00A01ACD" w:rsidRDefault="00105BB0">
      <w:pPr>
        <w:ind w:left="716"/>
      </w:pPr>
      <w:r>
        <w:t xml:space="preserve">Employment Development Department. </w:t>
      </w:r>
      <w:r>
        <w:rPr>
          <w:b/>
        </w:rPr>
        <w:t>Contractor certifies, under penalty of perjury</w:t>
      </w:r>
      <w:r>
        <w:t xml:space="preserve">, that it: (i) is in </w:t>
      </w:r>
    </w:p>
    <w:p w:rsidR="00A01ACD" w:rsidRDefault="00105BB0">
      <w:pPr>
        <w:ind w:left="716"/>
      </w:pPr>
      <w:r>
        <w:t xml:space="preserve">compliance with the Unruh Civil Rights Act (Section 51 of the Civil Code); (ii) is in compliance with the California Fair Employment and Housing Act (Chapter 7 (commencing with Section 12960) of Part 2.8 of Division 3 of the Title 2 of the Government Code); and (iii) does not have any policy against any sovereign nation or peoples recognized by the government of the United States, including, but not limited to, the nation and people of Israel, that is used to discriminate in violation of the Unruh Civil Rights Act (Section 51 of the Civil Code) or the California Fair Employment and Housing Act (Chapter 7 (commencing with Section 12960) of Part 2.8 of Division 3 of Title 2 of the Government Code). </w:t>
      </w:r>
    </w:p>
    <w:p w:rsidR="00A01ACD" w:rsidRDefault="00105BB0">
      <w:pPr>
        <w:spacing w:after="0" w:line="259" w:lineRule="auto"/>
        <w:ind w:left="1441" w:firstLine="0"/>
      </w:pPr>
      <w:r>
        <w:t xml:space="preserve"> </w:t>
      </w:r>
    </w:p>
    <w:p w:rsidR="00A01ACD" w:rsidRDefault="00105BB0">
      <w:pPr>
        <w:numPr>
          <w:ilvl w:val="1"/>
          <w:numId w:val="1"/>
        </w:numPr>
      </w:pPr>
      <w:r>
        <w:rPr>
          <w:b/>
        </w:rPr>
        <w:t xml:space="preserve">Agreements for Services over $200,000 (Excluding Consulting Services). </w:t>
      </w:r>
      <w:r>
        <w:t xml:space="preserve">Contractor shall give priority consideration in filling vacancies in positions funded by this Agreement to qualified recipients of aid under Welfare and Institutions Code section 11200 in accordance with PCC 10353.  </w:t>
      </w:r>
    </w:p>
    <w:p w:rsidR="00A01ACD" w:rsidRDefault="00105BB0">
      <w:pPr>
        <w:spacing w:after="0" w:line="259" w:lineRule="auto"/>
        <w:ind w:left="721" w:firstLine="0"/>
      </w:pPr>
      <w:r>
        <w:t xml:space="preserve"> </w:t>
      </w:r>
    </w:p>
    <w:p w:rsidR="00A01ACD" w:rsidRDefault="00105BB0">
      <w:pPr>
        <w:numPr>
          <w:ilvl w:val="1"/>
          <w:numId w:val="1"/>
        </w:numPr>
      </w:pPr>
      <w:r>
        <w:rPr>
          <w:b/>
        </w:rPr>
        <w:t>Agreements of $1,000,000 or More.</w:t>
      </w:r>
      <w:r>
        <w:t xml:space="preserve"> Contractor certifies either (i) it is not on the current list of persons engaged in investment activities in Iran (“Iran List”) created by the California Department of General Services pursuant to PCC 2203(b), and is not a financial institution extending $20,000,000 or more in credit to another person, for forty-five (45) days or more, if that other person will use the credit to provide goods or services in the energy sector in Iran and is identified on the Iran List, or (ii) it has received written permission from the JBE to enter into this Agreement pursuant to PCC 2203(c).   </w:t>
      </w:r>
    </w:p>
    <w:p w:rsidR="00A01ACD" w:rsidRDefault="00105BB0">
      <w:pPr>
        <w:spacing w:after="0" w:line="259" w:lineRule="auto"/>
        <w:ind w:left="721" w:firstLine="0"/>
      </w:pPr>
      <w:r>
        <w:t xml:space="preserve"> </w:t>
      </w:r>
    </w:p>
    <w:p w:rsidR="00A01ACD" w:rsidRDefault="00105BB0">
      <w:pPr>
        <w:numPr>
          <w:ilvl w:val="1"/>
          <w:numId w:val="1"/>
        </w:numPr>
      </w:pPr>
      <w:r>
        <w:rPr>
          <w:b/>
        </w:rPr>
        <w:t xml:space="preserve">Agreements for the Purchase of Goods. </w:t>
      </w:r>
      <w:r>
        <w:t xml:space="preserve">Contractor shall not sell or use any article or product as a “loss leader” as defined in Business and Professions Code section 17030.   </w:t>
      </w:r>
    </w:p>
    <w:p w:rsidR="00A01ACD" w:rsidRDefault="00105BB0">
      <w:pPr>
        <w:spacing w:after="0" w:line="259" w:lineRule="auto"/>
        <w:ind w:left="720" w:firstLine="0"/>
      </w:pPr>
      <w:r>
        <w:t xml:space="preserve"> </w:t>
      </w:r>
    </w:p>
    <w:p w:rsidR="00A01ACD" w:rsidRDefault="00105BB0">
      <w:pPr>
        <w:numPr>
          <w:ilvl w:val="1"/>
          <w:numId w:val="1"/>
        </w:numPr>
      </w:pPr>
      <w:r>
        <w:rPr>
          <w:b/>
        </w:rPr>
        <w:t xml:space="preserve">Agreements for the Purchase of Certain Goods, and Printing, Janitorial, and Building Maintenance Services Agreements. </w:t>
      </w:r>
      <w:r>
        <w:t xml:space="preserve">If Contractor will sell to the JBE, or use in the performance of this Agreement, goods specified in PCC 12207 (for example, certain paper products, office supplies, mulch, glass products, lubricating oils, plastic products, paint, antifreeze, tires and tire-derived products, and metal products), then with respect to those goods: (i) Contractor shall use recycled products in the performance of this Agreement to the maximum extent doing so is economically feasible, and (ii) upon request, Contractor shall certify in writing under penalty of perjury, the minimum, if not exact, percentage of </w:t>
      </w:r>
      <w:proofErr w:type="spellStart"/>
      <w:r>
        <w:t>post consumer</w:t>
      </w:r>
      <w:proofErr w:type="spellEnd"/>
      <w:r>
        <w:t xml:space="preserve"> material as defined in the PCC 12200, in such goods regardless of whether the goods meet the requirements of PCC 12209. With respect to printer or duplication cartridges that comply with the requirements of PCC 12156(e), the certification required by this subdivision shall specify that the cartridges so comply.  </w:t>
      </w:r>
    </w:p>
    <w:p w:rsidR="00A01ACD" w:rsidRDefault="00105BB0">
      <w:pPr>
        <w:spacing w:after="0" w:line="259" w:lineRule="auto"/>
        <w:ind w:left="720" w:firstLine="0"/>
      </w:pPr>
      <w:r>
        <w:t xml:space="preserve"> </w:t>
      </w:r>
    </w:p>
    <w:p w:rsidR="00A01ACD" w:rsidRDefault="00105BB0">
      <w:pPr>
        <w:numPr>
          <w:ilvl w:val="1"/>
          <w:numId w:val="1"/>
        </w:numPr>
      </w:pPr>
      <w:r>
        <w:rPr>
          <w:b/>
        </w:rPr>
        <w:t xml:space="preserve">Agreements for Furnishing Equipment, Materials, Supplies, or for Laundering Services. </w:t>
      </w:r>
      <w:r>
        <w:t xml:space="preserve">Contractor certifies that no apparel, garments or corresponding accessories, equipment, materials, or supplies furnished to the JBE under this Agreement have been laundered or produced in whole or in part by sweatshop labor, forced labor, convict labor, indentured labor under penal sanction, abusive forms of child labor or exploitation of children in sweatshop labor, or with the benefit of sweatshop labor, forced labor, convict labor, indentured labor under penal sanction, abusive forms of child labor or exploitation of children in sweatshop labor. Contractor adheres to the </w:t>
      </w:r>
      <w:proofErr w:type="spellStart"/>
      <w:r>
        <w:t>Sweatfree</w:t>
      </w:r>
      <w:proofErr w:type="spellEnd"/>
      <w:r>
        <w:t xml:space="preserve"> Code of Conduct as set forth on the California Department of Industrial Relations website located at www.dir.ca.gov, and PCC 6108. Contractor agrees to cooperate fully in providing reasonable access to Contractor’s records, documents, agents, and employees, and premises if reasonably required by authorized officials of the Department of Industrial Relations, or the Department of Justice to determine Contractor’s compliance with the requirements under this section and shall provide the same rights of access to the JBE.  </w:t>
      </w:r>
    </w:p>
    <w:p w:rsidR="00A01ACD" w:rsidRDefault="00105BB0">
      <w:pPr>
        <w:spacing w:after="0" w:line="259" w:lineRule="auto"/>
        <w:ind w:left="720" w:firstLine="0"/>
      </w:pPr>
      <w:r>
        <w:t xml:space="preserve"> </w:t>
      </w:r>
    </w:p>
    <w:p w:rsidR="00A01ACD" w:rsidRDefault="00105BB0">
      <w:pPr>
        <w:numPr>
          <w:ilvl w:val="1"/>
          <w:numId w:val="1"/>
        </w:numPr>
      </w:pPr>
      <w:r>
        <w:rPr>
          <w:b/>
        </w:rPr>
        <w:t xml:space="preserve">Agreements relating to DVBE Incentive. </w:t>
      </w:r>
      <w:r>
        <w:t xml:space="preserve"> This section is applicable if Contractor received a disabled veteran business enterprise (“DVBE”) incentive in connection with this Agreement.  Contractor’s failure to meet the DVBE commitment set forth in its bid or proposal constitutes a breach of the Agreement.  If Contractor used DVBE subcontractor(s) in connection with this Agreement: (i) Contractor </w:t>
      </w:r>
      <w:r>
        <w:lastRenderedPageBreak/>
        <w:t xml:space="preserve">must use the DVBE subcontractors identified in its bid or proposal, unless the JBE approves in writing replacement by another DVBE subcontractor in accordance with the terms of this Agreement; and (ii) Contractor must within sixty (60) days of receiving final payment under this Agreement certify in a report to the JBE: (1) the total amount of money Contractor received under the Agreement; (2) the name and address of each DVBE subcontractor to which Contractor subcontracted work in connection with the Agreement; (3) the amount each DVBE subcontractor received from Contractor in connection with the Agreement; and (4) that all payments under the Agreement have been made to the applicable DVBE subcontractors.  A person or entity that knowingly provides false information shall be subject to a civil penalty for each violation. </w:t>
      </w:r>
    </w:p>
    <w:p w:rsidR="00A01ACD" w:rsidRDefault="00105BB0">
      <w:pPr>
        <w:spacing w:after="0" w:line="259" w:lineRule="auto"/>
        <w:ind w:left="721" w:firstLine="0"/>
      </w:pPr>
      <w:r>
        <w:rPr>
          <w:b/>
        </w:rPr>
        <w:t xml:space="preserve"> </w:t>
      </w:r>
    </w:p>
    <w:p w:rsidR="00A01ACD" w:rsidRDefault="00105BB0">
      <w:pPr>
        <w:numPr>
          <w:ilvl w:val="1"/>
          <w:numId w:val="1"/>
        </w:numPr>
      </w:pPr>
      <w:r>
        <w:rPr>
          <w:b/>
        </w:rPr>
        <w:t xml:space="preserve">Agreements Resulting from Competitive Solicitations. </w:t>
      </w:r>
      <w:r>
        <w:t xml:space="preserve">Contractor shall assign to the JBE all rights, title, and interest in and to all causes of action it may have under Section 4 of the Clayton Act (15 U.S.C. Sec. 15) or under the Cartwright Act (Chapter 2 (commencing with Section 16700) of Part 2 of Division 7 of the Business and Professions Code), arising from purchases of goods, materials, or services by Contractor for sale to the JBE. Such assignment shall be made and become effective at the time the JBE tenders final payment to the Contractor. If the JBE receives, either through judgment or settlement, a monetary recovery for a cause of action assigned under this section, the Contractor shall be entitled to receive reimbursement for actual legal costs incurred and may, upon demand, recover from the JBE any portion of the recovery, including treble damages, attributable to overcharges that were paid by the Contractor but were not paid by the JBE as part of the bid price, less the expenses incurred in obtaining that portion of the recovery. Upon demand in writing by the Contractor, the JBE shall, within one year from such demand, reassign the cause of action assigned under this part if the Contractor has been or may have been injured by the violation of law for which the cause of action arose and (a) the JBE has not been injured thereby, or (b) the JBE declines to file a court action for the cause of action. </w:t>
      </w:r>
    </w:p>
    <w:p w:rsidR="00A01ACD" w:rsidRDefault="00105BB0">
      <w:pPr>
        <w:spacing w:after="0" w:line="259" w:lineRule="auto"/>
        <w:ind w:left="721" w:firstLine="0"/>
      </w:pPr>
      <w:r>
        <w:t xml:space="preserve"> </w:t>
      </w:r>
    </w:p>
    <w:p w:rsidR="00A01ACD" w:rsidRDefault="00105BB0">
      <w:pPr>
        <w:numPr>
          <w:ilvl w:val="1"/>
          <w:numId w:val="1"/>
        </w:numPr>
      </w:pPr>
      <w:r>
        <w:rPr>
          <w:b/>
        </w:rPr>
        <w:t xml:space="preserve">Agreements for Legal Services. </w:t>
      </w:r>
      <w:r>
        <w:t xml:space="preserve">Contractor shall: (i) adhere to legal cost and billing guidelines designated by the JBE; (ii) adhere to litigation plans designated by the JBE, if applicable; (iii) adhere to case phasing of activities designated by the JBE, if applicable; (iv) submit and adhere to legal budgets as designated by the JBE; (v) maintain legal malpractice insurance in an amount not less than the amount designated by the JBE; and (vi) submit to legal bill audits and law firm audits if so requested by the JBE, whether conducted by employees or designees of the JBE or by any legal cost-control provider retained by the JBE for that purpose. Contractor may be required to submit to a legal cost and utilization review as determined by the JBE. If (a) the value of this Agreement is greater than $50,000, (b) the legal services are not the legal representation of low- or middle-income persons, in either civil, criminal, or administrative matters, and (c) the legal services are to be performed within California, then Contractor agrees to make a good faith effort to provide a minimum number of hours of pro bono legal services, or an equivalent amount of financial contributions to qualified legal services projects and support centers, as defined in section 6213 of the Business and Professions Code, during each year of the Agreement equal to the lesser of either (A) thirty (30) multiplied by the number of full time attorneys in the firm’s offices in California, with the number of hours prorated on an actual day basis for any period of less than a full year or (B) the number of hours equal to ten percent (10%) of the contract amount divided by the average billing rate of the firm. Failure to make a good faith effort may be cause for nonrenewal of this Agreement or another judicial branch or other state contract for legal </w:t>
      </w:r>
      <w:proofErr w:type="gramStart"/>
      <w:r>
        <w:t>services, and</w:t>
      </w:r>
      <w:proofErr w:type="gramEnd"/>
      <w:r>
        <w:t xml:space="preserve"> may be taken into account when determining the award of future contracts with a judicial branch entity for legal services. </w:t>
      </w:r>
    </w:p>
    <w:p w:rsidR="00A01ACD" w:rsidRDefault="00105BB0">
      <w:pPr>
        <w:spacing w:after="0" w:line="259" w:lineRule="auto"/>
        <w:ind w:left="1" w:firstLine="0"/>
      </w:pPr>
      <w:r>
        <w:t xml:space="preserve"> </w:t>
      </w:r>
    </w:p>
    <w:p w:rsidR="00A01ACD" w:rsidRDefault="00105BB0">
      <w:pPr>
        <w:numPr>
          <w:ilvl w:val="1"/>
          <w:numId w:val="1"/>
        </w:numPr>
      </w:pPr>
      <w:r>
        <w:rPr>
          <w:b/>
        </w:rPr>
        <w:t xml:space="preserve">Agreements Allowing for Reimbursement of Contractor’s Costs. </w:t>
      </w:r>
      <w:r>
        <w:t xml:space="preserve">Contractor must include with any request for reimbursement from the JBE a certification that the Contractor is not seeking </w:t>
      </w:r>
    </w:p>
    <w:p w:rsidR="00A01ACD" w:rsidRDefault="00105BB0">
      <w:pPr>
        <w:ind w:left="716"/>
      </w:pPr>
      <w:r>
        <w:t xml:space="preserve">reimbursement for costs incurred to assist, promote, or deter union organizing. If Contractor incurs costs or makes expenditures to assist, promote or deter union organizing, Contractor will maintain records sufficient to show that no reimbursement from the JBE was sought for these costs, and Contractor will provide those records to the Attorney General upon request.   </w:t>
      </w:r>
    </w:p>
    <w:p w:rsidR="00A01ACD" w:rsidRDefault="00105BB0">
      <w:pPr>
        <w:spacing w:after="0" w:line="259" w:lineRule="auto"/>
        <w:ind w:left="720" w:firstLine="0"/>
      </w:pPr>
      <w:r>
        <w:t xml:space="preserve"> </w:t>
      </w:r>
    </w:p>
    <w:p w:rsidR="00A01ACD" w:rsidRDefault="00105BB0">
      <w:pPr>
        <w:numPr>
          <w:ilvl w:val="1"/>
          <w:numId w:val="1"/>
        </w:numPr>
      </w:pPr>
      <w:r>
        <w:rPr>
          <w:b/>
        </w:rPr>
        <w:lastRenderedPageBreak/>
        <w:t xml:space="preserve">Agreements Performed in California by Contractors that are Corporations, LLCs, or LPs. </w:t>
      </w:r>
      <w:r>
        <w:t xml:space="preserve"> Contractor is, and will remain for the term of the Agreement, qualified to do business and in good standing in California. </w:t>
      </w:r>
    </w:p>
    <w:p w:rsidR="00A01ACD" w:rsidRDefault="00105BB0">
      <w:pPr>
        <w:spacing w:after="0" w:line="259" w:lineRule="auto"/>
        <w:ind w:left="720" w:firstLine="0"/>
      </w:pPr>
      <w:r>
        <w:t xml:space="preserve"> </w:t>
      </w:r>
    </w:p>
    <w:p w:rsidR="00A01ACD" w:rsidRDefault="00105BB0">
      <w:pPr>
        <w:numPr>
          <w:ilvl w:val="1"/>
          <w:numId w:val="1"/>
        </w:numPr>
      </w:pPr>
      <w:r>
        <w:rPr>
          <w:b/>
        </w:rPr>
        <w:t>Agreements that the JBE Cannot Terminate for Convenience.</w:t>
      </w:r>
      <w:r>
        <w:t xml:space="preserve"> The JBE's obligations under this Agreement are subject to the availability of applicable funds. Funding beyond the initial appropriation year is conditioned upon appropriation of sufficient funds to support the activities described in this Agreement. Upon notice, the JBE may terminate this Agreement in whole or in part, without prejudice to any right or remedy of the JBE, if expected or actual funding is withdrawn, reduced, or limited in any way. If this Agreement is terminated for </w:t>
      </w:r>
      <w:proofErr w:type="spellStart"/>
      <w:r>
        <w:t>nonavailability</w:t>
      </w:r>
      <w:proofErr w:type="spellEnd"/>
      <w:r>
        <w:t xml:space="preserve"> of funds, the JBE will pay Contractor for the fair value of work satisfactorily performed prior to the termination, not to exceed the total contract amount.  </w:t>
      </w:r>
    </w:p>
    <w:p w:rsidR="00A01ACD" w:rsidRDefault="00105BB0">
      <w:pPr>
        <w:spacing w:after="0" w:line="259" w:lineRule="auto"/>
        <w:ind w:left="1" w:firstLine="0"/>
      </w:pPr>
      <w:r>
        <w:t xml:space="preserve"> </w:t>
      </w:r>
    </w:p>
    <w:p w:rsidR="00A01ACD" w:rsidRDefault="00105BB0">
      <w:pPr>
        <w:numPr>
          <w:ilvl w:val="1"/>
          <w:numId w:val="1"/>
        </w:numPr>
      </w:pPr>
      <w:r>
        <w:rPr>
          <w:b/>
        </w:rPr>
        <w:t xml:space="preserve">Agreements relating to small business preference.  </w:t>
      </w:r>
      <w:r>
        <w:t xml:space="preserve">This section is applicable if Contractor received a small business preference in connection with this Agreement.  Contractor’s failure to meet the small business commitment set forth in its bid or proposal constitutes a breach of this Agreement.  Contractor must within sixty (60) days of receiving final payment under this Agreement report to the JBE the actual percentage of small/micro business participation that was achieved.  If Contractor is a nonprofit veteran service agency (“NVSA”), Contractor must employ veterans receiving services from the NVSA for not less than 75 percent of the person-hours of direct labor required </w:t>
      </w:r>
      <w:proofErr w:type="gramStart"/>
      <w:r>
        <w:t>for the production of</w:t>
      </w:r>
      <w:proofErr w:type="gramEnd"/>
      <w:r>
        <w:t xml:space="preserve"> goods and the provision of services performed pursuant to this Agreement.</w:t>
      </w:r>
      <w:r>
        <w:rPr>
          <w:b/>
        </w:rPr>
        <w:t xml:space="preserve"> </w:t>
      </w:r>
    </w:p>
    <w:sectPr w:rsidR="00A01ACD">
      <w:headerReference w:type="even" r:id="rId7"/>
      <w:headerReference w:type="default" r:id="rId8"/>
      <w:footerReference w:type="even" r:id="rId9"/>
      <w:footerReference w:type="default" r:id="rId10"/>
      <w:headerReference w:type="first" r:id="rId11"/>
      <w:footerReference w:type="first" r:id="rId12"/>
      <w:pgSz w:w="12240" w:h="15840"/>
      <w:pgMar w:top="1417" w:right="1447" w:bottom="1507" w:left="1439" w:header="622" w:footer="70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606F2" w:rsidRDefault="00105BB0">
      <w:pPr>
        <w:spacing w:after="0" w:line="240" w:lineRule="auto"/>
      </w:pPr>
      <w:r>
        <w:separator/>
      </w:r>
    </w:p>
  </w:endnote>
  <w:endnote w:type="continuationSeparator" w:id="0">
    <w:p w:rsidR="000606F2" w:rsidRDefault="00105B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1ACD" w:rsidRDefault="00105BB0">
    <w:pPr>
      <w:spacing w:after="17" w:line="259" w:lineRule="auto"/>
      <w:ind w:left="7" w:firstLine="0"/>
      <w:jc w:val="center"/>
    </w:pPr>
    <w:r>
      <w:fldChar w:fldCharType="begin"/>
    </w:r>
    <w:r>
      <w:instrText xml:space="preserve"> PAGE   \* MERGEFORMAT </w:instrText>
    </w:r>
    <w:r>
      <w:fldChar w:fldCharType="separate"/>
    </w:r>
    <w:r>
      <w:t>1</w:t>
    </w:r>
    <w:r>
      <w:fldChar w:fldCharType="end"/>
    </w:r>
    <w:r>
      <w:t xml:space="preserve"> </w:t>
    </w:r>
  </w:p>
  <w:p w:rsidR="00A01ACD" w:rsidRDefault="00105BB0">
    <w:pPr>
      <w:spacing w:after="0" w:line="259" w:lineRule="auto"/>
      <w:ind w:left="1" w:firstLine="0"/>
    </w:pPr>
    <w:r>
      <w:rPr>
        <w:sz w:val="2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1ACD" w:rsidRDefault="00105BB0">
    <w:pPr>
      <w:spacing w:after="17" w:line="259" w:lineRule="auto"/>
      <w:ind w:left="7" w:firstLine="0"/>
      <w:jc w:val="center"/>
    </w:pPr>
    <w:r>
      <w:fldChar w:fldCharType="begin"/>
    </w:r>
    <w:r>
      <w:instrText xml:space="preserve"> PAGE   \* MERGEFORMAT </w:instrText>
    </w:r>
    <w:r>
      <w:fldChar w:fldCharType="separate"/>
    </w:r>
    <w:r w:rsidR="00356307">
      <w:rPr>
        <w:noProof/>
      </w:rPr>
      <w:t>1</w:t>
    </w:r>
    <w:r>
      <w:fldChar w:fldCharType="end"/>
    </w:r>
    <w:r>
      <w:t xml:space="preserve"> </w:t>
    </w:r>
  </w:p>
  <w:p w:rsidR="00A01ACD" w:rsidRDefault="00105BB0">
    <w:pPr>
      <w:spacing w:after="0" w:line="259" w:lineRule="auto"/>
      <w:ind w:left="1" w:firstLine="0"/>
    </w:pPr>
    <w:r>
      <w:rPr>
        <w:sz w:val="24"/>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1ACD" w:rsidRDefault="00105BB0">
    <w:pPr>
      <w:spacing w:after="17" w:line="259" w:lineRule="auto"/>
      <w:ind w:left="7" w:firstLine="0"/>
      <w:jc w:val="center"/>
    </w:pPr>
    <w:r>
      <w:fldChar w:fldCharType="begin"/>
    </w:r>
    <w:r>
      <w:instrText xml:space="preserve"> PAGE   \* MERGEFORMAT </w:instrText>
    </w:r>
    <w:r>
      <w:fldChar w:fldCharType="separate"/>
    </w:r>
    <w:r>
      <w:t>1</w:t>
    </w:r>
    <w:r>
      <w:fldChar w:fldCharType="end"/>
    </w:r>
    <w:r>
      <w:t xml:space="preserve"> </w:t>
    </w:r>
  </w:p>
  <w:p w:rsidR="00A01ACD" w:rsidRDefault="00105BB0">
    <w:pPr>
      <w:spacing w:after="0" w:line="259" w:lineRule="auto"/>
      <w:ind w:left="1" w:firstLine="0"/>
    </w:pPr>
    <w:r>
      <w:rPr>
        <w:sz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606F2" w:rsidRDefault="00105BB0">
      <w:pPr>
        <w:spacing w:after="0" w:line="240" w:lineRule="auto"/>
      </w:pPr>
      <w:r>
        <w:separator/>
      </w:r>
    </w:p>
  </w:footnote>
  <w:footnote w:type="continuationSeparator" w:id="0">
    <w:p w:rsidR="000606F2" w:rsidRDefault="00105B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1ACD" w:rsidRDefault="00105BB0">
    <w:pPr>
      <w:spacing w:after="0" w:line="259" w:lineRule="auto"/>
      <w:ind w:left="1" w:firstLine="0"/>
    </w:pPr>
    <w:r>
      <w:rPr>
        <w:b/>
        <w:sz w:val="16"/>
      </w:rPr>
      <w:t xml:space="preserve">JBCL APPENDIX </w:t>
    </w:r>
    <w:r>
      <w:rPr>
        <w:i/>
        <w:sz w:val="16"/>
      </w:rPr>
      <w:t xml:space="preserve">(rev. December 2016) </w:t>
    </w:r>
    <w:r>
      <w:rPr>
        <w:sz w:val="24"/>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1ACD" w:rsidRDefault="00105BB0">
    <w:pPr>
      <w:spacing w:after="0" w:line="259" w:lineRule="auto"/>
      <w:ind w:left="1" w:firstLine="0"/>
      <w:rPr>
        <w:sz w:val="24"/>
      </w:rPr>
    </w:pPr>
    <w:r>
      <w:rPr>
        <w:b/>
        <w:sz w:val="16"/>
      </w:rPr>
      <w:t xml:space="preserve">JBCL APPENDIX </w:t>
    </w:r>
    <w:r>
      <w:rPr>
        <w:i/>
        <w:sz w:val="16"/>
      </w:rPr>
      <w:t xml:space="preserve">(rev. December 2016) </w:t>
    </w:r>
    <w:r>
      <w:rPr>
        <w:sz w:val="24"/>
      </w:rPr>
      <w:t xml:space="preserve"> </w:t>
    </w:r>
  </w:p>
  <w:p w:rsidR="00105BB0" w:rsidRDefault="00105BB0">
    <w:pPr>
      <w:spacing w:after="0" w:line="259" w:lineRule="auto"/>
      <w:ind w:left="1" w:firstLine="0"/>
      <w:rPr>
        <w:b/>
        <w:sz w:val="16"/>
      </w:rPr>
    </w:pPr>
    <w:r>
      <w:rPr>
        <w:b/>
        <w:sz w:val="16"/>
      </w:rPr>
      <w:t>RFP Titl</w:t>
    </w:r>
    <w:r w:rsidR="00550250">
      <w:rPr>
        <w:b/>
        <w:sz w:val="16"/>
      </w:rPr>
      <w:t xml:space="preserve">e: </w:t>
    </w:r>
    <w:r w:rsidR="00CC6295">
      <w:rPr>
        <w:b/>
        <w:sz w:val="16"/>
      </w:rPr>
      <w:t xml:space="preserve">Scanning and Reprographic Services </w:t>
    </w:r>
  </w:p>
  <w:p w:rsidR="00105BB0" w:rsidRDefault="00CC6295">
    <w:pPr>
      <w:spacing w:after="0" w:line="259" w:lineRule="auto"/>
      <w:ind w:left="1" w:firstLine="0"/>
    </w:pPr>
    <w:r>
      <w:rPr>
        <w:b/>
        <w:sz w:val="16"/>
      </w:rPr>
      <w:t>RFP</w:t>
    </w:r>
    <w:r w:rsidR="00550250">
      <w:rPr>
        <w:b/>
        <w:sz w:val="16"/>
      </w:rPr>
      <w:t xml:space="preserve"> Number: </w:t>
    </w:r>
    <w:r w:rsidR="009632CB">
      <w:rPr>
        <w:b/>
        <w:sz w:val="16"/>
      </w:rPr>
      <w:t>RFP-</w:t>
    </w:r>
    <w:r>
      <w:rPr>
        <w:b/>
        <w:sz w:val="16"/>
      </w:rPr>
      <w:t>FS-2019-20-AA</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1ACD" w:rsidRDefault="00105BB0">
    <w:pPr>
      <w:spacing w:after="0" w:line="259" w:lineRule="auto"/>
      <w:ind w:left="1" w:firstLine="0"/>
    </w:pPr>
    <w:r>
      <w:rPr>
        <w:b/>
        <w:sz w:val="16"/>
      </w:rPr>
      <w:t xml:space="preserve">JBCL APPENDIX </w:t>
    </w:r>
    <w:r>
      <w:rPr>
        <w:i/>
        <w:sz w:val="16"/>
      </w:rPr>
      <w:t xml:space="preserve">(rev. December 2016) </w:t>
    </w:r>
    <w:r>
      <w:rPr>
        <w:sz w:val="24"/>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C53C37"/>
    <w:multiLevelType w:val="multilevel"/>
    <w:tmpl w:val="72DCF4EE"/>
    <w:lvl w:ilvl="0">
      <w:start w:val="1"/>
      <w:numFmt w:val="decimal"/>
      <w:lvlText w:val="%1."/>
      <w:lvlJc w:val="left"/>
      <w:pPr>
        <w:ind w:left="1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1">
      <w:start w:val="1"/>
      <w:numFmt w:val="decimal"/>
      <w:lvlText w:val="%1.%2."/>
      <w:lvlJc w:val="left"/>
      <w:pPr>
        <w:ind w:left="716"/>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52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68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1ACD"/>
    <w:rsid w:val="000606F2"/>
    <w:rsid w:val="00105BB0"/>
    <w:rsid w:val="00356307"/>
    <w:rsid w:val="00550250"/>
    <w:rsid w:val="006C1C49"/>
    <w:rsid w:val="009632CB"/>
    <w:rsid w:val="00A01ACD"/>
    <w:rsid w:val="00AF3B61"/>
    <w:rsid w:val="00B6038F"/>
    <w:rsid w:val="00B719B3"/>
    <w:rsid w:val="00B762C7"/>
    <w:rsid w:val="00BD18A4"/>
    <w:rsid w:val="00CC6295"/>
    <w:rsid w:val="00CD1E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7AFC89"/>
  <w15:docId w15:val="{083D9CFC-7852-4CA1-ABB2-D14F1E001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3" w:line="249" w:lineRule="auto"/>
      <w:ind w:left="11" w:hanging="10"/>
    </w:pPr>
    <w:rPr>
      <w:rFonts w:ascii="Times New Roman" w:eastAsia="Times New Roman" w:hAnsi="Times New Roman" w:cs="Times New Roman"/>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719B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19B3"/>
    <w:rPr>
      <w:rFonts w:ascii="Segoe UI" w:eastAsia="Times New Roman"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2283</Words>
  <Characters>13017</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Judicial Council of California</Company>
  <LinksUpToDate>false</LinksUpToDate>
  <CharactersWithSpaces>15270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Acosta, Alfonso</dc:creator>
  <cp:keywords/>
  <cp:lastModifiedBy>Acosta, Alfonso</cp:lastModifiedBy>
  <cp:revision>2</cp:revision>
  <cp:lastPrinted>2020-02-26T16:05:00Z</cp:lastPrinted>
  <dcterms:created xsi:type="dcterms:W3CDTF">2020-04-29T17:15:00Z</dcterms:created>
  <dcterms:modified xsi:type="dcterms:W3CDTF">2020-04-29T17:15:00Z</dcterms:modified>
</cp:coreProperties>
</file>