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E97D3D">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E97D3D">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3A7B660A" w14:textId="77777777" w:rsidR="006D0EE2" w:rsidRPr="00E97D3D" w:rsidRDefault="006D0EE2" w:rsidP="006D0EE2">
            <w:pPr>
              <w:pStyle w:val="JCCReportCoverSubhead"/>
              <w:rPr>
                <w:rFonts w:ascii="Arial" w:hAnsi="Arial" w:cs="Arial"/>
                <w:b/>
                <w:i/>
                <w:szCs w:val="28"/>
              </w:rPr>
            </w:pPr>
            <w:r w:rsidRPr="00E97D3D">
              <w:rPr>
                <w:rFonts w:ascii="Arial" w:hAnsi="Arial" w:cs="Arial"/>
                <w:b/>
                <w:i/>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00F66DA0" w14:textId="77777777" w:rsidR="00E97D3D" w:rsidRDefault="008B50E8" w:rsidP="00105F4B">
            <w:pPr>
              <w:pStyle w:val="JCCReportCoverSubhead"/>
              <w:rPr>
                <w:rFonts w:ascii="Arial" w:hAnsi="Arial" w:cs="Arial"/>
                <w:b/>
                <w:szCs w:val="28"/>
              </w:rPr>
            </w:pPr>
            <w:r>
              <w:rPr>
                <w:rFonts w:ascii="Arial" w:hAnsi="Arial" w:cs="Arial"/>
                <w:b/>
                <w:szCs w:val="28"/>
              </w:rPr>
              <w:t>Regarding:</w:t>
            </w:r>
            <w:r w:rsidR="006D0EE2">
              <w:rPr>
                <w:rFonts w:ascii="Arial" w:hAnsi="Arial" w:cs="Arial"/>
                <w:b/>
                <w:szCs w:val="28"/>
              </w:rPr>
              <w:t xml:space="preserve"> </w:t>
            </w:r>
          </w:p>
          <w:p w14:paraId="5AA1C63A" w14:textId="6BC8945A" w:rsidR="00263333" w:rsidRPr="00E97D3D" w:rsidRDefault="00DE3A0F" w:rsidP="00105F4B">
            <w:pPr>
              <w:pStyle w:val="JCCReportCoverSubhead"/>
              <w:rPr>
                <w:rFonts w:asciiTheme="majorHAnsi" w:hAnsiTheme="majorHAnsi" w:cstheme="majorHAnsi"/>
                <w:bCs/>
                <w:sz w:val="24"/>
              </w:rPr>
            </w:pPr>
            <w:r>
              <w:rPr>
                <w:rFonts w:asciiTheme="majorHAnsi" w:hAnsiTheme="majorHAnsi" w:cstheme="majorHAnsi"/>
                <w:bCs/>
                <w:sz w:val="24"/>
              </w:rPr>
              <w:t>TRANSFER HEARINGS</w:t>
            </w:r>
            <w:r w:rsidR="00434706" w:rsidRPr="00434706">
              <w:rPr>
                <w:rFonts w:asciiTheme="majorHAnsi" w:hAnsiTheme="majorHAnsi" w:cstheme="majorHAnsi"/>
                <w:bCs/>
                <w:sz w:val="24"/>
              </w:rPr>
              <w:t xml:space="preserve"> in California juvenile justice</w:t>
            </w:r>
            <w:r w:rsidR="00434706">
              <w:rPr>
                <w:rFonts w:asciiTheme="majorHAnsi" w:hAnsiTheme="majorHAnsi" w:cstheme="majorHAnsi"/>
                <w:bCs/>
                <w:sz w:val="24"/>
              </w:rPr>
              <w:t xml:space="preserve"> </w:t>
            </w:r>
            <w:r w:rsidR="00434706" w:rsidRPr="00434706">
              <w:rPr>
                <w:rFonts w:asciiTheme="majorHAnsi" w:hAnsiTheme="majorHAnsi" w:cstheme="majorHAnsi"/>
                <w:bCs/>
                <w:sz w:val="24"/>
              </w:rPr>
              <w:t>proceedings</w:t>
            </w:r>
          </w:p>
          <w:p w14:paraId="55E87C9C" w14:textId="6BFB4878" w:rsidR="008B50E8" w:rsidRPr="00865B20" w:rsidRDefault="008B50E8" w:rsidP="00105F4B">
            <w:pPr>
              <w:pStyle w:val="JCCReportCoverSubhead"/>
              <w:rPr>
                <w:rFonts w:ascii="Arial" w:hAnsi="Arial" w:cs="Arial"/>
                <w:szCs w:val="28"/>
              </w:rPr>
            </w:pPr>
            <w:r>
              <w:rPr>
                <w:rFonts w:ascii="Arial" w:hAnsi="Arial" w:cs="Arial"/>
                <w:b/>
                <w:szCs w:val="28"/>
              </w:rPr>
              <w:br/>
            </w:r>
            <w:r w:rsidR="007836AA" w:rsidRPr="00E97D3D">
              <w:rPr>
                <w:rFonts w:ascii="Arial" w:hAnsi="Arial" w:cs="Arial"/>
                <w:b/>
                <w:bCs/>
                <w:iCs/>
                <w:caps w:val="0"/>
                <w:szCs w:val="28"/>
              </w:rPr>
              <w:t>RF</w:t>
            </w:r>
            <w:r w:rsidR="00263333" w:rsidRPr="00E97D3D">
              <w:rPr>
                <w:rFonts w:ascii="Arial" w:hAnsi="Arial" w:cs="Arial"/>
                <w:b/>
                <w:bCs/>
                <w:iCs/>
                <w:caps w:val="0"/>
                <w:szCs w:val="28"/>
              </w:rPr>
              <w:t xml:space="preserve">P# </w:t>
            </w:r>
            <w:r w:rsidR="00C10DD0">
              <w:rPr>
                <w:rFonts w:ascii="Arial" w:hAnsi="Arial" w:cs="Arial"/>
                <w:b/>
                <w:bCs/>
                <w:iCs/>
                <w:caps w:val="0"/>
                <w:szCs w:val="28"/>
              </w:rPr>
              <w:t>CFCC-2026-03-AC</w:t>
            </w: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Pr="00B71151" w:rsidRDefault="008B50E8" w:rsidP="00105F4B">
            <w:pPr>
              <w:pStyle w:val="Header"/>
              <w:tabs>
                <w:tab w:val="clear" w:pos="4320"/>
                <w:tab w:val="clear" w:pos="8640"/>
              </w:tabs>
              <w:autoSpaceDE w:val="0"/>
              <w:autoSpaceDN w:val="0"/>
              <w:adjustRightInd w:val="0"/>
              <w:rPr>
                <w:rFonts w:ascii="Arial" w:hAnsi="Arial" w:cs="Arial"/>
                <w:b/>
                <w:bCs/>
                <w:smallCaps/>
                <w:sz w:val="28"/>
                <w:szCs w:val="28"/>
              </w:rPr>
            </w:pPr>
            <w:r w:rsidRPr="00B71151">
              <w:rPr>
                <w:rFonts w:ascii="Arial" w:hAnsi="Arial" w:cs="Arial"/>
                <w:b/>
                <w:bCs/>
                <w:smallCaps/>
                <w:sz w:val="28"/>
                <w:szCs w:val="28"/>
              </w:rPr>
              <w:t xml:space="preserve">PROPOSALS DUE:  </w:t>
            </w:r>
          </w:p>
          <w:p w14:paraId="10B9C18C" w14:textId="66218092" w:rsidR="008B50E8" w:rsidRPr="00B71151" w:rsidRDefault="00172909" w:rsidP="00105F4B">
            <w:pPr>
              <w:pStyle w:val="Header"/>
              <w:tabs>
                <w:tab w:val="clear" w:pos="4320"/>
                <w:tab w:val="clear" w:pos="8640"/>
              </w:tabs>
              <w:autoSpaceDE w:val="0"/>
              <w:autoSpaceDN w:val="0"/>
              <w:adjustRightInd w:val="0"/>
              <w:rPr>
                <w:rFonts w:ascii="Arial" w:hAnsi="Arial" w:cs="Arial"/>
                <w:b/>
                <w:bCs/>
                <w:iCs/>
                <w:smallCaps/>
                <w:color w:val="000000"/>
                <w:sz w:val="28"/>
                <w:szCs w:val="28"/>
              </w:rPr>
            </w:pPr>
            <w:r>
              <w:rPr>
                <w:rFonts w:ascii="Arial" w:hAnsi="Arial" w:cs="Arial"/>
                <w:b/>
                <w:bCs/>
                <w:iCs/>
                <w:sz w:val="28"/>
                <w:szCs w:val="28"/>
              </w:rPr>
              <w:t>April</w:t>
            </w:r>
            <w:r w:rsidR="00666670">
              <w:rPr>
                <w:rFonts w:ascii="Arial" w:hAnsi="Arial" w:cs="Arial"/>
                <w:b/>
                <w:bCs/>
                <w:iCs/>
                <w:sz w:val="28"/>
                <w:szCs w:val="28"/>
              </w:rPr>
              <w:t xml:space="preserve"> </w:t>
            </w:r>
            <w:r w:rsidR="00406806">
              <w:rPr>
                <w:rFonts w:ascii="Arial" w:hAnsi="Arial" w:cs="Arial"/>
                <w:b/>
                <w:bCs/>
                <w:iCs/>
                <w:sz w:val="28"/>
                <w:szCs w:val="28"/>
              </w:rPr>
              <w:t>2</w:t>
            </w:r>
            <w:r w:rsidR="00435D70">
              <w:rPr>
                <w:rFonts w:ascii="Arial" w:hAnsi="Arial" w:cs="Arial"/>
                <w:b/>
                <w:bCs/>
                <w:iCs/>
                <w:sz w:val="28"/>
                <w:szCs w:val="28"/>
              </w:rPr>
              <w:t>1</w:t>
            </w:r>
            <w:r w:rsidR="00666670">
              <w:rPr>
                <w:rFonts w:ascii="Arial" w:hAnsi="Arial" w:cs="Arial"/>
                <w:b/>
                <w:bCs/>
                <w:iCs/>
                <w:sz w:val="28"/>
                <w:szCs w:val="28"/>
              </w:rPr>
              <w:t xml:space="preserve">, </w:t>
            </w:r>
            <w:r w:rsidR="00406806">
              <w:rPr>
                <w:rFonts w:ascii="Arial" w:hAnsi="Arial" w:cs="Arial"/>
                <w:b/>
                <w:bCs/>
                <w:iCs/>
                <w:sz w:val="28"/>
                <w:szCs w:val="28"/>
              </w:rPr>
              <w:t>20</w:t>
            </w:r>
            <w:r w:rsidR="00A00E22">
              <w:rPr>
                <w:rFonts w:ascii="Arial" w:hAnsi="Arial" w:cs="Arial"/>
                <w:b/>
                <w:bCs/>
                <w:iCs/>
                <w:sz w:val="28"/>
                <w:szCs w:val="28"/>
              </w:rPr>
              <w:t>2</w:t>
            </w:r>
            <w:r w:rsidR="00406806">
              <w:rPr>
                <w:rFonts w:ascii="Arial" w:hAnsi="Arial" w:cs="Arial"/>
                <w:b/>
                <w:bCs/>
                <w:iCs/>
                <w:sz w:val="28"/>
                <w:szCs w:val="28"/>
              </w:rPr>
              <w:t>6</w:t>
            </w:r>
            <w:r w:rsidR="00E97D3D" w:rsidRPr="00E97D3D">
              <w:rPr>
                <w:rFonts w:ascii="Arial" w:hAnsi="Arial" w:cs="Arial"/>
                <w:b/>
                <w:bCs/>
                <w:iCs/>
                <w:sz w:val="28"/>
                <w:szCs w:val="28"/>
              </w:rPr>
              <w:t>,</w:t>
            </w:r>
            <w:r w:rsidR="008B50E8" w:rsidRPr="00E97D3D">
              <w:rPr>
                <w:rFonts w:ascii="Arial" w:hAnsi="Arial" w:cs="Arial"/>
                <w:b/>
                <w:bCs/>
                <w:iCs/>
                <w:smallCaps/>
                <w:sz w:val="28"/>
                <w:szCs w:val="28"/>
              </w:rPr>
              <w:t xml:space="preserve"> no later than </w:t>
            </w:r>
            <w:r w:rsidR="00B71151" w:rsidRPr="00E97D3D">
              <w:rPr>
                <w:rFonts w:ascii="Arial" w:hAnsi="Arial" w:cs="Arial"/>
                <w:b/>
                <w:bCs/>
                <w:iCs/>
                <w:smallCaps/>
                <w:sz w:val="28"/>
                <w:szCs w:val="28"/>
              </w:rPr>
              <w:t>3</w:t>
            </w:r>
            <w:r w:rsidR="00B71151" w:rsidRPr="00E97D3D">
              <w:rPr>
                <w:rFonts w:ascii="Arial" w:hAnsi="Arial" w:cs="Arial"/>
                <w:b/>
                <w:bCs/>
                <w:iCs/>
                <w:sz w:val="28"/>
                <w:szCs w:val="28"/>
              </w:rPr>
              <w:t>:00</w:t>
            </w:r>
            <w:r w:rsidR="008B50E8" w:rsidRPr="00E97D3D">
              <w:rPr>
                <w:rFonts w:ascii="Arial" w:hAnsi="Arial" w:cs="Arial"/>
                <w:b/>
                <w:bCs/>
                <w:iCs/>
                <w:caps/>
                <w:sz w:val="28"/>
                <w:szCs w:val="28"/>
              </w:rPr>
              <w:t xml:space="preserve"> </w:t>
            </w:r>
            <w:r w:rsidR="008B50E8" w:rsidRPr="00E97D3D">
              <w:rPr>
                <w:rFonts w:ascii="Arial" w:hAnsi="Arial" w:cs="Arial"/>
                <w:b/>
                <w:bCs/>
                <w:iCs/>
                <w:smallCaps/>
                <w:sz w:val="28"/>
                <w:szCs w:val="28"/>
              </w:rPr>
              <w:t xml:space="preserve">p.m. Pacific </w:t>
            </w:r>
            <w:r w:rsidR="008B50E8" w:rsidRPr="00E97D3D">
              <w:rPr>
                <w:rFonts w:ascii="Arial" w:hAnsi="Arial" w:cs="Arial"/>
                <w:b/>
                <w:bCs/>
                <w:iCs/>
                <w:smallCaps/>
                <w:color w:val="000000"/>
                <w:sz w:val="28"/>
                <w:szCs w:val="28"/>
              </w:rPr>
              <w:t xml:space="preserve">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0F15090D" w14:textId="7B5716B0" w:rsidR="00C37FF7" w:rsidRPr="00666670" w:rsidRDefault="00C37FF7" w:rsidP="00666670">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A257A0A" w14:textId="77777777" w:rsidR="008D66F3" w:rsidRDefault="008D66F3" w:rsidP="00B4435C">
      <w:pPr>
        <w:spacing w:before="240" w:after="240" w:line="300" w:lineRule="atLeast"/>
        <w:ind w:left="1440" w:hanging="720"/>
      </w:pPr>
      <w:r>
        <w:t>1.1.</w:t>
      </w:r>
      <w:r>
        <w:tab/>
      </w:r>
      <w:r w:rsidR="00984773" w:rsidRPr="00CD5DB0">
        <w:t xml:space="preserve">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Council’s Center for Families, Children and the Courts (CFCC) </w:t>
      </w:r>
      <w:proofErr w:type="gramStart"/>
      <w:r w:rsidR="00984773" w:rsidRPr="00CD5DB0">
        <w:t>supports</w:t>
      </w:r>
      <w:proofErr w:type="gramEnd"/>
      <w:r w:rsidR="00984773" w:rsidRPr="00CD5DB0">
        <w:t xml:space="preserve"> programs in court settings that improve practice and services for children, youth, parents, families and other court users</w:t>
      </w:r>
      <w:r>
        <w:t>.</w:t>
      </w:r>
    </w:p>
    <w:p w14:paraId="06F119DD" w14:textId="77777777" w:rsidR="008D66F3" w:rsidRDefault="008D66F3" w:rsidP="00B4435C">
      <w:pPr>
        <w:spacing w:before="240" w:after="240" w:line="300" w:lineRule="atLeast"/>
        <w:ind w:left="1440" w:hanging="720"/>
      </w:pPr>
      <w:r>
        <w:t xml:space="preserve">1.2. </w:t>
      </w:r>
      <w:r>
        <w:tab/>
      </w:r>
      <w:r w:rsidR="00453ADC" w:rsidRPr="00245186">
        <w:t xml:space="preserve">Juvenile </w:t>
      </w:r>
      <w:r w:rsidR="00453ADC">
        <w:t xml:space="preserve">justice </w:t>
      </w:r>
      <w:r w:rsidR="00453ADC" w:rsidRPr="00245186">
        <w:t xml:space="preserve">proceedings in California address allegations that </w:t>
      </w:r>
      <w:r w:rsidR="00453ADC">
        <w:t>youth</w:t>
      </w:r>
      <w:r w:rsidR="00453ADC" w:rsidRPr="00245186">
        <w:t xml:space="preserve"> have violated criminal laws. Jurisdictional</w:t>
      </w:r>
      <w:r w:rsidR="00453ADC">
        <w:t xml:space="preserve"> transfer</w:t>
      </w:r>
      <w:r w:rsidR="00453ADC" w:rsidRPr="00245186">
        <w:t xml:space="preserve"> and physical transfer hearings are critical in these proceedings, determining whether, in certain cases, the </w:t>
      </w:r>
      <w:r w:rsidR="00453ADC">
        <w:t>youth’s case</w:t>
      </w:r>
      <w:r w:rsidR="00453ADC" w:rsidRPr="00245186">
        <w:t xml:space="preserve"> should be transferred to adult criminal court</w:t>
      </w:r>
      <w:r w:rsidR="00453ADC">
        <w:t xml:space="preserve"> and if the youth will be housed in a juvenile or adult facility</w:t>
      </w:r>
      <w:r w:rsidR="00453ADC" w:rsidRPr="00245186">
        <w:t>. Judges presiding over these hearings must navigate complex statutory requirements, constitutional protections, and evolving case law to ensure fair and lawful outcomes.</w:t>
      </w:r>
    </w:p>
    <w:p w14:paraId="754EEBE3" w14:textId="50A42263" w:rsidR="00453ADC" w:rsidRPr="00245186" w:rsidRDefault="008D66F3" w:rsidP="00B4435C">
      <w:pPr>
        <w:spacing w:before="240" w:after="240" w:line="300" w:lineRule="atLeast"/>
        <w:ind w:left="1440" w:hanging="720"/>
      </w:pPr>
      <w:r>
        <w:t>1.3</w:t>
      </w:r>
      <w:r>
        <w:tab/>
      </w:r>
      <w:r w:rsidR="00453ADC" w:rsidRPr="00245186">
        <w:t>This Request for Proposals (RFP) seeks an entity with expertise in juvenile law and judicial education to develop a comprehensive bench guide for judges</w:t>
      </w:r>
      <w:r w:rsidR="00666670">
        <w:t xml:space="preserve"> (“Guide”)</w:t>
      </w:r>
      <w:r w:rsidR="00453ADC" w:rsidRPr="00245186">
        <w:t xml:space="preserve">. The </w:t>
      </w:r>
      <w:r w:rsidR="00666670">
        <w:t>G</w:t>
      </w:r>
      <w:r w:rsidR="00453ADC" w:rsidRPr="00245186">
        <w:t>uide will focus on jurisdictional</w:t>
      </w:r>
      <w:r w:rsidR="00453ADC">
        <w:t xml:space="preserve"> transfer</w:t>
      </w:r>
      <w:r w:rsidR="00453ADC" w:rsidRPr="00245186">
        <w:t xml:space="preserve"> and physical transfer hearings in California juvenile </w:t>
      </w:r>
      <w:r w:rsidR="00453ADC">
        <w:t xml:space="preserve">justice </w:t>
      </w:r>
      <w:r w:rsidR="00453ADC" w:rsidRPr="00245186">
        <w:t>cases, providing practical checklists, summaries of applicable law, and sample scripts to support judicial decision-making and promote uniformity and fairness statewide.</w:t>
      </w:r>
    </w:p>
    <w:p w14:paraId="77E554C6" w14:textId="77777777" w:rsidR="00DD2A30" w:rsidRDefault="00DD2A30" w:rsidP="00B9737E">
      <w:pPr>
        <w:keepNext/>
        <w:ind w:left="720" w:hanging="720"/>
        <w:rPr>
          <w:b/>
          <w:bCs/>
        </w:rPr>
      </w:pPr>
    </w:p>
    <w:p w14:paraId="25D4CC0A" w14:textId="4836A534" w:rsidR="00FC4A81" w:rsidRPr="008D66F3" w:rsidRDefault="00A00E22" w:rsidP="008D66F3">
      <w:pPr>
        <w:pStyle w:val="ListParagraph"/>
        <w:keepNext/>
        <w:numPr>
          <w:ilvl w:val="0"/>
          <w:numId w:val="21"/>
        </w:numPr>
        <w:rPr>
          <w:b/>
          <w:bCs/>
        </w:rPr>
      </w:pPr>
      <w:r>
        <w:rPr>
          <w:b/>
          <w:bCs/>
        </w:rPr>
        <w:t xml:space="preserve">      </w:t>
      </w:r>
      <w:r w:rsidR="00FC4A81" w:rsidRPr="008D66F3">
        <w:rPr>
          <w:b/>
          <w:bCs/>
        </w:rPr>
        <w:t xml:space="preserve">DESCRIPTION OF </w:t>
      </w:r>
      <w:r w:rsidR="009C38A6" w:rsidRPr="008D66F3">
        <w:rPr>
          <w:b/>
          <w:bCs/>
        </w:rPr>
        <w:t xml:space="preserve">SERVICES </w:t>
      </w:r>
      <w:r w:rsidR="005F3F8D" w:rsidRPr="008D66F3">
        <w:rPr>
          <w:b/>
          <w:bCs/>
        </w:rPr>
        <w:t>AND DELIVERABLES</w:t>
      </w:r>
    </w:p>
    <w:p w14:paraId="6F5A2B42" w14:textId="77777777" w:rsidR="00C10DD0" w:rsidRPr="00685FB8" w:rsidRDefault="00C10DD0" w:rsidP="00B4435C">
      <w:pPr>
        <w:pStyle w:val="ListParagraph"/>
        <w:numPr>
          <w:ilvl w:val="1"/>
          <w:numId w:val="21"/>
        </w:numPr>
        <w:spacing w:before="240" w:after="240" w:line="300" w:lineRule="atLeast"/>
        <w:rPr>
          <w:rFonts w:asciiTheme="minorHAnsi" w:hAnsiTheme="minorHAnsi"/>
          <w:u w:val="single"/>
        </w:rPr>
      </w:pPr>
      <w:r w:rsidRPr="00685FB8">
        <w:rPr>
          <w:u w:val="single"/>
        </w:rPr>
        <w:t>Introduction</w:t>
      </w:r>
    </w:p>
    <w:p w14:paraId="6727DF0D" w14:textId="2191BF07" w:rsidR="00146861" w:rsidRDefault="00146861" w:rsidP="00172909">
      <w:pPr>
        <w:pStyle w:val="ListParagraph"/>
        <w:spacing w:before="240" w:after="240" w:line="300" w:lineRule="atLeast"/>
        <w:ind w:left="1080"/>
        <w:rPr>
          <w:rFonts w:asciiTheme="minorHAnsi" w:hAnsiTheme="minorHAnsi"/>
        </w:rPr>
      </w:pPr>
      <w:r w:rsidRPr="00245186">
        <w:t>The Judicial Council of California seeks the services of a qualified entity to develop a</w:t>
      </w:r>
      <w:r>
        <w:t xml:space="preserve"> </w:t>
      </w:r>
      <w:r w:rsidRPr="00245186">
        <w:t xml:space="preserve">bench guide for judges about jurisdictional </w:t>
      </w:r>
      <w:r>
        <w:t xml:space="preserve">transfer </w:t>
      </w:r>
      <w:r w:rsidRPr="00245186">
        <w:t xml:space="preserve">and physical transfer hearings in California juvenile </w:t>
      </w:r>
      <w:r>
        <w:t>justice</w:t>
      </w:r>
      <w:r w:rsidRPr="00245186">
        <w:t>. The successful proposer will demonstrate expertise in juvenile law, judicial education, and curriculum development, and will deliver a resource that is clear, practical, and accessible for judicial officers statewide.</w:t>
      </w:r>
      <w:r>
        <w:t xml:space="preserve"> </w:t>
      </w:r>
      <w:r w:rsidRPr="00146861">
        <w:rPr>
          <w:rFonts w:asciiTheme="minorHAnsi" w:hAnsiTheme="minorHAnsi"/>
        </w:rPr>
        <w:t>The Guide must be accessible in print and digital formats and meet accessibility standards under the Americans with Disabilities Act (ADA). The Contractor will collaborate with CFCC attorneys, court partners, and subject matter experts throughout the project.</w:t>
      </w:r>
    </w:p>
    <w:p w14:paraId="45389C52" w14:textId="426132ED" w:rsidR="00146861" w:rsidRDefault="00146861" w:rsidP="00146861">
      <w:pPr>
        <w:pStyle w:val="ListParagraph"/>
        <w:numPr>
          <w:ilvl w:val="1"/>
          <w:numId w:val="21"/>
        </w:numPr>
        <w:spacing w:before="240" w:after="240"/>
        <w:rPr>
          <w:rFonts w:asciiTheme="minorHAnsi" w:hAnsiTheme="minorHAnsi"/>
          <w:u w:val="single"/>
        </w:rPr>
      </w:pPr>
      <w:r w:rsidRPr="00146861">
        <w:rPr>
          <w:rFonts w:asciiTheme="minorHAnsi" w:hAnsiTheme="minorHAnsi"/>
          <w:u w:val="single"/>
        </w:rPr>
        <w:lastRenderedPageBreak/>
        <w:t>General Scope of Services Requirements</w:t>
      </w:r>
    </w:p>
    <w:p w14:paraId="2A9E8C8C" w14:textId="2AE7B14A" w:rsidR="007C1E66" w:rsidRPr="00B4435C" w:rsidRDefault="00146861" w:rsidP="00B4435C">
      <w:pPr>
        <w:pStyle w:val="ListParagraph"/>
        <w:spacing w:line="300" w:lineRule="atLeast"/>
        <w:ind w:left="1080"/>
      </w:pPr>
      <w:r w:rsidRPr="00245186">
        <w:t xml:space="preserve">The </w:t>
      </w:r>
      <w:r>
        <w:t>Guide</w:t>
      </w:r>
      <w:r w:rsidRPr="00245186">
        <w:t xml:space="preserve"> must be designed for use by judges presiding over juvenile </w:t>
      </w:r>
      <w:r>
        <w:t xml:space="preserve">justice </w:t>
      </w:r>
      <w:r w:rsidRPr="00245186">
        <w:t xml:space="preserve">matters, with a focus on </w:t>
      </w:r>
      <w:r>
        <w:t>transfer</w:t>
      </w:r>
      <w:r w:rsidRPr="00245186">
        <w:t xml:space="preserve"> hearings.</w:t>
      </w:r>
    </w:p>
    <w:p w14:paraId="59D5B11C" w14:textId="0C48DB5A" w:rsidR="00CA20DC" w:rsidRPr="00245186" w:rsidRDefault="00CA20DC" w:rsidP="00B4435C">
      <w:pPr>
        <w:pStyle w:val="ListParagraph"/>
        <w:numPr>
          <w:ilvl w:val="0"/>
          <w:numId w:val="23"/>
        </w:numPr>
        <w:spacing w:line="300" w:lineRule="atLeast"/>
      </w:pPr>
      <w:r w:rsidRPr="00245186">
        <w:t xml:space="preserve">The </w:t>
      </w:r>
      <w:r w:rsidR="00666670">
        <w:t>Guide</w:t>
      </w:r>
      <w:r w:rsidRPr="00245186">
        <w:t xml:space="preserve"> should include: </w:t>
      </w:r>
    </w:p>
    <w:p w14:paraId="75F867FE" w14:textId="098C5643" w:rsidR="00CA20DC" w:rsidRPr="00245186" w:rsidRDefault="00CA20DC" w:rsidP="00B4435C">
      <w:pPr>
        <w:numPr>
          <w:ilvl w:val="1"/>
          <w:numId w:val="13"/>
        </w:numPr>
        <w:tabs>
          <w:tab w:val="clear" w:pos="1440"/>
          <w:tab w:val="num" w:pos="2160"/>
        </w:tabs>
        <w:spacing w:line="300" w:lineRule="atLeast"/>
        <w:ind w:left="2160"/>
      </w:pPr>
      <w:r w:rsidRPr="00245186">
        <w:t>Procedural checklists for jurisdictional</w:t>
      </w:r>
      <w:r>
        <w:t xml:space="preserve"> transfer</w:t>
      </w:r>
      <w:r w:rsidRPr="00245186">
        <w:t xml:space="preserve"> hearings.</w:t>
      </w:r>
    </w:p>
    <w:p w14:paraId="55BA7FE5" w14:textId="77777777" w:rsidR="00CA20DC" w:rsidRPr="00245186" w:rsidRDefault="00CA20DC" w:rsidP="00B4435C">
      <w:pPr>
        <w:numPr>
          <w:ilvl w:val="1"/>
          <w:numId w:val="13"/>
        </w:numPr>
        <w:tabs>
          <w:tab w:val="clear" w:pos="1440"/>
          <w:tab w:val="num" w:pos="2160"/>
        </w:tabs>
        <w:spacing w:line="300" w:lineRule="atLeast"/>
        <w:ind w:left="2160"/>
      </w:pPr>
      <w:r w:rsidRPr="00245186">
        <w:t xml:space="preserve">Summaries of applicable statutes, rules, and case law, including Welfare and Institutions Code sections relevant to </w:t>
      </w:r>
      <w:r>
        <w:t xml:space="preserve">juvenile justice </w:t>
      </w:r>
      <w:r w:rsidRPr="00245186">
        <w:t>transfer</w:t>
      </w:r>
      <w:r>
        <w:t xml:space="preserve"> hearings</w:t>
      </w:r>
      <w:r w:rsidRPr="00245186">
        <w:t>.</w:t>
      </w:r>
    </w:p>
    <w:p w14:paraId="6EC96182" w14:textId="77777777" w:rsidR="00CA20DC" w:rsidRPr="00245186" w:rsidRDefault="00CA20DC" w:rsidP="00B4435C">
      <w:pPr>
        <w:numPr>
          <w:ilvl w:val="1"/>
          <w:numId w:val="13"/>
        </w:numPr>
        <w:tabs>
          <w:tab w:val="clear" w:pos="1440"/>
          <w:tab w:val="num" w:pos="2160"/>
        </w:tabs>
        <w:spacing w:line="300" w:lineRule="atLeast"/>
        <w:ind w:left="2160"/>
      </w:pPr>
      <w:r w:rsidRPr="00245186">
        <w:t>Sample scripts for judicial officers to use during hearings.</w:t>
      </w:r>
    </w:p>
    <w:p w14:paraId="3EAEB8F4" w14:textId="77777777" w:rsidR="00CA20DC" w:rsidRPr="00245186" w:rsidRDefault="00CA20DC" w:rsidP="00B4435C">
      <w:pPr>
        <w:numPr>
          <w:ilvl w:val="1"/>
          <w:numId w:val="13"/>
        </w:numPr>
        <w:tabs>
          <w:tab w:val="clear" w:pos="1440"/>
          <w:tab w:val="num" w:pos="2160"/>
        </w:tabs>
        <w:spacing w:line="300" w:lineRule="atLeast"/>
        <w:ind w:left="2160"/>
      </w:pPr>
      <w:r w:rsidRPr="00245186">
        <w:t>Guidance on evidentiary issues, rights advisements, and findings/orders.</w:t>
      </w:r>
    </w:p>
    <w:p w14:paraId="74E8933B" w14:textId="77777777" w:rsidR="00B4435C" w:rsidRDefault="00CA20DC" w:rsidP="00B4435C">
      <w:pPr>
        <w:numPr>
          <w:ilvl w:val="1"/>
          <w:numId w:val="13"/>
        </w:numPr>
        <w:tabs>
          <w:tab w:val="clear" w:pos="1440"/>
          <w:tab w:val="num" w:pos="2160"/>
        </w:tabs>
        <w:spacing w:line="300" w:lineRule="atLeast"/>
        <w:ind w:left="2160"/>
      </w:pPr>
      <w:r w:rsidRPr="00245186">
        <w:t>References to relevant Judicial Council forms and local rules.</w:t>
      </w:r>
    </w:p>
    <w:p w14:paraId="0861F41E" w14:textId="77777777" w:rsidR="00B4435C" w:rsidRDefault="00CA20DC" w:rsidP="00B4435C">
      <w:pPr>
        <w:numPr>
          <w:ilvl w:val="1"/>
          <w:numId w:val="24"/>
        </w:numPr>
        <w:spacing w:line="300" w:lineRule="atLeast"/>
      </w:pPr>
      <w:r w:rsidRPr="00245186">
        <w:t>The content must be current, reflecting recent legislative changes, appellate decisions, and best practices in juvenile justice.</w:t>
      </w:r>
    </w:p>
    <w:p w14:paraId="2DF9CAF3" w14:textId="4A10FA5F" w:rsidR="00CA20DC" w:rsidRPr="00245186" w:rsidRDefault="00CA20DC" w:rsidP="00B4435C">
      <w:pPr>
        <w:numPr>
          <w:ilvl w:val="1"/>
          <w:numId w:val="24"/>
        </w:numPr>
        <w:spacing w:line="300" w:lineRule="atLeast"/>
      </w:pPr>
      <w:r w:rsidRPr="00245186">
        <w:t xml:space="preserve">The </w:t>
      </w:r>
      <w:r w:rsidR="00666670">
        <w:t>Guide</w:t>
      </w:r>
      <w:r w:rsidRPr="00245186">
        <w:t xml:space="preserve"> should be formatted for ease of use in court, including tables of contents, quick-reference sections, and hyperlinks or cross-references where appropriate.</w:t>
      </w:r>
    </w:p>
    <w:p w14:paraId="34B8AFEB" w14:textId="77777777" w:rsidR="00B01542" w:rsidRPr="00245186" w:rsidRDefault="00B01542" w:rsidP="00B01542">
      <w:pPr>
        <w:ind w:left="720"/>
      </w:pPr>
    </w:p>
    <w:p w14:paraId="7A8B0A52" w14:textId="77777777" w:rsidR="00146861" w:rsidRDefault="00B01542" w:rsidP="00146861">
      <w:pPr>
        <w:ind w:firstLine="720"/>
        <w:rPr>
          <w:u w:val="single"/>
        </w:rPr>
      </w:pPr>
      <w:r w:rsidRPr="00146861">
        <w:t>2.</w:t>
      </w:r>
      <w:r w:rsidR="00146861">
        <w:t xml:space="preserve">3. </w:t>
      </w:r>
      <w:r w:rsidRPr="00146861">
        <w:rPr>
          <w:u w:val="single"/>
        </w:rPr>
        <w:t>Tasks and Deliverables</w:t>
      </w:r>
    </w:p>
    <w:p w14:paraId="07216878" w14:textId="77777777" w:rsidR="00146861" w:rsidRDefault="00146861" w:rsidP="00146861">
      <w:pPr>
        <w:ind w:firstLine="720"/>
        <w:rPr>
          <w:u w:val="single"/>
        </w:rPr>
      </w:pPr>
    </w:p>
    <w:p w14:paraId="63D0910F" w14:textId="01911D57" w:rsidR="00B4435C" w:rsidRDefault="000E12DC" w:rsidP="00172909">
      <w:pPr>
        <w:spacing w:line="300" w:lineRule="atLeast"/>
        <w:ind w:left="1140"/>
        <w:rPr>
          <w:u w:val="single"/>
        </w:rPr>
      </w:pPr>
      <w:r w:rsidRPr="000E12DC">
        <w:t xml:space="preserve">The Judicial Council anticipates the following major tasks and deliverables. Without </w:t>
      </w:r>
      <w:r w:rsidR="00C10DD0">
        <w:t xml:space="preserve">    </w:t>
      </w:r>
      <w:r w:rsidRPr="000E12DC">
        <w:t>changing the Deliverables, the Contractor may propose refinements to the tasks as necessary.</w:t>
      </w:r>
    </w:p>
    <w:p w14:paraId="3601D797" w14:textId="77777777" w:rsidR="00B4435C" w:rsidRDefault="00B4435C" w:rsidP="00215649">
      <w:pPr>
        <w:spacing w:line="300" w:lineRule="atLeast"/>
        <w:ind w:left="720"/>
        <w:rPr>
          <w:u w:val="single"/>
        </w:rPr>
      </w:pPr>
    </w:p>
    <w:p w14:paraId="51B241BE" w14:textId="571B3B5F" w:rsidR="00B4435C" w:rsidRDefault="00B4435C" w:rsidP="00215649">
      <w:pPr>
        <w:spacing w:line="300" w:lineRule="atLeast"/>
        <w:ind w:left="720"/>
      </w:pPr>
      <w:r>
        <w:t xml:space="preserve">2.3.1 </w:t>
      </w:r>
      <w:r w:rsidR="00B01542" w:rsidRPr="00172909">
        <w:rPr>
          <w:u w:val="single"/>
        </w:rPr>
        <w:t xml:space="preserve">Task 1 – </w:t>
      </w:r>
      <w:r w:rsidR="00A711B5" w:rsidRPr="00172909">
        <w:rPr>
          <w:u w:val="single"/>
        </w:rPr>
        <w:t>Project Initiation and Needs Assessment</w:t>
      </w:r>
    </w:p>
    <w:p w14:paraId="01E64F8B" w14:textId="77777777" w:rsidR="00C10DD0" w:rsidRDefault="00C10DD0" w:rsidP="00215649">
      <w:pPr>
        <w:spacing w:line="300" w:lineRule="atLeast"/>
        <w:ind w:left="720"/>
        <w:rPr>
          <w:u w:val="single"/>
        </w:rPr>
      </w:pPr>
    </w:p>
    <w:p w14:paraId="1AE35257" w14:textId="4731A26A" w:rsidR="00B4435C" w:rsidRPr="00B4435C" w:rsidRDefault="00B01542" w:rsidP="00215649">
      <w:pPr>
        <w:pStyle w:val="ListParagraph"/>
        <w:numPr>
          <w:ilvl w:val="0"/>
          <w:numId w:val="22"/>
        </w:numPr>
        <w:spacing w:line="300" w:lineRule="atLeast"/>
        <w:rPr>
          <w:u w:val="single"/>
        </w:rPr>
      </w:pPr>
      <w:r w:rsidRPr="00245186">
        <w:t xml:space="preserve">Meet with Judicial Council staff </w:t>
      </w:r>
      <w:r w:rsidR="00A00E22">
        <w:t xml:space="preserve">to </w:t>
      </w:r>
      <w:r w:rsidRPr="00245186">
        <w:t xml:space="preserve">assess </w:t>
      </w:r>
      <w:r>
        <w:t xml:space="preserve">scope, </w:t>
      </w:r>
      <w:r w:rsidRPr="00245186">
        <w:t xml:space="preserve">needs, identify gaps, and define objectives for the </w:t>
      </w:r>
      <w:r w:rsidR="00666670">
        <w:t>Guide</w:t>
      </w:r>
      <w:r w:rsidRPr="00245186">
        <w:t>.</w:t>
      </w:r>
    </w:p>
    <w:p w14:paraId="7EC5B608" w14:textId="670FAB1C" w:rsidR="00B4435C" w:rsidRPr="00B4435C" w:rsidRDefault="00172909" w:rsidP="00215649">
      <w:pPr>
        <w:pStyle w:val="ListParagraph"/>
        <w:numPr>
          <w:ilvl w:val="0"/>
          <w:numId w:val="22"/>
        </w:numPr>
        <w:spacing w:line="300" w:lineRule="atLeast"/>
        <w:rPr>
          <w:u w:val="single"/>
        </w:rPr>
      </w:pPr>
      <w:r w:rsidRPr="002907C2">
        <w:t>Contractors</w:t>
      </w:r>
      <w:r w:rsidR="00340312" w:rsidRPr="002907C2">
        <w:t xml:space="preserve"> shall meet with Judicial Council staff, including CFCC attorneys, to obtain input on:</w:t>
      </w:r>
      <w:r w:rsidR="00340312" w:rsidRPr="002907C2">
        <w:br/>
        <w:t>• needs and gaps in existing materials;</w:t>
      </w:r>
      <w:r w:rsidR="00340312" w:rsidRPr="002907C2">
        <w:br/>
        <w:t>• desired objectives and outcomes;</w:t>
      </w:r>
      <w:r w:rsidR="00340312" w:rsidRPr="002907C2">
        <w:br/>
        <w:t>• audience needs and accessibility considerations;</w:t>
      </w:r>
      <w:r w:rsidR="00340312" w:rsidRPr="002907C2">
        <w:br/>
        <w:t>• key issues identified by courts and practitioners statewide.</w:t>
      </w:r>
    </w:p>
    <w:p w14:paraId="17FFEEA7" w14:textId="3F7D685B" w:rsidR="00340312" w:rsidRPr="00B4435C" w:rsidRDefault="00340312" w:rsidP="00215649">
      <w:pPr>
        <w:pStyle w:val="ListParagraph"/>
        <w:numPr>
          <w:ilvl w:val="0"/>
          <w:numId w:val="22"/>
        </w:numPr>
        <w:spacing w:line="300" w:lineRule="atLeast"/>
        <w:rPr>
          <w:u w:val="single"/>
        </w:rPr>
      </w:pPr>
      <w:r w:rsidRPr="00B4435C">
        <w:rPr>
          <w:b/>
          <w:bCs/>
        </w:rPr>
        <w:t>Deliverable 1</w:t>
      </w:r>
      <w:r>
        <w:t xml:space="preserve"> - </w:t>
      </w:r>
      <w:r w:rsidRPr="002907C2">
        <w:t>Contractor shall provide a summary of this meeting</w:t>
      </w:r>
      <w:r>
        <w:t xml:space="preserve"> which includes the Contractor’s understanding of the items above and action items</w:t>
      </w:r>
      <w:r w:rsidRPr="002907C2">
        <w:t>.</w:t>
      </w:r>
      <w:r w:rsidR="00666670">
        <w:t xml:space="preserve"> </w:t>
      </w:r>
      <w:r w:rsidR="00666670" w:rsidRPr="00B4435C">
        <w:rPr>
          <w:b/>
          <w:bCs/>
        </w:rPr>
        <w:t>Estimated Due Date: [</w:t>
      </w:r>
      <w:r w:rsidR="00172909">
        <w:rPr>
          <w:b/>
          <w:bCs/>
        </w:rPr>
        <w:t>June 1</w:t>
      </w:r>
      <w:r w:rsidR="00666670" w:rsidRPr="00B4435C">
        <w:rPr>
          <w:b/>
          <w:bCs/>
        </w:rPr>
        <w:t>, 2026]</w:t>
      </w:r>
    </w:p>
    <w:p w14:paraId="2A5ED334" w14:textId="77777777" w:rsidR="00B01542" w:rsidRDefault="00B01542" w:rsidP="00215649">
      <w:pPr>
        <w:spacing w:line="300" w:lineRule="atLeast"/>
        <w:rPr>
          <w:b/>
          <w:bCs/>
        </w:rPr>
      </w:pPr>
    </w:p>
    <w:p w14:paraId="4E4BCD32" w14:textId="0A666B7F" w:rsidR="00B01542" w:rsidRDefault="00B01542" w:rsidP="00215649">
      <w:pPr>
        <w:pStyle w:val="ListParagraph"/>
        <w:numPr>
          <w:ilvl w:val="2"/>
          <w:numId w:val="26"/>
        </w:numPr>
        <w:spacing w:line="300" w:lineRule="atLeast"/>
        <w:rPr>
          <w:u w:val="single"/>
        </w:rPr>
      </w:pPr>
      <w:r w:rsidRPr="00172909">
        <w:rPr>
          <w:u w:val="single"/>
        </w:rPr>
        <w:t>Task 2 – Drafting and Review</w:t>
      </w:r>
    </w:p>
    <w:p w14:paraId="20BB6C58" w14:textId="77777777" w:rsidR="00C10DD0" w:rsidRPr="00172909" w:rsidRDefault="00C10DD0" w:rsidP="00172909">
      <w:pPr>
        <w:pStyle w:val="ListParagraph"/>
        <w:spacing w:line="300" w:lineRule="atLeast"/>
        <w:ind w:left="1440"/>
        <w:rPr>
          <w:u w:val="single"/>
        </w:rPr>
      </w:pPr>
    </w:p>
    <w:p w14:paraId="0E0FE267" w14:textId="0AB7B17C" w:rsidR="00D442C5" w:rsidRPr="002907C2" w:rsidRDefault="00D442C5" w:rsidP="00963618">
      <w:pPr>
        <w:pStyle w:val="ListParagraph"/>
        <w:numPr>
          <w:ilvl w:val="0"/>
          <w:numId w:val="27"/>
        </w:numPr>
        <w:spacing w:line="300" w:lineRule="atLeast"/>
      </w:pPr>
      <w:r w:rsidRPr="002907C2">
        <w:t>Contractor shall design and develop a detailed outline that includes:</w:t>
      </w:r>
      <w:r w:rsidRPr="002907C2">
        <w:br/>
        <w:t>• major sections and subsections of the Guide;</w:t>
      </w:r>
      <w:r w:rsidRPr="002907C2">
        <w:br/>
        <w:t>• key legal authorities and citations;</w:t>
      </w:r>
      <w:r w:rsidRPr="002907C2">
        <w:br/>
      </w:r>
      <w:r w:rsidRPr="002907C2">
        <w:lastRenderedPageBreak/>
        <w:t xml:space="preserve">• </w:t>
      </w:r>
      <w:r>
        <w:t>proposed</w:t>
      </w:r>
      <w:r w:rsidRPr="002907C2">
        <w:t xml:space="preserve"> practical tools (e.g., timelines, checklists);</w:t>
      </w:r>
      <w:r w:rsidRPr="002907C2">
        <w:br/>
        <w:t>• proposed case examples and hypothetical scenarios;</w:t>
      </w:r>
      <w:r w:rsidRPr="002907C2">
        <w:br/>
        <w:t xml:space="preserve">• identification of </w:t>
      </w:r>
      <w:r>
        <w:t xml:space="preserve">any </w:t>
      </w:r>
      <w:r w:rsidRPr="002907C2">
        <w:t>areas requiring deeper research or expert review.</w:t>
      </w:r>
    </w:p>
    <w:p w14:paraId="6875E5F9" w14:textId="3143F87F" w:rsidR="00B01542" w:rsidRPr="00245186" w:rsidRDefault="00D442C5" w:rsidP="00963618">
      <w:pPr>
        <w:pStyle w:val="ListParagraph"/>
        <w:numPr>
          <w:ilvl w:val="0"/>
          <w:numId w:val="27"/>
        </w:numPr>
        <w:spacing w:line="300" w:lineRule="atLeast"/>
      </w:pPr>
      <w:r w:rsidRPr="00215649">
        <w:rPr>
          <w:b/>
          <w:bCs/>
        </w:rPr>
        <w:t xml:space="preserve">Deliverable 2 </w:t>
      </w:r>
      <w:r w:rsidRPr="004D3DF8">
        <w:t>-</w:t>
      </w:r>
      <w:r w:rsidRPr="00215649">
        <w:rPr>
          <w:b/>
          <w:bCs/>
        </w:rPr>
        <w:t xml:space="preserve"> </w:t>
      </w:r>
      <w:r w:rsidR="00B01542" w:rsidRPr="00245186">
        <w:t xml:space="preserve">Complete draft of the </w:t>
      </w:r>
      <w:r>
        <w:t>G</w:t>
      </w:r>
      <w:r w:rsidR="00B01542" w:rsidRPr="00245186">
        <w:t xml:space="preserve">uide for review and comment. </w:t>
      </w:r>
      <w:r w:rsidR="00666670" w:rsidRPr="00215649">
        <w:rPr>
          <w:b/>
          <w:bCs/>
        </w:rPr>
        <w:t xml:space="preserve">Estimated </w:t>
      </w:r>
      <w:r w:rsidR="00B01542" w:rsidRPr="00215649">
        <w:rPr>
          <w:b/>
          <w:bCs/>
        </w:rPr>
        <w:t>Due Date: [</w:t>
      </w:r>
      <w:r w:rsidR="00172909">
        <w:rPr>
          <w:b/>
          <w:bCs/>
        </w:rPr>
        <w:t>August 30</w:t>
      </w:r>
      <w:r w:rsidR="00B01542" w:rsidRPr="00215649">
        <w:rPr>
          <w:b/>
          <w:bCs/>
        </w:rPr>
        <w:t>, 2026]</w:t>
      </w:r>
    </w:p>
    <w:p w14:paraId="739FA02F" w14:textId="77777777" w:rsidR="00B01542" w:rsidRDefault="00B01542" w:rsidP="00963618">
      <w:pPr>
        <w:ind w:hanging="360"/>
        <w:rPr>
          <w:b/>
          <w:bCs/>
        </w:rPr>
      </w:pPr>
    </w:p>
    <w:p w14:paraId="0E04632B" w14:textId="7D287F3C" w:rsidR="00B01542" w:rsidRPr="00172909" w:rsidRDefault="00B01542" w:rsidP="00172909">
      <w:pPr>
        <w:pStyle w:val="ListParagraph"/>
        <w:numPr>
          <w:ilvl w:val="2"/>
          <w:numId w:val="26"/>
        </w:numPr>
        <w:rPr>
          <w:u w:val="single"/>
        </w:rPr>
      </w:pPr>
      <w:r w:rsidRPr="00172909">
        <w:rPr>
          <w:u w:val="single"/>
        </w:rPr>
        <w:t xml:space="preserve">Task 3 – Finalization </w:t>
      </w:r>
      <w:r w:rsidR="00FE56A9" w:rsidRPr="00172909">
        <w:rPr>
          <w:u w:val="single"/>
        </w:rPr>
        <w:t>of Full Draft</w:t>
      </w:r>
    </w:p>
    <w:p w14:paraId="589278B9" w14:textId="77777777" w:rsidR="00C10DD0" w:rsidRPr="00215649" w:rsidRDefault="00C10DD0" w:rsidP="00172909">
      <w:pPr>
        <w:pStyle w:val="ListParagraph"/>
        <w:ind w:left="1440"/>
      </w:pPr>
    </w:p>
    <w:p w14:paraId="4A1B4673" w14:textId="77777777" w:rsidR="00963618" w:rsidRDefault="00FE56A9" w:rsidP="00963618">
      <w:pPr>
        <w:pStyle w:val="ListParagraph"/>
        <w:numPr>
          <w:ilvl w:val="0"/>
          <w:numId w:val="28"/>
        </w:numPr>
        <w:ind w:left="1890" w:hanging="450"/>
      </w:pPr>
      <w:r w:rsidRPr="002907C2">
        <w:t xml:space="preserve">Contractor shall prepare a complete draft of the Guide that incorporates all content </w:t>
      </w:r>
      <w:r>
        <w:t xml:space="preserve">and </w:t>
      </w:r>
      <w:r w:rsidR="00B96B3B">
        <w:t>feedback</w:t>
      </w:r>
      <w:r>
        <w:t xml:space="preserve"> </w:t>
      </w:r>
      <w:proofErr w:type="gramStart"/>
      <w:r w:rsidR="005F6A6F">
        <w:t>provide</w:t>
      </w:r>
      <w:proofErr w:type="gramEnd"/>
      <w:r w:rsidR="005F6A6F">
        <w:t xml:space="preserve"> by JBE for</w:t>
      </w:r>
      <w:r w:rsidRPr="002907C2">
        <w:t xml:space="preserve"> Deliverable 2. This draft must include narrative explanations, charts, checklists, sample language, and other practical guidance tools. </w:t>
      </w:r>
      <w:r w:rsidR="00B1582E">
        <w:t>The Guide must be</w:t>
      </w:r>
      <w:r w:rsidR="0046755B" w:rsidRPr="002907C2">
        <w:t xml:space="preserve"> ADA</w:t>
      </w:r>
      <w:r w:rsidR="0046755B" w:rsidRPr="002907C2">
        <w:noBreakHyphen/>
        <w:t>compliant</w:t>
      </w:r>
      <w:r w:rsidR="00B1582E">
        <w:t xml:space="preserve"> and </w:t>
      </w:r>
      <w:r w:rsidR="0046755B" w:rsidRPr="002907C2">
        <w:t>ready for publication in both print and digital formats. Contractor shall provide the Judicial Council with all final files and editable source files.</w:t>
      </w:r>
    </w:p>
    <w:p w14:paraId="341F5EF5" w14:textId="77777777" w:rsidR="00685FB8" w:rsidRDefault="00B01542" w:rsidP="00963618">
      <w:pPr>
        <w:pStyle w:val="ListParagraph"/>
        <w:numPr>
          <w:ilvl w:val="0"/>
          <w:numId w:val="28"/>
        </w:numPr>
        <w:ind w:left="1890" w:hanging="450"/>
      </w:pPr>
      <w:r w:rsidRPr="00963618">
        <w:rPr>
          <w:b/>
          <w:bCs/>
        </w:rPr>
        <w:t>Deliverable 3</w:t>
      </w:r>
      <w:r w:rsidR="00C86045" w:rsidRPr="00963618">
        <w:rPr>
          <w:b/>
          <w:bCs/>
        </w:rPr>
        <w:t xml:space="preserve"> </w:t>
      </w:r>
      <w:r w:rsidR="004D3DF8" w:rsidRPr="004D3DF8">
        <w:t xml:space="preserve">- </w:t>
      </w:r>
      <w:r w:rsidR="004D3DF8" w:rsidRPr="00245186">
        <w:t>Final</w:t>
      </w:r>
      <w:r w:rsidRPr="00245186">
        <w:t xml:space="preserve"> </w:t>
      </w:r>
      <w:r w:rsidR="004D3DF8">
        <w:t>G</w:t>
      </w:r>
      <w:r w:rsidRPr="00245186">
        <w:t xml:space="preserve">uide ready for dissemination. </w:t>
      </w:r>
    </w:p>
    <w:p w14:paraId="2D874960" w14:textId="6BB25979" w:rsidR="00B01542" w:rsidRPr="00245186" w:rsidRDefault="00666670" w:rsidP="00685FB8">
      <w:pPr>
        <w:pStyle w:val="ListParagraph"/>
        <w:ind w:left="1890"/>
      </w:pPr>
      <w:r w:rsidRPr="00963618">
        <w:rPr>
          <w:b/>
          <w:bCs/>
        </w:rPr>
        <w:t xml:space="preserve">Estimated </w:t>
      </w:r>
      <w:r w:rsidR="00B01542" w:rsidRPr="00963618">
        <w:rPr>
          <w:b/>
          <w:bCs/>
        </w:rPr>
        <w:t>Due Date: [</w:t>
      </w:r>
      <w:r w:rsidR="00963618">
        <w:rPr>
          <w:b/>
          <w:bCs/>
        </w:rPr>
        <w:t>November</w:t>
      </w:r>
      <w:r w:rsidR="00B01542" w:rsidRPr="00963618">
        <w:rPr>
          <w:b/>
          <w:bCs/>
        </w:rPr>
        <w:t xml:space="preserve"> 30, 2026]</w:t>
      </w:r>
    </w:p>
    <w:p w14:paraId="6C4DD659" w14:textId="77777777" w:rsidR="00B01542" w:rsidRDefault="00B01542" w:rsidP="00B01542">
      <w:pPr>
        <w:rPr>
          <w:b/>
          <w:bCs/>
        </w:rPr>
      </w:pPr>
    </w:p>
    <w:p w14:paraId="3A16C17D" w14:textId="53DFFA49" w:rsidR="00B01542" w:rsidRPr="00172909" w:rsidRDefault="00B01542" w:rsidP="00172909">
      <w:pPr>
        <w:pStyle w:val="ListParagraph"/>
        <w:numPr>
          <w:ilvl w:val="2"/>
          <w:numId w:val="26"/>
        </w:numPr>
        <w:rPr>
          <w:u w:val="single"/>
        </w:rPr>
      </w:pPr>
      <w:r w:rsidRPr="00172909">
        <w:rPr>
          <w:u w:val="single"/>
        </w:rPr>
        <w:t>Optional Tasks</w:t>
      </w:r>
    </w:p>
    <w:p w14:paraId="130F8A08" w14:textId="77777777" w:rsidR="00C10DD0" w:rsidRPr="00963618" w:rsidRDefault="00C10DD0" w:rsidP="00172909">
      <w:pPr>
        <w:pStyle w:val="ListParagraph"/>
        <w:ind w:left="1440"/>
      </w:pPr>
    </w:p>
    <w:p w14:paraId="0BFEE778" w14:textId="77777777" w:rsidR="00963618" w:rsidRDefault="00982D65" w:rsidP="00982D65">
      <w:pPr>
        <w:pStyle w:val="ListParagraph"/>
        <w:numPr>
          <w:ilvl w:val="0"/>
          <w:numId w:val="29"/>
        </w:numPr>
      </w:pPr>
      <w:r w:rsidRPr="002907C2">
        <w:t xml:space="preserve">At the Judicial Council’s discretion, Contractor may also be asked to develop and present a </w:t>
      </w:r>
      <w:r w:rsidRPr="00963618">
        <w:rPr>
          <w:b/>
          <w:bCs/>
        </w:rPr>
        <w:t>one</w:t>
      </w:r>
      <w:r w:rsidRPr="00963618">
        <w:rPr>
          <w:b/>
          <w:bCs/>
        </w:rPr>
        <w:noBreakHyphen/>
        <w:t>day training</w:t>
      </w:r>
      <w:r w:rsidRPr="002907C2">
        <w:t xml:space="preserve"> for attorneys and/or bench officers using content from the Guide. If exercised, Contractor shall:</w:t>
      </w:r>
      <w:r w:rsidRPr="002907C2">
        <w:br/>
        <w:t>• prepare a training agenda and slides;</w:t>
      </w:r>
      <w:r w:rsidRPr="002907C2">
        <w:br/>
        <w:t>• develop sample exercises or hypotheticals;</w:t>
      </w:r>
      <w:r w:rsidRPr="002907C2">
        <w:br/>
        <w:t>• deliver the training either in person or virtually</w:t>
      </w:r>
      <w:r>
        <w:t xml:space="preserve"> (which may be recorded for archival use)</w:t>
      </w:r>
      <w:r w:rsidRPr="002907C2">
        <w:t>;</w:t>
      </w:r>
      <w:r>
        <w:t xml:space="preserve"> and</w:t>
      </w:r>
      <w:r w:rsidRPr="002907C2">
        <w:br/>
        <w:t>• provide post</w:t>
      </w:r>
      <w:r w:rsidRPr="002907C2">
        <w:noBreakHyphen/>
        <w:t>training materials and evaluation summaries.</w:t>
      </w:r>
    </w:p>
    <w:p w14:paraId="0F41C662" w14:textId="77777777" w:rsidR="00685FB8" w:rsidRDefault="00B01542" w:rsidP="00982D65">
      <w:pPr>
        <w:pStyle w:val="ListParagraph"/>
        <w:numPr>
          <w:ilvl w:val="0"/>
          <w:numId w:val="29"/>
        </w:numPr>
      </w:pPr>
      <w:r w:rsidRPr="00963618">
        <w:rPr>
          <w:b/>
          <w:bCs/>
        </w:rPr>
        <w:t>Deliverable 4 (Optional):</w:t>
      </w:r>
      <w:r w:rsidRPr="00245186">
        <w:t xml:space="preserve"> Presentation of the </w:t>
      </w:r>
      <w:r w:rsidR="00666670">
        <w:t>Guide</w:t>
      </w:r>
      <w:r w:rsidRPr="00245186">
        <w:t xml:space="preserve"> at a designated event or training session. </w:t>
      </w:r>
    </w:p>
    <w:p w14:paraId="0E6C82E4" w14:textId="328ABB57" w:rsidR="00B01542" w:rsidRPr="00245186" w:rsidRDefault="00B01542" w:rsidP="00685FB8">
      <w:pPr>
        <w:pStyle w:val="ListParagraph"/>
        <w:ind w:left="1800"/>
      </w:pPr>
      <w:r w:rsidRPr="00963618">
        <w:rPr>
          <w:b/>
          <w:bCs/>
        </w:rPr>
        <w:t>Due Date: [December 31, 2026, if applicable]</w:t>
      </w:r>
    </w:p>
    <w:p w14:paraId="751AE99D" w14:textId="77777777" w:rsidR="00C37FF7" w:rsidRDefault="00C37FF7" w:rsidP="001872E4"/>
    <w:p w14:paraId="2481178F" w14:textId="77777777" w:rsidR="00A50B42" w:rsidRPr="00D74462" w:rsidRDefault="00AB2FC2" w:rsidP="00AB2FC2">
      <w:pPr>
        <w:widowControl w:val="0"/>
        <w:rPr>
          <w:b/>
          <w:bCs/>
        </w:rPr>
      </w:pPr>
      <w:r>
        <w:rPr>
          <w:b/>
          <w:bCs/>
        </w:rPr>
        <w:t>3.0</w:t>
      </w:r>
      <w:r>
        <w:rPr>
          <w:b/>
          <w:bCs/>
        </w:rPr>
        <w:tab/>
      </w:r>
      <w:r w:rsidR="00A50B42" w:rsidRPr="00666670">
        <w:rPr>
          <w:b/>
          <w:bCs/>
        </w:rPr>
        <w:t>TIMELINE</w:t>
      </w:r>
      <w:r w:rsidR="00A50B42" w:rsidRPr="00D74462">
        <w:rPr>
          <w:b/>
          <w:bCs/>
        </w:rPr>
        <w:t xml:space="preserve"> FOR THIS RFP</w:t>
      </w:r>
    </w:p>
    <w:p w14:paraId="0771959B" w14:textId="77777777" w:rsidR="00A50B42" w:rsidRPr="00D74462" w:rsidRDefault="00A50B42" w:rsidP="00A50B42">
      <w:pPr>
        <w:widowControl w:val="0"/>
        <w:rPr>
          <w:bCs/>
        </w:rPr>
      </w:pPr>
    </w:p>
    <w:p w14:paraId="2B8507D1" w14:textId="52919803" w:rsidR="00A50B42" w:rsidRDefault="00A50B42" w:rsidP="00AB2FC2">
      <w:pPr>
        <w:widowControl w:val="0"/>
        <w:ind w:left="720"/>
        <w:rPr>
          <w:bCs/>
        </w:rPr>
      </w:pPr>
      <w:r w:rsidRPr="00D74462">
        <w:rPr>
          <w:bCs/>
        </w:rPr>
        <w:t xml:space="preserve">The </w:t>
      </w:r>
      <w:r w:rsidR="00D90AEE">
        <w:rPr>
          <w:bCs/>
        </w:rPr>
        <w:t>J</w:t>
      </w:r>
      <w:r w:rsidR="00C10DD0">
        <w:rPr>
          <w:bCs/>
        </w:rPr>
        <w:t>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3510"/>
      </w:tblGrid>
      <w:tr w:rsidR="00A50B42" w:rsidRPr="003B7ABC" w14:paraId="26DDF2CA" w14:textId="77777777" w:rsidTr="00BF3CA4">
        <w:trPr>
          <w:trHeight w:val="485"/>
          <w:tblHeader/>
          <w:jc w:val="center"/>
        </w:trPr>
        <w:tc>
          <w:tcPr>
            <w:tcW w:w="4495"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510"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BF3CA4">
        <w:trPr>
          <w:trHeight w:val="575"/>
          <w:jc w:val="center"/>
        </w:trPr>
        <w:tc>
          <w:tcPr>
            <w:tcW w:w="4495" w:type="dxa"/>
            <w:vAlign w:val="center"/>
          </w:tcPr>
          <w:p w14:paraId="2BB7FB83" w14:textId="16BB86BB" w:rsidR="00A50B42" w:rsidRPr="00A00C4E" w:rsidRDefault="00A50B42" w:rsidP="003E4B31">
            <w:pPr>
              <w:widowControl w:val="0"/>
              <w:rPr>
                <w:b/>
                <w:bCs/>
              </w:rPr>
            </w:pPr>
            <w:r w:rsidRPr="00A00C4E">
              <w:rPr>
                <w:bCs/>
              </w:rPr>
              <w:t>RFP issued</w:t>
            </w:r>
          </w:p>
        </w:tc>
        <w:tc>
          <w:tcPr>
            <w:tcW w:w="3510" w:type="dxa"/>
            <w:vAlign w:val="center"/>
          </w:tcPr>
          <w:p w14:paraId="4C38990C" w14:textId="5F8DA42E" w:rsidR="00A50B42" w:rsidRPr="005F3B1C" w:rsidRDefault="00C10DD0" w:rsidP="003E4B31">
            <w:pPr>
              <w:widowControl w:val="0"/>
              <w:tabs>
                <w:tab w:val="left" w:pos="2178"/>
              </w:tabs>
              <w:jc w:val="center"/>
              <w:rPr>
                <w:bCs/>
                <w:iCs/>
              </w:rPr>
            </w:pPr>
            <w:r>
              <w:rPr>
                <w:bCs/>
                <w:iCs/>
              </w:rPr>
              <w:t xml:space="preserve">March </w:t>
            </w:r>
            <w:r w:rsidR="00435D70">
              <w:rPr>
                <w:bCs/>
                <w:iCs/>
              </w:rPr>
              <w:t>27</w:t>
            </w:r>
            <w:r>
              <w:rPr>
                <w:bCs/>
                <w:iCs/>
              </w:rPr>
              <w:t>, 2026</w:t>
            </w:r>
          </w:p>
        </w:tc>
      </w:tr>
      <w:tr w:rsidR="00A50B42" w:rsidRPr="003B7ABC" w14:paraId="7A2686E4" w14:textId="77777777" w:rsidTr="00BF3CA4">
        <w:trPr>
          <w:trHeight w:val="668"/>
          <w:jc w:val="center"/>
        </w:trPr>
        <w:tc>
          <w:tcPr>
            <w:tcW w:w="4495" w:type="dxa"/>
            <w:vAlign w:val="center"/>
          </w:tcPr>
          <w:p w14:paraId="7C055348" w14:textId="77777777" w:rsidR="00A50B42" w:rsidRDefault="00A50B42" w:rsidP="003E4B31">
            <w:pPr>
              <w:widowControl w:val="0"/>
              <w:rPr>
                <w:bCs/>
              </w:rPr>
            </w:pPr>
            <w:r w:rsidRPr="00A00C4E">
              <w:rPr>
                <w:bCs/>
              </w:rPr>
              <w:t>Deadline for questions</w:t>
            </w:r>
          </w:p>
          <w:p w14:paraId="62679C9B" w14:textId="0792BBF3" w:rsidR="00E97D3D" w:rsidRPr="00A00C4E" w:rsidRDefault="00E97D3D" w:rsidP="003E4B31">
            <w:pPr>
              <w:widowControl w:val="0"/>
              <w:rPr>
                <w:bCs/>
              </w:rPr>
            </w:pPr>
            <w:hyperlink r:id="rId8" w:history="1">
              <w:r w:rsidRPr="000303C3">
                <w:rPr>
                  <w:rStyle w:val="Hyperlink"/>
                  <w:bCs/>
                </w:rPr>
                <w:t>Solicitations@jud.ca.gov</w:t>
              </w:r>
            </w:hyperlink>
            <w:r>
              <w:rPr>
                <w:bCs/>
              </w:rPr>
              <w:t xml:space="preserve"> </w:t>
            </w:r>
          </w:p>
        </w:tc>
        <w:tc>
          <w:tcPr>
            <w:tcW w:w="3510" w:type="dxa"/>
            <w:vAlign w:val="center"/>
          </w:tcPr>
          <w:p w14:paraId="3BEFD0B5" w14:textId="0907E772" w:rsidR="00A50B42" w:rsidRPr="00172909" w:rsidRDefault="00406806" w:rsidP="003E4B31">
            <w:pPr>
              <w:widowControl w:val="0"/>
              <w:tabs>
                <w:tab w:val="left" w:pos="2178"/>
              </w:tabs>
              <w:jc w:val="center"/>
              <w:rPr>
                <w:iCs/>
              </w:rPr>
            </w:pPr>
            <w:r w:rsidRPr="00BF3CA4">
              <w:rPr>
                <w:b/>
                <w:bCs/>
                <w:iCs/>
              </w:rPr>
              <w:t xml:space="preserve">April </w:t>
            </w:r>
            <w:r w:rsidR="00435D70">
              <w:rPr>
                <w:b/>
                <w:bCs/>
                <w:iCs/>
              </w:rPr>
              <w:t>8</w:t>
            </w:r>
            <w:r w:rsidR="00C10DD0" w:rsidRPr="00BF3CA4">
              <w:rPr>
                <w:b/>
                <w:bCs/>
                <w:iCs/>
              </w:rPr>
              <w:t xml:space="preserve">, </w:t>
            </w:r>
            <w:proofErr w:type="gramStart"/>
            <w:r w:rsidR="00BF3CA4" w:rsidRPr="00BF3CA4">
              <w:rPr>
                <w:b/>
                <w:bCs/>
                <w:iCs/>
              </w:rPr>
              <w:t>2026</w:t>
            </w:r>
            <w:r w:rsidR="00BF3CA4" w:rsidRPr="00172909">
              <w:rPr>
                <w:iCs/>
              </w:rPr>
              <w:t>,</w:t>
            </w:r>
            <w:r w:rsidR="00BF3CA4">
              <w:rPr>
                <w:iCs/>
              </w:rPr>
              <w:t xml:space="preserve">   </w:t>
            </w:r>
            <w:proofErr w:type="gramEnd"/>
            <w:r w:rsidR="00BF3CA4">
              <w:rPr>
                <w:iCs/>
              </w:rPr>
              <w:t xml:space="preserve">                        </w:t>
            </w:r>
            <w:r w:rsidR="008006F3">
              <w:rPr>
                <w:iCs/>
              </w:rPr>
              <w:t xml:space="preserve"> </w:t>
            </w:r>
            <w:r w:rsidR="00A00E22" w:rsidRPr="00A00E22">
              <w:rPr>
                <w:b/>
                <w:bCs/>
                <w:iCs/>
              </w:rPr>
              <w:t>no later than 3:00 PM (PT)</w:t>
            </w:r>
          </w:p>
        </w:tc>
      </w:tr>
      <w:tr w:rsidR="00C00178" w:rsidRPr="003B7ABC" w14:paraId="43B0A144" w14:textId="77777777" w:rsidTr="00BF3CA4">
        <w:trPr>
          <w:trHeight w:val="296"/>
          <w:jc w:val="center"/>
        </w:trPr>
        <w:tc>
          <w:tcPr>
            <w:tcW w:w="4495" w:type="dxa"/>
            <w:vAlign w:val="center"/>
          </w:tcPr>
          <w:p w14:paraId="277D37BE" w14:textId="5DB83FED" w:rsidR="00C00178" w:rsidRPr="00A00E22" w:rsidRDefault="00C00178" w:rsidP="003E4B31">
            <w:pPr>
              <w:widowControl w:val="0"/>
              <w:rPr>
                <w:bCs/>
                <w:i/>
                <w:iCs/>
                <w:sz w:val="16"/>
                <w:szCs w:val="16"/>
              </w:rPr>
            </w:pPr>
            <w:r w:rsidRPr="00A00C4E">
              <w:rPr>
                <w:bCs/>
              </w:rPr>
              <w:t>Questions and answers posted</w:t>
            </w:r>
            <w:r w:rsidR="00A00E22">
              <w:rPr>
                <w:bCs/>
              </w:rPr>
              <w:t xml:space="preserve"> </w:t>
            </w:r>
            <w:r w:rsidR="00A00E22" w:rsidRPr="00A00E22">
              <w:rPr>
                <w:bCs/>
                <w:i/>
                <w:iCs/>
                <w:sz w:val="16"/>
                <w:szCs w:val="16"/>
              </w:rPr>
              <w:t>(estimate only)</w:t>
            </w:r>
          </w:p>
          <w:p w14:paraId="4C6C2777" w14:textId="77777777" w:rsidR="005F3B1C" w:rsidRDefault="00E97D3D" w:rsidP="003E4B31">
            <w:pPr>
              <w:widowControl w:val="0"/>
              <w:rPr>
                <w:bCs/>
              </w:rPr>
            </w:pPr>
            <w:hyperlink r:id="rId9" w:history="1">
              <w:r w:rsidRPr="00E97D3D">
                <w:rPr>
                  <w:rStyle w:val="Hyperlink"/>
                  <w:bCs/>
                </w:rPr>
                <w:t>https://courts.ca.gov/policy-administration/bidders-solicitations</w:t>
              </w:r>
            </w:hyperlink>
          </w:p>
          <w:p w14:paraId="0815564B" w14:textId="44DDB471" w:rsidR="00E97D3D" w:rsidRPr="00A00C4E" w:rsidRDefault="00E97D3D" w:rsidP="003E4B31">
            <w:pPr>
              <w:widowControl w:val="0"/>
              <w:rPr>
                <w:bCs/>
              </w:rPr>
            </w:pPr>
            <w:r>
              <w:rPr>
                <w:bCs/>
              </w:rPr>
              <w:lastRenderedPageBreak/>
              <w:t xml:space="preserve"> </w:t>
            </w:r>
          </w:p>
        </w:tc>
        <w:tc>
          <w:tcPr>
            <w:tcW w:w="3510" w:type="dxa"/>
            <w:vAlign w:val="center"/>
          </w:tcPr>
          <w:p w14:paraId="359C2E7F" w14:textId="5BDDEF46" w:rsidR="00C00178" w:rsidRPr="00172909" w:rsidRDefault="00C10DD0" w:rsidP="003E4B31">
            <w:pPr>
              <w:widowControl w:val="0"/>
              <w:tabs>
                <w:tab w:val="left" w:pos="2178"/>
              </w:tabs>
              <w:jc w:val="center"/>
              <w:rPr>
                <w:iCs/>
              </w:rPr>
            </w:pPr>
            <w:r w:rsidRPr="00172909">
              <w:rPr>
                <w:iCs/>
              </w:rPr>
              <w:lastRenderedPageBreak/>
              <w:t xml:space="preserve">April </w:t>
            </w:r>
            <w:r w:rsidR="00435D70">
              <w:rPr>
                <w:iCs/>
              </w:rPr>
              <w:t>14</w:t>
            </w:r>
            <w:r w:rsidRPr="00172909">
              <w:rPr>
                <w:iCs/>
              </w:rPr>
              <w:t xml:space="preserve">, </w:t>
            </w:r>
            <w:r w:rsidR="00BF3CA4" w:rsidRPr="00172909">
              <w:rPr>
                <w:iCs/>
              </w:rPr>
              <w:t>2026</w:t>
            </w:r>
          </w:p>
        </w:tc>
      </w:tr>
      <w:tr w:rsidR="00C00178" w:rsidRPr="003B7ABC" w14:paraId="33605CA1" w14:textId="77777777" w:rsidTr="00BF3CA4">
        <w:trPr>
          <w:trHeight w:val="647"/>
          <w:jc w:val="center"/>
        </w:trPr>
        <w:tc>
          <w:tcPr>
            <w:tcW w:w="4495" w:type="dxa"/>
            <w:vAlign w:val="center"/>
          </w:tcPr>
          <w:p w14:paraId="5AE12CCD" w14:textId="77777777" w:rsidR="00C00178" w:rsidRDefault="00C00178" w:rsidP="003E4B31">
            <w:pPr>
              <w:widowControl w:val="0"/>
              <w:rPr>
                <w:bCs/>
              </w:rPr>
            </w:pPr>
            <w:r w:rsidRPr="00A00C4E">
              <w:rPr>
                <w:bCs/>
              </w:rPr>
              <w:t xml:space="preserve">Latest date and time proposal may be submitted </w:t>
            </w:r>
          </w:p>
          <w:p w14:paraId="6A279374" w14:textId="77967500" w:rsidR="00E97D3D" w:rsidRPr="00A00C4E" w:rsidRDefault="00E97D3D" w:rsidP="003E4B31">
            <w:pPr>
              <w:widowControl w:val="0"/>
              <w:rPr>
                <w:bCs/>
              </w:rPr>
            </w:pPr>
            <w:hyperlink r:id="rId10" w:history="1">
              <w:r w:rsidRPr="000303C3">
                <w:rPr>
                  <w:rStyle w:val="Hyperlink"/>
                  <w:bCs/>
                </w:rPr>
                <w:t>Solicitations@jud.ca.gov</w:t>
              </w:r>
            </w:hyperlink>
            <w:r>
              <w:rPr>
                <w:bCs/>
              </w:rPr>
              <w:t xml:space="preserve"> </w:t>
            </w:r>
          </w:p>
        </w:tc>
        <w:tc>
          <w:tcPr>
            <w:tcW w:w="3510" w:type="dxa"/>
            <w:vAlign w:val="center"/>
          </w:tcPr>
          <w:p w14:paraId="0B50BC9C" w14:textId="43881171" w:rsidR="00C00178" w:rsidRPr="00172909" w:rsidRDefault="008006F3" w:rsidP="003E4B31">
            <w:pPr>
              <w:widowControl w:val="0"/>
              <w:jc w:val="center"/>
              <w:rPr>
                <w:iCs/>
              </w:rPr>
            </w:pPr>
            <w:r w:rsidRPr="00BF3CA4">
              <w:rPr>
                <w:b/>
                <w:bCs/>
                <w:iCs/>
              </w:rPr>
              <w:t>April</w:t>
            </w:r>
            <w:r w:rsidR="00406806" w:rsidRPr="00BF3CA4">
              <w:rPr>
                <w:b/>
                <w:bCs/>
                <w:iCs/>
              </w:rPr>
              <w:t xml:space="preserve"> 2</w:t>
            </w:r>
            <w:r w:rsidR="00435D70">
              <w:rPr>
                <w:b/>
                <w:bCs/>
                <w:iCs/>
              </w:rPr>
              <w:t>1</w:t>
            </w:r>
            <w:r w:rsidRPr="00BF3CA4">
              <w:rPr>
                <w:b/>
                <w:bCs/>
                <w:iCs/>
              </w:rPr>
              <w:t xml:space="preserve">, </w:t>
            </w:r>
            <w:proofErr w:type="gramStart"/>
            <w:r w:rsidR="00BF3CA4" w:rsidRPr="00BF3CA4">
              <w:rPr>
                <w:b/>
                <w:bCs/>
                <w:iCs/>
              </w:rPr>
              <w:t>2026</w:t>
            </w:r>
            <w:r w:rsidR="00BF3CA4" w:rsidRPr="00172909">
              <w:rPr>
                <w:iCs/>
              </w:rPr>
              <w:t>,</w:t>
            </w:r>
            <w:r w:rsidR="00BF3CA4">
              <w:rPr>
                <w:iCs/>
              </w:rPr>
              <w:t xml:space="preserve"> </w:t>
            </w:r>
            <w:r w:rsidR="00BF3CA4" w:rsidRPr="00172909">
              <w:rPr>
                <w:iCs/>
              </w:rPr>
              <w:t xml:space="preserve"> </w:t>
            </w:r>
            <w:r w:rsidR="00BF3CA4">
              <w:rPr>
                <w:iCs/>
              </w:rPr>
              <w:t xml:space="preserve"> </w:t>
            </w:r>
            <w:proofErr w:type="gramEnd"/>
            <w:r w:rsidR="00BF3CA4">
              <w:rPr>
                <w:iCs/>
              </w:rPr>
              <w:t xml:space="preserve">                        </w:t>
            </w:r>
            <w:r w:rsidR="00BF3CA4" w:rsidRPr="00A00E22">
              <w:rPr>
                <w:b/>
                <w:bCs/>
                <w:iCs/>
              </w:rPr>
              <w:t>no later than 3:00 PM (PT)</w:t>
            </w:r>
          </w:p>
        </w:tc>
      </w:tr>
      <w:tr w:rsidR="00C00178" w:rsidRPr="003B7ABC" w14:paraId="2FA30B23" w14:textId="77777777" w:rsidTr="00BF3CA4">
        <w:trPr>
          <w:trHeight w:val="539"/>
          <w:jc w:val="center"/>
        </w:trPr>
        <w:tc>
          <w:tcPr>
            <w:tcW w:w="4495"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BF3CA4">
              <w:rPr>
                <w:bCs/>
                <w:i/>
                <w:sz w:val="16"/>
                <w:szCs w:val="16"/>
              </w:rPr>
              <w:t>estimate only</w:t>
            </w:r>
            <w:r w:rsidRPr="00BF3CA4">
              <w:rPr>
                <w:bCs/>
                <w:sz w:val="16"/>
                <w:szCs w:val="16"/>
              </w:rPr>
              <w:t>)</w:t>
            </w:r>
          </w:p>
        </w:tc>
        <w:tc>
          <w:tcPr>
            <w:tcW w:w="3510" w:type="dxa"/>
            <w:vAlign w:val="center"/>
          </w:tcPr>
          <w:p w14:paraId="693E9794" w14:textId="77777777" w:rsidR="00C00178" w:rsidRPr="005F3B1C" w:rsidRDefault="00C00178" w:rsidP="003E4B31">
            <w:pPr>
              <w:widowControl w:val="0"/>
              <w:jc w:val="center"/>
              <w:rPr>
                <w:b/>
                <w:bCs/>
                <w:iCs/>
              </w:rPr>
            </w:pPr>
          </w:p>
          <w:p w14:paraId="214A04B3" w14:textId="0B606E80" w:rsidR="00C00178" w:rsidRPr="00172909" w:rsidRDefault="008006F3" w:rsidP="003E4B31">
            <w:pPr>
              <w:widowControl w:val="0"/>
              <w:jc w:val="center"/>
              <w:rPr>
                <w:iCs/>
              </w:rPr>
            </w:pPr>
            <w:r w:rsidRPr="00172909">
              <w:rPr>
                <w:iCs/>
              </w:rPr>
              <w:t xml:space="preserve">April </w:t>
            </w:r>
            <w:r w:rsidR="00406806">
              <w:rPr>
                <w:iCs/>
              </w:rPr>
              <w:t>2</w:t>
            </w:r>
            <w:r w:rsidR="00435D70">
              <w:rPr>
                <w:iCs/>
              </w:rPr>
              <w:t>7</w:t>
            </w:r>
            <w:r w:rsidRPr="00172909">
              <w:rPr>
                <w:iCs/>
              </w:rPr>
              <w:t xml:space="preserve"> – April </w:t>
            </w:r>
            <w:r w:rsidR="00406806">
              <w:rPr>
                <w:iCs/>
              </w:rPr>
              <w:t>30</w:t>
            </w:r>
            <w:r w:rsidRPr="00172909">
              <w:rPr>
                <w:iCs/>
              </w:rPr>
              <w:t>, 2026</w:t>
            </w:r>
          </w:p>
        </w:tc>
      </w:tr>
      <w:tr w:rsidR="00C00178" w:rsidRPr="003B7ABC" w14:paraId="78917521" w14:textId="77777777" w:rsidTr="00BF3CA4">
        <w:trPr>
          <w:trHeight w:val="520"/>
          <w:jc w:val="center"/>
        </w:trPr>
        <w:tc>
          <w:tcPr>
            <w:tcW w:w="4495" w:type="dxa"/>
            <w:vAlign w:val="center"/>
          </w:tcPr>
          <w:p w14:paraId="2171F3AF" w14:textId="77777777" w:rsidR="00C00178" w:rsidRDefault="00C00178" w:rsidP="003E4B31">
            <w:pPr>
              <w:widowControl w:val="0"/>
              <w:rPr>
                <w:bCs/>
              </w:rPr>
            </w:pPr>
            <w:r w:rsidRPr="00A00C4E">
              <w:rPr>
                <w:bCs/>
              </w:rPr>
              <w:t>Notice of Intent to Award (</w:t>
            </w:r>
            <w:r w:rsidRPr="00BF3CA4">
              <w:rPr>
                <w:bCs/>
                <w:i/>
                <w:sz w:val="16"/>
                <w:szCs w:val="16"/>
              </w:rPr>
              <w:t>estimate only</w:t>
            </w:r>
            <w:r w:rsidRPr="00A00C4E">
              <w:rPr>
                <w:bCs/>
              </w:rPr>
              <w:t>)</w:t>
            </w:r>
          </w:p>
          <w:p w14:paraId="1CEF1BD4" w14:textId="49083450" w:rsidR="00BF3CA4" w:rsidRPr="00BF3CA4" w:rsidRDefault="00BF3CA4" w:rsidP="003E4B31">
            <w:pPr>
              <w:widowControl w:val="0"/>
              <w:rPr>
                <w:bCs/>
                <w:sz w:val="18"/>
                <w:szCs w:val="18"/>
              </w:rPr>
            </w:pPr>
            <w:r w:rsidRPr="00BF3CA4">
              <w:rPr>
                <w:bCs/>
                <w:sz w:val="18"/>
                <w:szCs w:val="18"/>
              </w:rPr>
              <w:t>Deadline to Submit Award Protest (JCC must receive award protest within 5 days of Notice of Intent to Award)</w:t>
            </w:r>
          </w:p>
        </w:tc>
        <w:tc>
          <w:tcPr>
            <w:tcW w:w="3510" w:type="dxa"/>
            <w:vAlign w:val="center"/>
          </w:tcPr>
          <w:p w14:paraId="1C0B4CE4" w14:textId="120164D3" w:rsidR="00C00178" w:rsidRPr="00172909" w:rsidRDefault="00406806" w:rsidP="003E4B31">
            <w:pPr>
              <w:widowControl w:val="0"/>
              <w:jc w:val="center"/>
              <w:rPr>
                <w:iCs/>
              </w:rPr>
            </w:pPr>
            <w:r>
              <w:rPr>
                <w:iCs/>
              </w:rPr>
              <w:t>May 1</w:t>
            </w:r>
            <w:r w:rsidR="008006F3" w:rsidRPr="00172909">
              <w:rPr>
                <w:iCs/>
              </w:rPr>
              <w:t>, 202</w:t>
            </w:r>
            <w:r w:rsidR="008006F3">
              <w:rPr>
                <w:iCs/>
              </w:rPr>
              <w:t>6</w:t>
            </w:r>
          </w:p>
        </w:tc>
      </w:tr>
      <w:tr w:rsidR="00666670" w:rsidRPr="003B7ABC" w14:paraId="238C009E" w14:textId="77777777" w:rsidTr="00BF3CA4">
        <w:trPr>
          <w:trHeight w:val="520"/>
          <w:jc w:val="center"/>
        </w:trPr>
        <w:tc>
          <w:tcPr>
            <w:tcW w:w="4495" w:type="dxa"/>
            <w:vAlign w:val="center"/>
          </w:tcPr>
          <w:p w14:paraId="7CFDC7C0" w14:textId="062EC851" w:rsidR="00666670" w:rsidRPr="00A00C4E" w:rsidRDefault="00666670" w:rsidP="00666670">
            <w:pPr>
              <w:widowControl w:val="0"/>
              <w:rPr>
                <w:bCs/>
              </w:rPr>
            </w:pPr>
            <w:r w:rsidRPr="00A00C4E">
              <w:rPr>
                <w:bCs/>
              </w:rPr>
              <w:t>Contract start date (</w:t>
            </w:r>
            <w:proofErr w:type="gramStart"/>
            <w:r w:rsidRPr="00BF3CA4">
              <w:rPr>
                <w:bCs/>
                <w:i/>
                <w:sz w:val="16"/>
                <w:szCs w:val="16"/>
              </w:rPr>
              <w:t>estimate</w:t>
            </w:r>
            <w:proofErr w:type="gramEnd"/>
            <w:r w:rsidRPr="00BF3CA4">
              <w:rPr>
                <w:bCs/>
                <w:i/>
                <w:sz w:val="16"/>
                <w:szCs w:val="16"/>
              </w:rPr>
              <w:t xml:space="preserve"> only</w:t>
            </w:r>
            <w:r w:rsidRPr="00A00C4E">
              <w:rPr>
                <w:bCs/>
              </w:rPr>
              <w:t>)</w:t>
            </w:r>
          </w:p>
        </w:tc>
        <w:tc>
          <w:tcPr>
            <w:tcW w:w="3510" w:type="dxa"/>
            <w:vAlign w:val="center"/>
          </w:tcPr>
          <w:p w14:paraId="2EE508B6" w14:textId="36818E98" w:rsidR="00666670" w:rsidRPr="005F3B1C" w:rsidRDefault="00613C9D" w:rsidP="00666670">
            <w:pPr>
              <w:widowControl w:val="0"/>
              <w:jc w:val="center"/>
              <w:rPr>
                <w:b/>
                <w:bCs/>
                <w:iCs/>
              </w:rPr>
            </w:pPr>
            <w:r>
              <w:rPr>
                <w:bCs/>
                <w:iCs/>
              </w:rPr>
              <w:t>May 11, 2026</w:t>
            </w:r>
          </w:p>
        </w:tc>
      </w:tr>
      <w:tr w:rsidR="00666670" w:rsidRPr="003B7ABC" w14:paraId="35D91784" w14:textId="77777777" w:rsidTr="00BF3CA4">
        <w:trPr>
          <w:trHeight w:val="520"/>
          <w:jc w:val="center"/>
        </w:trPr>
        <w:tc>
          <w:tcPr>
            <w:tcW w:w="4495" w:type="dxa"/>
            <w:vAlign w:val="center"/>
          </w:tcPr>
          <w:p w14:paraId="4D006059" w14:textId="2A9E86DE" w:rsidR="00666670" w:rsidRPr="00A00C4E" w:rsidRDefault="00666670" w:rsidP="00666670">
            <w:pPr>
              <w:widowControl w:val="0"/>
              <w:rPr>
                <w:bCs/>
              </w:rPr>
            </w:pPr>
            <w:r w:rsidRPr="00A00C4E">
              <w:rPr>
                <w:bCs/>
              </w:rPr>
              <w:t>Contract end date (</w:t>
            </w:r>
            <w:r w:rsidRPr="00BF3CA4">
              <w:rPr>
                <w:bCs/>
                <w:i/>
                <w:sz w:val="16"/>
                <w:szCs w:val="16"/>
              </w:rPr>
              <w:t>estimate only</w:t>
            </w:r>
            <w:r w:rsidRPr="00A00C4E">
              <w:rPr>
                <w:bCs/>
              </w:rPr>
              <w:t>)</w:t>
            </w:r>
          </w:p>
        </w:tc>
        <w:tc>
          <w:tcPr>
            <w:tcW w:w="3510" w:type="dxa"/>
            <w:vAlign w:val="center"/>
          </w:tcPr>
          <w:p w14:paraId="227D23F4" w14:textId="059E1D8E" w:rsidR="00666670" w:rsidRPr="005F3B1C" w:rsidRDefault="00666670" w:rsidP="00666670">
            <w:pPr>
              <w:widowControl w:val="0"/>
              <w:jc w:val="center"/>
              <w:rPr>
                <w:b/>
                <w:bCs/>
                <w:iCs/>
              </w:rPr>
            </w:pPr>
            <w:r>
              <w:rPr>
                <w:bCs/>
                <w:iCs/>
              </w:rPr>
              <w:t>December 31</w:t>
            </w:r>
            <w:r w:rsidRPr="005F3B1C">
              <w:rPr>
                <w:bCs/>
                <w:iCs/>
              </w:rPr>
              <w:t>, 2026</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940"/>
      </w:tblGrid>
      <w:tr w:rsidR="002E7965" w:rsidRPr="003B7ABC" w14:paraId="54DC65EB" w14:textId="77777777" w:rsidTr="005F3B1C">
        <w:trPr>
          <w:tblHeader/>
          <w:jc w:val="center"/>
        </w:trPr>
        <w:tc>
          <w:tcPr>
            <w:tcW w:w="2965"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5940"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5F3B1C">
        <w:trPr>
          <w:tblHeader/>
          <w:jc w:val="center"/>
        </w:trPr>
        <w:tc>
          <w:tcPr>
            <w:tcW w:w="2965" w:type="dxa"/>
          </w:tcPr>
          <w:p w14:paraId="263EC0DD" w14:textId="332C60D1"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p>
        </w:tc>
        <w:tc>
          <w:tcPr>
            <w:tcW w:w="5940"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5F3B1C">
        <w:trPr>
          <w:tblHeader/>
          <w:jc w:val="center"/>
        </w:trPr>
        <w:tc>
          <w:tcPr>
            <w:tcW w:w="2965" w:type="dxa"/>
          </w:tcPr>
          <w:p w14:paraId="13851998" w14:textId="77777777" w:rsidR="005F3B1C" w:rsidRDefault="002E7965" w:rsidP="003E4B31">
            <w:pPr>
              <w:widowControl w:val="0"/>
              <w:rPr>
                <w:color w:val="000000"/>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p>
          <w:p w14:paraId="7C459300" w14:textId="26BF49F6" w:rsidR="002E7965" w:rsidRPr="00A00C4E" w:rsidRDefault="00636A18" w:rsidP="003E4B31">
            <w:pPr>
              <w:widowControl w:val="0"/>
              <w:rPr>
                <w:bCs/>
              </w:rPr>
            </w:pPr>
            <w:r>
              <w:rPr>
                <w:color w:val="000000"/>
              </w:rPr>
              <w:t xml:space="preserve">Judicial </w:t>
            </w:r>
            <w:r w:rsidR="001909EA">
              <w:rPr>
                <w:color w:val="000000"/>
              </w:rPr>
              <w:t xml:space="preserve">Council </w:t>
            </w:r>
            <w:r w:rsidR="00133F5A" w:rsidRPr="00A00C4E">
              <w:rPr>
                <w:color w:val="000000"/>
              </w:rPr>
              <w:t xml:space="preserve">Standard </w:t>
            </w:r>
            <w:r w:rsidR="004E669D" w:rsidRPr="00A00C4E">
              <w:rPr>
                <w:color w:val="000000"/>
              </w:rPr>
              <w:t>Terms and Conditions</w:t>
            </w:r>
          </w:p>
        </w:tc>
        <w:tc>
          <w:tcPr>
            <w:tcW w:w="5940" w:type="dxa"/>
          </w:tcPr>
          <w:p w14:paraId="4D71709D" w14:textId="77777777" w:rsidR="002B74D7" w:rsidRDefault="002B74D7" w:rsidP="002B74D7">
            <w:pPr>
              <w:widowControl w:val="0"/>
              <w:tabs>
                <w:tab w:val="left" w:pos="2178"/>
              </w:tabs>
              <w:rPr>
                <w:color w:val="000000"/>
              </w:rPr>
            </w:pPr>
            <w:r w:rsidRPr="00274A83">
              <w:rPr>
                <w:color w:val="000000"/>
              </w:rPr>
              <w:t xml:space="preserve">If selected, the person or entity submitting a proposal (the “Proposer”) must sign a Judicial Council of California Standard Agreement (the “Terms and Conditions”). If exceptions are identified or additional provisions proposed, the Proposer </w:t>
            </w:r>
            <w:r w:rsidRPr="00011E9B">
              <w:rPr>
                <w:b/>
                <w:bCs/>
                <w:color w:val="000000"/>
              </w:rPr>
              <w:t>must</w:t>
            </w:r>
            <w:r w:rsidRPr="00274A83">
              <w:rPr>
                <w:color w:val="000000"/>
              </w:rPr>
              <w:t xml:space="preserve"> also submit a </w:t>
            </w:r>
            <w:r w:rsidRPr="00011E9B">
              <w:rPr>
                <w:color w:val="000000"/>
              </w:rPr>
              <w:t>red-lined version</w:t>
            </w:r>
            <w:r w:rsidRPr="00274A83">
              <w:rPr>
                <w:color w:val="000000"/>
              </w:rPr>
              <w:t xml:space="preserve"> of the Terms and Conditions that clearly identifi</w:t>
            </w:r>
            <w:r>
              <w:rPr>
                <w:color w:val="000000"/>
              </w:rPr>
              <w:t>es</w:t>
            </w:r>
            <w:r w:rsidRPr="00274A83">
              <w:rPr>
                <w:color w:val="000000"/>
              </w:rPr>
              <w:t xml:space="preserve"> the benefit to the Judicial Branch from the proposed changes and provides a written explanation or rational for each proposed change.</w:t>
            </w:r>
          </w:p>
          <w:p w14:paraId="13FA2362" w14:textId="77777777" w:rsidR="002B74D7" w:rsidRDefault="002B74D7" w:rsidP="002B74D7">
            <w:pPr>
              <w:widowControl w:val="0"/>
              <w:tabs>
                <w:tab w:val="left" w:pos="2178"/>
              </w:tabs>
              <w:rPr>
                <w:color w:val="000000"/>
              </w:rPr>
            </w:pPr>
          </w:p>
          <w:p w14:paraId="4331071C" w14:textId="129DAE60" w:rsidR="002E7965" w:rsidRPr="00A00C4E" w:rsidRDefault="002B74D7" w:rsidP="003E4B31">
            <w:pPr>
              <w:widowControl w:val="0"/>
              <w:tabs>
                <w:tab w:val="left" w:pos="2178"/>
              </w:tabs>
              <w:rPr>
                <w:b/>
                <w:bCs/>
                <w:color w:val="000000"/>
              </w:rPr>
            </w:pPr>
            <w:r w:rsidRPr="009F4D84">
              <w:t>Notwithstanding any other provision in this RFP, the Judicial Council reserves the right, at its discretion, to negotiate any or all items with individual Proposers, including the right to propose or require additional terms and conditions for the agreement prior to agreement execution.</w:t>
            </w:r>
          </w:p>
        </w:tc>
      </w:tr>
      <w:tr w:rsidR="004E669D" w:rsidRPr="003B7ABC" w14:paraId="2F9C1C47" w14:textId="77777777" w:rsidTr="005F3B1C">
        <w:trPr>
          <w:tblHeader/>
          <w:jc w:val="center"/>
        </w:trPr>
        <w:tc>
          <w:tcPr>
            <w:tcW w:w="2965" w:type="dxa"/>
          </w:tcPr>
          <w:p w14:paraId="2611AFDB" w14:textId="785BD9FF" w:rsidR="004E669D" w:rsidRPr="00A00C4E" w:rsidRDefault="004E669D" w:rsidP="003E4B31">
            <w:pPr>
              <w:widowControl w:val="0"/>
              <w:rPr>
                <w:bCs/>
              </w:rPr>
            </w:pPr>
            <w:r w:rsidRPr="00A00C4E">
              <w:rPr>
                <w:bCs/>
                <w:color w:val="000000" w:themeColor="text1"/>
              </w:rPr>
              <w:t xml:space="preserve">Attachment </w:t>
            </w:r>
            <w:r w:rsidRPr="00A00C4E">
              <w:rPr>
                <w:color w:val="000000"/>
              </w:rPr>
              <w:t xml:space="preserve">3: Proposer’s </w:t>
            </w:r>
            <w:r w:rsidR="005F3B1C" w:rsidRPr="00A00C4E">
              <w:rPr>
                <w:color w:val="000000"/>
              </w:rPr>
              <w:t>Acceptance of</w:t>
            </w:r>
            <w:r w:rsidRPr="00A00C4E">
              <w:rPr>
                <w:color w:val="000000"/>
              </w:rPr>
              <w:t xml:space="preserve"> Terms and Conditions</w:t>
            </w:r>
          </w:p>
        </w:tc>
        <w:tc>
          <w:tcPr>
            <w:tcW w:w="5940"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7862EC7B" w14:textId="2F9FFE5B" w:rsidR="00B1049E" w:rsidRPr="00A00C4E" w:rsidRDefault="00F3217D" w:rsidP="00B1049E">
            <w:pPr>
              <w:widowControl w:val="0"/>
              <w:tabs>
                <w:tab w:val="left" w:pos="2178"/>
              </w:tabs>
              <w:rPr>
                <w:color w:val="000000"/>
              </w:rPr>
            </w:pPr>
            <w:r>
              <w:rPr>
                <w:color w:val="000000"/>
              </w:rPr>
              <w:t xml:space="preserve"> </w:t>
            </w:r>
          </w:p>
          <w:p w14:paraId="43A11F56" w14:textId="27EDC06D" w:rsidR="00FD359B" w:rsidRPr="00CC03F5" w:rsidRDefault="004E669D" w:rsidP="00B1049E">
            <w:pPr>
              <w:widowControl w:val="0"/>
              <w:tabs>
                <w:tab w:val="left" w:pos="2178"/>
              </w:tabs>
              <w:rPr>
                <w:b/>
                <w:color w:val="000000"/>
              </w:rPr>
            </w:pPr>
            <w:r w:rsidRPr="00A00C4E">
              <w:rPr>
                <w:b/>
                <w:color w:val="000000"/>
              </w:rPr>
              <w:t xml:space="preserve">Note: A material </w:t>
            </w:r>
            <w:r w:rsidR="003020A2" w:rsidRPr="00A00C4E">
              <w:rPr>
                <w:b/>
                <w:bCs/>
                <w:color w:val="000000" w:themeColor="text1"/>
              </w:rPr>
              <w:t>exception</w:t>
            </w:r>
            <w:r w:rsidR="00E03EA9">
              <w:rPr>
                <w:b/>
                <w:bCs/>
                <w:color w:val="000000" w:themeColor="text1"/>
              </w:rPr>
              <w:t xml:space="preserve"> </w:t>
            </w:r>
            <w:r w:rsidR="00E03EA9" w:rsidRPr="00CC03F5">
              <w:rPr>
                <w:b/>
                <w:bCs/>
                <w:color w:val="000000" w:themeColor="text1"/>
              </w:rPr>
              <w:t>(addition, deletion, or other modification)</w:t>
            </w:r>
            <w:r w:rsidR="003020A2" w:rsidRPr="00CC03F5">
              <w:rPr>
                <w:b/>
                <w:bCs/>
                <w:color w:val="000000" w:themeColor="text1"/>
              </w:rPr>
              <w:t xml:space="preserve"> to a Minimum Term will render a proposal non-responsive</w:t>
            </w:r>
            <w:r w:rsidRPr="00CC03F5">
              <w:rPr>
                <w:b/>
                <w:color w:val="000000"/>
              </w:rPr>
              <w:t>.</w:t>
            </w:r>
            <w:r w:rsidR="00FD359B" w:rsidRPr="00CC03F5">
              <w:rPr>
                <w:b/>
                <w:color w:val="000000"/>
              </w:rPr>
              <w:t xml:space="preserve"> T</w:t>
            </w:r>
            <w:bookmarkStart w:id="0" w:name="_Hlk90304867"/>
            <w:r w:rsidR="00FD359B" w:rsidRPr="00CC03F5">
              <w:rPr>
                <w:b/>
                <w:color w:val="000000"/>
              </w:rPr>
              <w:t>he JBE, in its sole discretion, will determine what constitutes a material exception.</w:t>
            </w:r>
            <w:bookmarkEnd w:id="0"/>
          </w:p>
          <w:p w14:paraId="05C3478A" w14:textId="140FE814" w:rsidR="004E669D" w:rsidRPr="00A00C4E" w:rsidRDefault="004E669D" w:rsidP="003E4B31">
            <w:pPr>
              <w:widowControl w:val="0"/>
              <w:tabs>
                <w:tab w:val="left" w:pos="2178"/>
              </w:tabs>
              <w:rPr>
                <w:b/>
                <w:bCs/>
                <w:color w:val="000000"/>
              </w:rPr>
            </w:pPr>
            <w:r w:rsidRPr="00A00C4E">
              <w:rPr>
                <w:b/>
                <w:color w:val="000000"/>
              </w:rPr>
              <w:t xml:space="preserve"> </w:t>
            </w:r>
          </w:p>
        </w:tc>
      </w:tr>
      <w:tr w:rsidR="00DE43B0" w:rsidRPr="003B7ABC" w14:paraId="0CABAE73" w14:textId="77777777" w:rsidTr="005F3B1C">
        <w:trPr>
          <w:tblHeader/>
          <w:jc w:val="center"/>
        </w:trPr>
        <w:tc>
          <w:tcPr>
            <w:tcW w:w="2965"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5940"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ED43D7" w:rsidRPr="003B7ABC" w14:paraId="753F3EA0" w14:textId="77777777" w:rsidTr="005F3B1C">
        <w:trPr>
          <w:trHeight w:val="1070"/>
          <w:tblHeader/>
          <w:jc w:val="center"/>
        </w:trPr>
        <w:tc>
          <w:tcPr>
            <w:tcW w:w="2965" w:type="dxa"/>
          </w:tcPr>
          <w:p w14:paraId="059F49A3" w14:textId="60E11064" w:rsidR="00ED43D7" w:rsidRPr="00A00C4E" w:rsidRDefault="00ED43D7" w:rsidP="00ED43D7">
            <w:pPr>
              <w:widowControl w:val="0"/>
              <w:rPr>
                <w:bCs/>
              </w:rPr>
            </w:pPr>
            <w:r w:rsidRPr="00FE63F9">
              <w:rPr>
                <w:color w:val="000000"/>
              </w:rPr>
              <w:t>Attachment 5: DVBE Bidder Declaration</w:t>
            </w:r>
          </w:p>
        </w:tc>
        <w:tc>
          <w:tcPr>
            <w:tcW w:w="5940" w:type="dxa"/>
          </w:tcPr>
          <w:p w14:paraId="4AD8ABAF" w14:textId="4318849D" w:rsidR="00ED43D7" w:rsidRDefault="00D47386" w:rsidP="00ED43D7">
            <w:pPr>
              <w:widowControl w:val="0"/>
            </w:pPr>
            <w:r w:rsidRPr="00515136">
              <w:t xml:space="preserve">Proposers must </w:t>
            </w:r>
            <w:r>
              <w:t>c</w:t>
            </w:r>
            <w:r w:rsidRPr="00F25E15">
              <w:t>omplete and return this form with the proposal only if Proposer wishes to claim the DVBE incentive associated with this RFP.</w:t>
            </w:r>
          </w:p>
        </w:tc>
      </w:tr>
      <w:tr w:rsidR="00D47386" w:rsidRPr="003B7ABC" w14:paraId="67C0E172" w14:textId="77777777" w:rsidTr="005F3B1C">
        <w:trPr>
          <w:trHeight w:val="890"/>
          <w:tblHeader/>
          <w:jc w:val="center"/>
        </w:trPr>
        <w:tc>
          <w:tcPr>
            <w:tcW w:w="2965" w:type="dxa"/>
          </w:tcPr>
          <w:p w14:paraId="304507B2" w14:textId="0D869426" w:rsidR="00D47386" w:rsidRPr="00A00C4E" w:rsidRDefault="00D23D1E" w:rsidP="003E4B31">
            <w:pPr>
              <w:widowControl w:val="0"/>
              <w:rPr>
                <w:bCs/>
              </w:rPr>
            </w:pPr>
            <w:r w:rsidRPr="00156FFE">
              <w:rPr>
                <w:color w:val="000000"/>
              </w:rPr>
              <w:t xml:space="preserve">Attachment </w:t>
            </w:r>
            <w:r>
              <w:rPr>
                <w:color w:val="000000"/>
              </w:rPr>
              <w:t>6</w:t>
            </w:r>
            <w:r w:rsidRPr="00156FFE">
              <w:rPr>
                <w:color w:val="000000"/>
              </w:rPr>
              <w:t>: DVBE Declaration</w:t>
            </w:r>
          </w:p>
        </w:tc>
        <w:tc>
          <w:tcPr>
            <w:tcW w:w="5940" w:type="dxa"/>
          </w:tcPr>
          <w:p w14:paraId="6344F6E7" w14:textId="0FC53CF1" w:rsidR="00D47386" w:rsidRDefault="00055FFA" w:rsidP="003E4B31">
            <w:pPr>
              <w:widowControl w:val="0"/>
            </w:pPr>
            <w:r>
              <w:t>Each DVBE that will provide goods and/or services in connection with the contract must complete this form. If the Proposer is itself a DVBE, it must also complete and sign the DVBE Declaration,</w:t>
            </w:r>
          </w:p>
        </w:tc>
      </w:tr>
      <w:tr w:rsidR="004E669D" w:rsidRPr="003B7ABC" w14:paraId="403F5597" w14:textId="77777777" w:rsidTr="005F3B1C">
        <w:trPr>
          <w:tblHeader/>
          <w:jc w:val="center"/>
        </w:trPr>
        <w:tc>
          <w:tcPr>
            <w:tcW w:w="2965" w:type="dxa"/>
          </w:tcPr>
          <w:p w14:paraId="315017C4" w14:textId="46374874" w:rsidR="004E669D" w:rsidRPr="00A00C4E" w:rsidRDefault="004E669D" w:rsidP="003E4B31">
            <w:pPr>
              <w:widowControl w:val="0"/>
              <w:rPr>
                <w:bCs/>
              </w:rPr>
            </w:pPr>
            <w:r w:rsidRPr="00A00C4E">
              <w:rPr>
                <w:bCs/>
              </w:rPr>
              <w:t xml:space="preserve">Attachment </w:t>
            </w:r>
            <w:r w:rsidR="00055FFA">
              <w:rPr>
                <w:bCs/>
              </w:rPr>
              <w:t>7</w:t>
            </w:r>
            <w:r w:rsidRPr="00A00C4E">
              <w:rPr>
                <w:bCs/>
              </w:rPr>
              <w:t>: Darfur Contracting Act Certification</w:t>
            </w:r>
          </w:p>
        </w:tc>
        <w:tc>
          <w:tcPr>
            <w:tcW w:w="5940"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B312305" w14:textId="77777777" w:rsidTr="005F3B1C">
        <w:trPr>
          <w:tblHeader/>
          <w:jc w:val="center"/>
        </w:trPr>
        <w:tc>
          <w:tcPr>
            <w:tcW w:w="2965" w:type="dxa"/>
          </w:tcPr>
          <w:p w14:paraId="58C3595F" w14:textId="39C3858C" w:rsidR="00B6606B" w:rsidRPr="00A00C4E" w:rsidRDefault="00B6606B" w:rsidP="00DE43B0">
            <w:pPr>
              <w:widowControl w:val="0"/>
              <w:rPr>
                <w:bCs/>
              </w:rPr>
            </w:pPr>
            <w:r w:rsidRPr="00A00C4E">
              <w:rPr>
                <w:bCs/>
              </w:rPr>
              <w:t>Payee Data Record Form</w:t>
            </w:r>
          </w:p>
        </w:tc>
        <w:tc>
          <w:tcPr>
            <w:tcW w:w="5940" w:type="dxa"/>
          </w:tcPr>
          <w:p w14:paraId="53C1CD61" w14:textId="77777777" w:rsidR="00B6606B" w:rsidRDefault="00B6606B" w:rsidP="003E4B31">
            <w:pPr>
              <w:widowControl w:val="0"/>
              <w:rPr>
                <w:bCs/>
              </w:rPr>
            </w:pPr>
            <w:r w:rsidRPr="00A00C4E">
              <w:rPr>
                <w:bCs/>
              </w:rPr>
              <w:t xml:space="preserve">This form contains information the </w:t>
            </w:r>
            <w:r w:rsidR="00D90AEE">
              <w:rPr>
                <w:bCs/>
              </w:rPr>
              <w:t>JBE</w:t>
            </w:r>
            <w:r w:rsidRPr="00A00C4E">
              <w:rPr>
                <w:bCs/>
              </w:rPr>
              <w:t xml:space="preserve"> requires in order to process payments and must be submitted with the proposal.</w:t>
            </w:r>
          </w:p>
          <w:p w14:paraId="59487158" w14:textId="63AF485C" w:rsidR="005F3B1C" w:rsidRPr="00A00C4E" w:rsidRDefault="005F3B1C" w:rsidP="003E4B31">
            <w:pPr>
              <w:widowControl w:val="0"/>
            </w:pPr>
            <w:hyperlink r:id="rId11" w:history="1">
              <w:r w:rsidRPr="005F3B1C">
                <w:rPr>
                  <w:rStyle w:val="Hyperlink"/>
                </w:rPr>
                <w:t>https://www.documents.dgs.ca.gov/dgs/fmc/pdf/std204.pdf</w:t>
              </w:r>
            </w:hyperlink>
          </w:p>
        </w:tc>
      </w:tr>
      <w:tr w:rsidR="004E7971" w:rsidRPr="003B7ABC" w14:paraId="76542013" w14:textId="77777777" w:rsidTr="004E7971">
        <w:trPr>
          <w:trHeight w:val="1241"/>
          <w:tblHeader/>
          <w:jc w:val="center"/>
        </w:trPr>
        <w:tc>
          <w:tcPr>
            <w:tcW w:w="2965" w:type="dxa"/>
          </w:tcPr>
          <w:p w14:paraId="569E18C8" w14:textId="6D71201F" w:rsidR="004E7971" w:rsidRPr="00A00C4E" w:rsidRDefault="004E7971" w:rsidP="00DE43B0">
            <w:pPr>
              <w:widowControl w:val="0"/>
              <w:rPr>
                <w:bCs/>
              </w:rPr>
            </w:pPr>
            <w:r>
              <w:lastRenderedPageBreak/>
              <w:t>Attachment 8: Unruh and FEHA Certification</w:t>
            </w:r>
          </w:p>
        </w:tc>
        <w:tc>
          <w:tcPr>
            <w:tcW w:w="5940" w:type="dxa"/>
          </w:tcPr>
          <w:p w14:paraId="0A298807" w14:textId="047AE139" w:rsidR="004E7971" w:rsidRPr="00A00C4E" w:rsidRDefault="004E7971" w:rsidP="003E4B31">
            <w:pPr>
              <w:widowControl w:val="0"/>
              <w:rPr>
                <w:bCs/>
              </w:rPr>
            </w:pPr>
            <w:r>
              <w:t>The Proposer must complete the Unruh Civil Rights Act and California Fair Employment and Housing Act Certification and submit the completed certification with its proposal.</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2C2EA21A" w14:textId="7D4E6507" w:rsidR="008D6669" w:rsidRDefault="008D6669" w:rsidP="00D73B09">
      <w:pPr>
        <w:ind w:left="720"/>
      </w:pPr>
      <w:r w:rsidRPr="008D6669">
        <w:t xml:space="preserve">Subject to the terms in Attachment 2, Appendix B, Payment Provisions, the selected provider will be paid on a </w:t>
      </w:r>
      <w:proofErr w:type="gramStart"/>
      <w:r w:rsidRPr="008D6669">
        <w:t>firm-fixed</w:t>
      </w:r>
      <w:proofErr w:type="gramEnd"/>
      <w:r w:rsidRPr="008D6669">
        <w:t xml:space="preserve"> amount per Deliverable basis. The firm-fixed amount for each </w:t>
      </w:r>
      <w:proofErr w:type="gramStart"/>
      <w:r w:rsidRPr="008D6669">
        <w:t>deliverable</w:t>
      </w:r>
      <w:proofErr w:type="gramEnd"/>
      <w:r w:rsidRPr="008D6669">
        <w:t xml:space="preserve"> shall be fully loaded and inclusive of all costs including, but not </w:t>
      </w:r>
      <w:r w:rsidR="00D73B09" w:rsidRPr="008D6669">
        <w:t>limited</w:t>
      </w:r>
      <w:r w:rsidRPr="008D6669">
        <w:t xml:space="preserve"> to personnel, materials, computer support, travel, lodging, per diem, fringe benefits, operating expenses, overhead or indirect costs and other costs. </w:t>
      </w:r>
    </w:p>
    <w:p w14:paraId="56C35E02" w14:textId="77777777" w:rsidR="00D73B09" w:rsidRPr="008D6669" w:rsidRDefault="00D73B09" w:rsidP="00D73B09">
      <w:pPr>
        <w:ind w:left="720"/>
      </w:pPr>
    </w:p>
    <w:p w14:paraId="67D879A9" w14:textId="77777777" w:rsidR="008D6669" w:rsidRPr="008D6669" w:rsidRDefault="008D6669" w:rsidP="008D6669">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contextualSpacing/>
        <w:jc w:val="both"/>
        <w:rPr>
          <w:rFonts w:asciiTheme="minorHAnsi" w:hAnsiTheme="minorHAnsi" w:cstheme="minorHAnsi"/>
          <w:spacing w:val="-3"/>
        </w:rPr>
      </w:pPr>
      <w:r w:rsidRPr="008D6669">
        <w:rPr>
          <w:rFonts w:asciiTheme="minorHAnsi" w:hAnsiTheme="minorHAnsi" w:cstheme="minorHAnsi"/>
          <w:spacing w:val="-3"/>
        </w:rPr>
        <w:t xml:space="preserve">The Judicial Council standard payment term is </w:t>
      </w:r>
      <w:r w:rsidRPr="008D6669">
        <w:rPr>
          <w:rFonts w:asciiTheme="minorHAnsi" w:hAnsiTheme="minorHAnsi" w:cstheme="minorHAnsi"/>
          <w:b/>
          <w:bCs/>
          <w:spacing w:val="-3"/>
        </w:rPr>
        <w:t>Net 60</w:t>
      </w:r>
      <w:r w:rsidRPr="008D6669">
        <w:rPr>
          <w:rFonts w:asciiTheme="minorHAnsi" w:hAnsiTheme="minorHAnsi" w:cstheme="minorHAnsi"/>
          <w:spacing w:val="-3"/>
        </w:rPr>
        <w:t xml:space="preserve"> from date of receipt of invoice or acceptance of Deliverable (s).</w:t>
      </w:r>
    </w:p>
    <w:p w14:paraId="0A19A8A0" w14:textId="77777777" w:rsidR="00173CFE" w:rsidRDefault="00173CFE" w:rsidP="002C64BD">
      <w:pPr>
        <w:keepNext/>
        <w:ind w:left="720" w:hanging="720"/>
        <w:rPr>
          <w:b/>
          <w:bCs/>
        </w:rPr>
      </w:pPr>
    </w:p>
    <w:p w14:paraId="1566AB30" w14:textId="09A5F88C" w:rsidR="002C64BD" w:rsidRDefault="005E6785"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61DF0954" w14:textId="77777777" w:rsidR="008D6669" w:rsidRDefault="005E6785" w:rsidP="004F1D48">
      <w:pPr>
        <w:ind w:left="1440" w:right="468" w:hanging="720"/>
        <w:rPr>
          <w:color w:val="000000"/>
        </w:rPr>
      </w:pPr>
      <w:r>
        <w:rPr>
          <w:color w:val="000000"/>
        </w:rPr>
        <w:t>6</w:t>
      </w:r>
      <w:r w:rsidR="002C64BD">
        <w:rPr>
          <w:color w:val="000000"/>
        </w:rPr>
        <w:t>.1</w:t>
      </w:r>
      <w:r w:rsidR="002C64BD">
        <w:rPr>
          <w:color w:val="000000"/>
        </w:rPr>
        <w:tab/>
      </w:r>
      <w:r w:rsidR="008D6669">
        <w:rPr>
          <w:color w:val="000000"/>
        </w:rPr>
        <w:t>P</w:t>
      </w:r>
      <w:r w:rsidR="008D6669" w:rsidRPr="005E0EE1">
        <w:rPr>
          <w:color w:val="000000"/>
        </w:rPr>
        <w:t xml:space="preserve">roposals should provide straightforward, concise information that satisfies the requirements </w:t>
      </w:r>
      <w:r w:rsidR="008D6669">
        <w:rPr>
          <w:color w:val="000000"/>
        </w:rPr>
        <w:t>of the “Proposal Contents” section below</w:t>
      </w:r>
      <w:r w:rsidR="008D6669" w:rsidRPr="005E0EE1">
        <w:rPr>
          <w:color w:val="000000"/>
        </w:rPr>
        <w:t>.</w:t>
      </w:r>
      <w:r w:rsidR="008D6669">
        <w:rPr>
          <w:color w:val="000000"/>
        </w:rPr>
        <w:t xml:space="preserve"> </w:t>
      </w:r>
      <w:r w:rsidR="008D6669" w:rsidRPr="005E0EE1">
        <w:rPr>
          <w:color w:val="000000"/>
        </w:rPr>
        <w:t xml:space="preserve">Emphasis should be placed </w:t>
      </w:r>
      <w:proofErr w:type="gramStart"/>
      <w:r w:rsidR="008D6669" w:rsidRPr="005E0EE1">
        <w:rPr>
          <w:color w:val="000000"/>
        </w:rPr>
        <w:t>on</w:t>
      </w:r>
      <w:proofErr w:type="gramEnd"/>
      <w:r w:rsidR="008D6669" w:rsidRPr="005E0EE1">
        <w:rPr>
          <w:color w:val="000000"/>
        </w:rPr>
        <w:t xml:space="preserve"> conformity to the </w:t>
      </w:r>
      <w:r w:rsidR="008D6669">
        <w:rPr>
          <w:color w:val="000000"/>
        </w:rPr>
        <w:t xml:space="preserve">RFP’s </w:t>
      </w:r>
      <w:r w:rsidR="008D6669" w:rsidRPr="005E0EE1">
        <w:rPr>
          <w:color w:val="000000"/>
        </w:rPr>
        <w:t>instructions</w:t>
      </w:r>
      <w:r w:rsidR="008D6669">
        <w:rPr>
          <w:color w:val="000000"/>
        </w:rPr>
        <w:t xml:space="preserve"> and</w:t>
      </w:r>
      <w:r w:rsidR="008D6669" w:rsidRPr="005E0EE1">
        <w:rPr>
          <w:color w:val="000000"/>
        </w:rPr>
        <w:t xml:space="preserve"> requirements, and completeness and clarity of content.</w:t>
      </w:r>
    </w:p>
    <w:p w14:paraId="6CCC305E" w14:textId="77777777" w:rsidR="008D6669" w:rsidRDefault="008D6669" w:rsidP="008D6669">
      <w:pPr>
        <w:ind w:right="468"/>
        <w:rPr>
          <w:color w:val="000000"/>
        </w:rPr>
      </w:pPr>
    </w:p>
    <w:p w14:paraId="747B61ED" w14:textId="21CB7FF0" w:rsidR="008D6669" w:rsidRDefault="008D6669" w:rsidP="008D6669">
      <w:pPr>
        <w:ind w:left="1440" w:right="468" w:hanging="720"/>
      </w:pPr>
      <w:r>
        <w:rPr>
          <w:color w:val="000000"/>
        </w:rPr>
        <w:t>6.2</w:t>
      </w:r>
      <w:r>
        <w:rPr>
          <w:color w:val="000000"/>
        </w:rPr>
        <w:tab/>
      </w:r>
      <w:r w:rsidRPr="00B90602">
        <w:rPr>
          <w:color w:val="000000"/>
        </w:rPr>
        <w:t xml:space="preserve">The </w:t>
      </w:r>
      <w:r>
        <w:rPr>
          <w:color w:val="000000"/>
        </w:rPr>
        <w:t xml:space="preserve">Proposer </w:t>
      </w:r>
      <w:r>
        <w:t>must submit its proposal in two parts, the technical proposal and the cost proposal.</w:t>
      </w:r>
    </w:p>
    <w:p w14:paraId="3EE3FE8A" w14:textId="77777777" w:rsidR="008D6669" w:rsidRDefault="008D6669" w:rsidP="008D6669">
      <w:pPr>
        <w:ind w:left="1440" w:right="468" w:hanging="720"/>
      </w:pPr>
    </w:p>
    <w:p w14:paraId="4D58AB0F" w14:textId="77777777" w:rsidR="008D6669" w:rsidRDefault="008D6669" w:rsidP="008D6669">
      <w:pPr>
        <w:pStyle w:val="ListParagraph"/>
        <w:numPr>
          <w:ilvl w:val="2"/>
          <w:numId w:val="13"/>
        </w:numPr>
        <w:ind w:right="468"/>
        <w:rPr>
          <w:color w:val="000000"/>
        </w:rPr>
      </w:pPr>
      <w:r>
        <w:t xml:space="preserve">The </w:t>
      </w:r>
      <w:r w:rsidRPr="008D6669">
        <w:rPr>
          <w:color w:val="000000"/>
        </w:rPr>
        <w:t xml:space="preserve">Proposer must submit an electronic copy of the Technical Proposal. The proposer must be signed by an authorized representative of the Proposer. </w:t>
      </w:r>
      <w:r w:rsidRPr="008D6669">
        <w:rPr>
          <w:b/>
          <w:bCs/>
          <w:color w:val="000000"/>
        </w:rPr>
        <w:t>To fulfill this requirement, the proposer may include a signed cover letter for the Technical Proposal</w:t>
      </w:r>
      <w:r w:rsidRPr="008D6669">
        <w:rPr>
          <w:color w:val="000000"/>
        </w:rPr>
        <w:t xml:space="preserve">. The Technical Proposal must be submitted via email to </w:t>
      </w:r>
      <w:r w:rsidRPr="008D6669">
        <w:rPr>
          <w:color w:val="000000"/>
          <w:u w:val="single"/>
        </w:rPr>
        <w:t>Solicitations@jud.ca.gov</w:t>
      </w:r>
      <w:r w:rsidRPr="008D6669">
        <w:rPr>
          <w:color w:val="000000"/>
        </w:rPr>
        <w:t xml:space="preserve">. The Technical Proposal must include all components required in </w:t>
      </w:r>
      <w:r w:rsidRPr="008D6669">
        <w:rPr>
          <w:b/>
          <w:bCs/>
          <w:color w:val="000000"/>
        </w:rPr>
        <w:t>Section 7.1</w:t>
      </w:r>
      <w:r w:rsidRPr="008D6669">
        <w:rPr>
          <w:color w:val="000000"/>
        </w:rPr>
        <w:t>. The Proposer must indicate the RFP title and number in the subject line of the email.</w:t>
      </w:r>
    </w:p>
    <w:p w14:paraId="72BCE556" w14:textId="77777777" w:rsidR="008D6669" w:rsidRDefault="008D6669" w:rsidP="008D6669">
      <w:pPr>
        <w:pStyle w:val="ListParagraph"/>
        <w:ind w:left="2160" w:right="468"/>
        <w:rPr>
          <w:color w:val="000000"/>
        </w:rPr>
      </w:pPr>
    </w:p>
    <w:p w14:paraId="0F6152D5" w14:textId="5DA73584" w:rsidR="005E6785" w:rsidRDefault="008D6669" w:rsidP="008D6669">
      <w:pPr>
        <w:pStyle w:val="ListParagraph"/>
        <w:numPr>
          <w:ilvl w:val="2"/>
          <w:numId w:val="13"/>
        </w:numPr>
        <w:ind w:right="468"/>
        <w:rPr>
          <w:color w:val="000000"/>
        </w:rPr>
      </w:pPr>
      <w:r w:rsidRPr="008D6669">
        <w:rPr>
          <w:color w:val="000000"/>
        </w:rPr>
        <w:t xml:space="preserve">The Proposer must submit an electronic copy of the Cost Proposal. The   proposal must be signed by an authorized representative of the Proposer. </w:t>
      </w:r>
      <w:r w:rsidRPr="008D6669">
        <w:rPr>
          <w:b/>
          <w:bCs/>
          <w:color w:val="000000"/>
        </w:rPr>
        <w:t>To fulfill this requirement, the proposer may include a signed cover letter for the Cost Proposal</w:t>
      </w:r>
      <w:r w:rsidRPr="008D6669">
        <w:rPr>
          <w:color w:val="000000"/>
        </w:rPr>
        <w:t xml:space="preserve">. The Cost Proposal can be submitted in the same email as the Technical Proposal above via email sent to </w:t>
      </w:r>
      <w:proofErr w:type="gramStart"/>
      <w:r w:rsidRPr="008D6669">
        <w:rPr>
          <w:color w:val="000000"/>
          <w:u w:val="single"/>
        </w:rPr>
        <w:t>Solicitations@jud.ca.gov</w:t>
      </w:r>
      <w:r w:rsidRPr="008D6669">
        <w:rPr>
          <w:color w:val="000000"/>
        </w:rPr>
        <w:t>, but</w:t>
      </w:r>
      <w:proofErr w:type="gramEnd"/>
      <w:r w:rsidRPr="008D6669">
        <w:rPr>
          <w:color w:val="000000"/>
        </w:rPr>
        <w:t xml:space="preserve"> should be a </w:t>
      </w:r>
      <w:r w:rsidRPr="008D6669">
        <w:rPr>
          <w:b/>
          <w:bCs/>
          <w:color w:val="000000"/>
        </w:rPr>
        <w:t>separate attachment</w:t>
      </w:r>
      <w:r w:rsidRPr="008D6669">
        <w:rPr>
          <w:color w:val="000000"/>
        </w:rPr>
        <w:t xml:space="preserve"> marked “COST PROPOSAL,” from the technical proposal. The Cost Proposal must include all components required in </w:t>
      </w:r>
      <w:r w:rsidRPr="008D6669">
        <w:rPr>
          <w:b/>
          <w:bCs/>
          <w:color w:val="000000"/>
        </w:rPr>
        <w:t>Section 7.2</w:t>
      </w:r>
      <w:r w:rsidRPr="008D6669">
        <w:rPr>
          <w:color w:val="000000"/>
        </w:rPr>
        <w:t xml:space="preserve">. The Proposer must indicate the RFP title and number in the subject line of the submission email. </w:t>
      </w:r>
    </w:p>
    <w:p w14:paraId="1B55E1C3" w14:textId="77777777" w:rsidR="008D6669" w:rsidRPr="008D6669" w:rsidRDefault="008D6669" w:rsidP="008D6669">
      <w:pPr>
        <w:pStyle w:val="ListParagraph"/>
        <w:rPr>
          <w:color w:val="000000"/>
        </w:rPr>
      </w:pPr>
    </w:p>
    <w:p w14:paraId="23F1AE44" w14:textId="77777777" w:rsidR="008D6669" w:rsidRDefault="008D6669" w:rsidP="004F1D48">
      <w:pPr>
        <w:ind w:left="1440" w:right="468" w:hanging="720"/>
        <w:rPr>
          <w:b/>
          <w:bCs/>
          <w:color w:val="000000"/>
        </w:rPr>
      </w:pPr>
      <w:r>
        <w:rPr>
          <w:color w:val="000000"/>
        </w:rPr>
        <w:lastRenderedPageBreak/>
        <w:t>6.3</w:t>
      </w:r>
      <w:r>
        <w:rPr>
          <w:color w:val="000000"/>
        </w:rPr>
        <w:tab/>
      </w:r>
      <w:r w:rsidRPr="00D74B95">
        <w:rPr>
          <w:color w:val="000000"/>
        </w:rPr>
        <w:t xml:space="preserve">Submission acceptance will be based on the date and time the emails are received by the Judicial Council of California. Both the Technical and Cost Proposals must be received prior to the due date and time, or the proposal will not be accepted. Due to the potential for email transmission delays, which may cause late receipt and non-acceptance of proposals, </w:t>
      </w:r>
      <w:r w:rsidRPr="00402F89">
        <w:rPr>
          <w:b/>
          <w:bCs/>
          <w:color w:val="000000"/>
        </w:rPr>
        <w:t>it is recommended that Proposers email their proposals well in advance of the due date and time.</w:t>
      </w:r>
    </w:p>
    <w:p w14:paraId="23B363D6" w14:textId="5E7A06D0" w:rsidR="005E6785" w:rsidRPr="008D6669" w:rsidRDefault="005E6785" w:rsidP="008D6669">
      <w:pPr>
        <w:ind w:right="468"/>
        <w:rPr>
          <w:b/>
          <w:bCs/>
          <w:color w:val="000000"/>
        </w:rPr>
      </w:pPr>
    </w:p>
    <w:p w14:paraId="0B4B3010" w14:textId="3BED944E" w:rsidR="008D6669" w:rsidRDefault="005E6785" w:rsidP="004F1D48">
      <w:pPr>
        <w:ind w:left="1440" w:right="468" w:hanging="720"/>
        <w:rPr>
          <w:color w:val="000000"/>
        </w:rPr>
      </w:pPr>
      <w:r>
        <w:rPr>
          <w:color w:val="000000"/>
        </w:rPr>
        <w:t>6</w:t>
      </w:r>
      <w:r w:rsidRPr="005E0EE1">
        <w:rPr>
          <w:color w:val="000000"/>
        </w:rPr>
        <w:t>.</w:t>
      </w:r>
      <w:r w:rsidR="00BF3CA4">
        <w:rPr>
          <w:color w:val="000000"/>
        </w:rPr>
        <w:t>4</w:t>
      </w:r>
      <w:r w:rsidRPr="005E0EE1">
        <w:rPr>
          <w:color w:val="000000"/>
        </w:rPr>
        <w:tab/>
      </w:r>
      <w:r w:rsidR="008D6669" w:rsidRPr="001E612A">
        <w:rPr>
          <w:color w:val="000000"/>
        </w:rPr>
        <w:t>Late proposals will not be accepted.</w:t>
      </w:r>
      <w:r w:rsidR="008D6669">
        <w:rPr>
          <w:color w:val="000000"/>
        </w:rPr>
        <w:t xml:space="preserve"> </w:t>
      </w:r>
      <w:r w:rsidR="008D6669" w:rsidRPr="00AC7821">
        <w:rPr>
          <w:color w:val="000000"/>
        </w:rPr>
        <w:t>However, as necessary, the Judicial Council of California may request clarification from Proposers after the submission of proposals.</w:t>
      </w:r>
    </w:p>
    <w:p w14:paraId="42AD0CBB" w14:textId="77777777" w:rsidR="008D6669" w:rsidRDefault="008D6669" w:rsidP="005E6785">
      <w:pPr>
        <w:ind w:left="1440" w:right="468" w:hanging="720"/>
        <w:rPr>
          <w:color w:val="000000"/>
        </w:rPr>
      </w:pPr>
    </w:p>
    <w:p w14:paraId="67F0488F" w14:textId="17B467F7" w:rsidR="008D6669" w:rsidRDefault="008D6669" w:rsidP="004F1D48">
      <w:pPr>
        <w:pStyle w:val="BodyTextIndent"/>
        <w:spacing w:after="0"/>
        <w:ind w:right="460" w:firstLine="360"/>
        <w:rPr>
          <w:color w:val="000000"/>
        </w:rPr>
      </w:pPr>
      <w:r>
        <w:rPr>
          <w:color w:val="000000"/>
        </w:rPr>
        <w:t>6.5</w:t>
      </w:r>
      <w:r w:rsidRPr="008D6669">
        <w:rPr>
          <w:color w:val="000000"/>
        </w:rPr>
        <w:t xml:space="preserve"> </w:t>
      </w:r>
      <w:r>
        <w:rPr>
          <w:color w:val="000000"/>
        </w:rPr>
        <w:tab/>
        <w:t xml:space="preserve">For </w:t>
      </w:r>
      <w:r w:rsidRPr="00632CA4">
        <w:rPr>
          <w:color w:val="000000"/>
        </w:rPr>
        <w:t>the purposes of this RFP, proposals shall be transmitted only by email.</w:t>
      </w:r>
    </w:p>
    <w:p w14:paraId="14F71505" w14:textId="77777777" w:rsidR="008D6669" w:rsidRDefault="008D6669" w:rsidP="008D6669">
      <w:pPr>
        <w:ind w:right="468"/>
        <w:rPr>
          <w:color w:val="000000"/>
        </w:rPr>
      </w:pPr>
    </w:p>
    <w:p w14:paraId="1F78DC19" w14:textId="01D32A61" w:rsidR="008D6669" w:rsidRDefault="008D6669" w:rsidP="004F1D48">
      <w:pPr>
        <w:pStyle w:val="BodyTextIndent"/>
        <w:spacing w:after="0"/>
        <w:ind w:left="1440" w:right="460" w:hanging="720"/>
        <w:rPr>
          <w:color w:val="000000"/>
        </w:rPr>
      </w:pPr>
      <w:r>
        <w:rPr>
          <w:color w:val="000000"/>
        </w:rPr>
        <w:t xml:space="preserve">6.6 </w:t>
      </w:r>
      <w:r>
        <w:rPr>
          <w:color w:val="000000"/>
        </w:rPr>
        <w:tab/>
        <w:t xml:space="preserve">The </w:t>
      </w:r>
      <w:r w:rsidRPr="00B41D12">
        <w:rPr>
          <w:color w:val="000000"/>
        </w:rPr>
        <w:t>Judicial Council of California reserves the right to reject any and all proposals, in whole or in part, as well as the right to issue similar RFPs in the future. This RFP is in no way an agreement or contract and does not create any obligation to form a contract. The Judicial Council of California and/or the State of California shall not be responsible for the cost of preparing a proposal. Submitted proposals may be retained for official files and may become a public record.</w:t>
      </w:r>
    </w:p>
    <w:p w14:paraId="7CF1FC57" w14:textId="7812D925" w:rsidR="00595822" w:rsidRDefault="00595822" w:rsidP="005E6785">
      <w:pPr>
        <w:ind w:left="1440" w:right="468" w:hanging="720"/>
      </w:pPr>
    </w:p>
    <w:p w14:paraId="6A6A9668" w14:textId="518602EF" w:rsidR="00595822" w:rsidRDefault="005E6785"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51499B9C" w:rsidR="00595822" w:rsidRPr="00D33EA6" w:rsidRDefault="005E6785" w:rsidP="00E97D3D">
      <w:pPr>
        <w:pStyle w:val="BodyTextIndent2"/>
        <w:keepNext/>
        <w:spacing w:after="0" w:line="240" w:lineRule="auto"/>
        <w:ind w:left="1440" w:hanging="720"/>
      </w:pPr>
      <w:r>
        <w:t>7</w:t>
      </w:r>
      <w:r w:rsidR="00574253">
        <w:t>.1</w:t>
      </w:r>
      <w:r w:rsidR="00574253">
        <w:tab/>
      </w:r>
      <w:r w:rsidRPr="00E958FF">
        <w:rPr>
          <w:u w:val="single"/>
        </w:rPr>
        <w:t>Non-Cost Portion</w:t>
      </w:r>
      <w:r w:rsidRPr="00E958FF">
        <w:rPr>
          <w:color w:val="984806" w:themeColor="accent6" w:themeShade="80"/>
        </w:rPr>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5AFB7FED" w14:textId="77777777" w:rsidR="00C041EE" w:rsidRDefault="00C041EE" w:rsidP="00595822">
      <w:pPr>
        <w:ind w:left="1440" w:hanging="720"/>
      </w:pPr>
    </w:p>
    <w:p w14:paraId="7D677EE9" w14:textId="77777777" w:rsidR="00595822" w:rsidRDefault="00893C52" w:rsidP="00595822">
      <w:pPr>
        <w:ind w:left="1440" w:hanging="720"/>
      </w:pPr>
      <w:r>
        <w:t>c.</w:t>
      </w:r>
      <w:r w:rsidR="00595822">
        <w:tab/>
      </w: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067CAC5B" w14:textId="77777777" w:rsidR="00595822" w:rsidRDefault="00595822" w:rsidP="00595822">
      <w:pPr>
        <w:ind w:left="1440" w:hanging="720"/>
      </w:pPr>
    </w:p>
    <w:p w14:paraId="77ECCE56" w14:textId="605C7259" w:rsidR="00595822" w:rsidRDefault="00893C52" w:rsidP="00595822">
      <w:pPr>
        <w:ind w:left="1440" w:hanging="720"/>
      </w:pPr>
      <w:r>
        <w:t>d.</w:t>
      </w:r>
      <w:r w:rsidR="00595822">
        <w:tab/>
        <w:t xml:space="preserve">Names, addresses, and telephone numbers of a minimum of </w:t>
      </w:r>
      <w:r w:rsidR="00853AFD" w:rsidRPr="005E116B">
        <w:rPr>
          <w:color w:val="A20000"/>
        </w:rPr>
        <w:t>two</w:t>
      </w:r>
      <w:r w:rsidR="00595822">
        <w:t xml:space="preserve"> clients for whom the </w:t>
      </w:r>
      <w:r>
        <w:t>Proposer</w:t>
      </w:r>
      <w:r w:rsidR="00595822">
        <w:t xml:space="preserve"> has conducted similar services.  The </w:t>
      </w:r>
      <w:r w:rsidR="00D90AEE">
        <w:t>JBE</w:t>
      </w:r>
      <w:r w:rsidR="00595822">
        <w:t xml:space="preserve"> ma</w:t>
      </w:r>
      <w:r>
        <w:t xml:space="preserve">y check references listed by </w:t>
      </w:r>
      <w:r w:rsidR="00447B71">
        <w:t xml:space="preserve">the </w:t>
      </w:r>
      <w:r>
        <w:t>Proposer</w:t>
      </w:r>
      <w:r w:rsidR="00595822">
        <w:t>.</w:t>
      </w:r>
    </w:p>
    <w:p w14:paraId="52B4AAAF" w14:textId="77777777" w:rsidR="00595822" w:rsidRDefault="00595822" w:rsidP="00595822">
      <w:pPr>
        <w:ind w:left="1440" w:hanging="720"/>
      </w:pPr>
    </w:p>
    <w:p w14:paraId="7804D5B6" w14:textId="77777777" w:rsidR="00595822" w:rsidRDefault="00B60F34" w:rsidP="00595822">
      <w:pPr>
        <w:ind w:left="1440" w:hanging="720"/>
      </w:pPr>
      <w:r>
        <w:t>e</w:t>
      </w:r>
      <w:r w:rsidR="00292053">
        <w:t>.</w:t>
      </w:r>
      <w:r w:rsidR="00595822">
        <w:tab/>
      </w:r>
      <w:r w:rsidR="00292053">
        <w:t>Proposed m</w:t>
      </w:r>
      <w:r w:rsidR="00595822">
        <w:t xml:space="preserve">ethod to complete the </w:t>
      </w:r>
      <w:r w:rsidR="00292053">
        <w:t>work</w:t>
      </w:r>
      <w:r w:rsidR="00A9408B">
        <w:t>.</w:t>
      </w:r>
    </w:p>
    <w:p w14:paraId="15137610" w14:textId="77777777" w:rsidR="00B60F34" w:rsidRDefault="00B60F34" w:rsidP="00605587"/>
    <w:p w14:paraId="26A4FF28" w14:textId="77777777"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w:t>
      </w:r>
      <w:proofErr w:type="spellStart"/>
      <w:r w:rsidR="00A112AE">
        <w:rPr>
          <w:color w:val="000000"/>
        </w:rPr>
        <w:t>i</w:t>
      </w:r>
      <w:proofErr w:type="spellEnd"/>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59ECADB0" w14:textId="77777777" w:rsidR="00BD0D2D" w:rsidRDefault="00BD0D2D" w:rsidP="00BD0D2D">
      <w:pPr>
        <w:pStyle w:val="ListParagraph"/>
        <w:tabs>
          <w:tab w:val="left" w:pos="2160"/>
        </w:tabs>
        <w:ind w:left="2160" w:hanging="720"/>
        <w:rPr>
          <w:color w:val="000000"/>
        </w:rPr>
      </w:pPr>
    </w:p>
    <w:p w14:paraId="67D01EB0" w14:textId="6BAF2969" w:rsidR="00BD0D2D" w:rsidRPr="00CC03F5" w:rsidRDefault="00BD0D2D" w:rsidP="00BD0D2D">
      <w:pPr>
        <w:pStyle w:val="ListParagraph"/>
        <w:tabs>
          <w:tab w:val="left" w:pos="2160"/>
        </w:tabs>
        <w:ind w:left="2160" w:hanging="720"/>
        <w:rPr>
          <w:b/>
          <w:color w:val="000000"/>
        </w:rPr>
      </w:pPr>
      <w:r>
        <w:rPr>
          <w:color w:val="000000"/>
        </w:rPr>
        <w:t>iii</w:t>
      </w:r>
      <w:proofErr w:type="gramStart"/>
      <w:r>
        <w:rPr>
          <w:color w:val="000000"/>
        </w:rPr>
        <w:t xml:space="preserve">.  </w:t>
      </w:r>
      <w:r>
        <w:rPr>
          <w:color w:val="000000"/>
        </w:rPr>
        <w:tab/>
      </w:r>
      <w:proofErr w:type="gramEnd"/>
      <w:r>
        <w:rPr>
          <w:b/>
          <w:color w:val="000000"/>
        </w:rPr>
        <w:t>Note</w:t>
      </w:r>
      <w:r w:rsidR="005F3B1C">
        <w:rPr>
          <w:b/>
          <w:color w:val="000000"/>
        </w:rPr>
        <w:t>: A</w:t>
      </w:r>
      <w:r w:rsidR="003020A2" w:rsidRPr="00133F5A">
        <w:rPr>
          <w:b/>
          <w:color w:val="000000"/>
        </w:rPr>
        <w:t xml:space="preserve"> material </w:t>
      </w:r>
      <w:r w:rsidR="003020A2" w:rsidRPr="003020A2">
        <w:rPr>
          <w:b/>
          <w:bCs/>
          <w:color w:val="000000" w:themeColor="text1"/>
        </w:rPr>
        <w:t xml:space="preserve">exception </w:t>
      </w:r>
      <w:r w:rsidR="00523483" w:rsidRPr="00523483">
        <w:rPr>
          <w:b/>
          <w:bCs/>
          <w:color w:val="000000" w:themeColor="text1"/>
        </w:rPr>
        <w:t xml:space="preserve">(addition, deletion, or other </w:t>
      </w:r>
      <w:proofErr w:type="gramStart"/>
      <w:r w:rsidR="00523483" w:rsidRPr="00523483">
        <w:rPr>
          <w:b/>
          <w:bCs/>
          <w:color w:val="000000" w:themeColor="text1"/>
        </w:rPr>
        <w:t>modification)</w:t>
      </w:r>
      <w:r w:rsidR="003020A2" w:rsidRPr="003020A2">
        <w:rPr>
          <w:b/>
          <w:bCs/>
          <w:color w:val="000000" w:themeColor="text1"/>
        </w:rPr>
        <w:t>to</w:t>
      </w:r>
      <w:proofErr w:type="gramEnd"/>
      <w:r w:rsidR="003020A2" w:rsidRPr="003020A2">
        <w:rPr>
          <w:b/>
          <w:bCs/>
          <w:color w:val="000000" w:themeColor="text1"/>
        </w:rPr>
        <w:t xml:space="preserve"> a Minimum Term will render a proposal non-responsive</w:t>
      </w:r>
      <w:r w:rsidRPr="00133F5A">
        <w:rPr>
          <w:b/>
          <w:color w:val="000000"/>
        </w:rPr>
        <w:t>.</w:t>
      </w:r>
      <w:r w:rsidR="00D037F1">
        <w:rPr>
          <w:b/>
          <w:color w:val="000000"/>
        </w:rPr>
        <w:t xml:space="preserve"> </w:t>
      </w:r>
      <w:r w:rsidR="00D037F1" w:rsidRPr="00CC03F5">
        <w:rPr>
          <w:b/>
          <w:color w:val="000000"/>
        </w:rPr>
        <w:t>The JBE, in its sole discretion, will determine what constitutes a material exception.</w:t>
      </w:r>
    </w:p>
    <w:p w14:paraId="36363967" w14:textId="77777777" w:rsidR="00BD0D2D" w:rsidRPr="008D34C9" w:rsidRDefault="00BD0D2D" w:rsidP="008D34C9">
      <w:pPr>
        <w:tabs>
          <w:tab w:val="left" w:pos="1440"/>
        </w:tabs>
        <w:rPr>
          <w:color w:val="000000" w:themeColor="text1"/>
        </w:rPr>
      </w:pPr>
    </w:p>
    <w:p w14:paraId="5944FABC" w14:textId="77777777"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6395BED0" w:rsidR="007B0E96" w:rsidRDefault="007B0E96" w:rsidP="00E97D3D">
      <w:pPr>
        <w:ind w:left="2160" w:hanging="720"/>
        <w:rPr>
          <w:color w:val="000000" w:themeColor="text1"/>
        </w:rPr>
      </w:pPr>
      <w:proofErr w:type="spellStart"/>
      <w:r>
        <w:rPr>
          <w:color w:val="000000" w:themeColor="text1"/>
        </w:rPr>
        <w:t>i</w:t>
      </w:r>
      <w:proofErr w:type="spellEnd"/>
      <w:r>
        <w:rPr>
          <w:color w:val="000000" w:themeColor="text1"/>
        </w:rPr>
        <w:t>.</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25ACE63D" w14:textId="77777777" w:rsidR="007B0E96" w:rsidRDefault="007B0E96" w:rsidP="00E97D3D">
      <w:pPr>
        <w:rPr>
          <w:color w:val="000000" w:themeColor="text1"/>
        </w:rPr>
      </w:pPr>
    </w:p>
    <w:p w14:paraId="18719572" w14:textId="77777777" w:rsidR="00685FB8" w:rsidRDefault="007B0E96" w:rsidP="00685FB8">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 </w:t>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189D58F8" w14:textId="77777777" w:rsidR="00685FB8" w:rsidRDefault="00685FB8" w:rsidP="00685FB8">
      <w:pPr>
        <w:ind w:left="2160" w:hanging="720"/>
      </w:pPr>
    </w:p>
    <w:p w14:paraId="4BE659B7" w14:textId="47C30909" w:rsidR="00A74DB8" w:rsidRPr="00685FB8" w:rsidRDefault="00685FB8" w:rsidP="00685FB8">
      <w:pPr>
        <w:ind w:left="2160" w:hanging="720"/>
      </w:pPr>
      <w:r w:rsidRPr="00685FB8">
        <w:rPr>
          <w:color w:val="000000" w:themeColor="text1"/>
        </w:rPr>
        <w:t>iii</w:t>
      </w:r>
      <w:r w:rsidRPr="00685FB8">
        <w:rPr>
          <w:rFonts w:cs="Arial"/>
          <w:spacing w:val="-3"/>
        </w:rPr>
        <w:t xml:space="preserve"> </w:t>
      </w:r>
      <w:r w:rsidRPr="00685FB8">
        <w:rPr>
          <w:rFonts w:cs="Arial"/>
          <w:spacing w:val="-3"/>
        </w:rPr>
        <w:tab/>
      </w:r>
      <w:r w:rsidR="00A74DB8" w:rsidRPr="00685FB8">
        <w:rPr>
          <w:rFonts w:cs="Arial"/>
          <w:spacing w:val="-3"/>
        </w:rPr>
        <w:t xml:space="preserve">Copies of </w:t>
      </w:r>
      <w:r w:rsidR="00447B71" w:rsidRPr="00685FB8">
        <w:rPr>
          <w:rFonts w:cs="Arial"/>
          <w:spacing w:val="-3"/>
        </w:rPr>
        <w:t xml:space="preserve">the </w:t>
      </w:r>
      <w:r w:rsidR="00FB74DF" w:rsidRPr="00685FB8">
        <w:rPr>
          <w:rFonts w:cs="Arial"/>
          <w:spacing w:val="-3"/>
        </w:rPr>
        <w:t xml:space="preserve">Proposer’s (and any subcontractors’) </w:t>
      </w:r>
      <w:r w:rsidR="00A74DB8" w:rsidRPr="00685FB8">
        <w:rPr>
          <w:rFonts w:cs="Arial"/>
          <w:spacing w:val="-3"/>
        </w:rPr>
        <w:t xml:space="preserve">current business licenses, professional certifications, or other </w:t>
      </w:r>
      <w:r w:rsidRPr="00685FB8">
        <w:rPr>
          <w:rFonts w:cs="Arial"/>
          <w:spacing w:val="-3"/>
        </w:rPr>
        <w:t>credentials.</w:t>
      </w:r>
      <w:r w:rsidRPr="00A96548">
        <w:rPr>
          <w:rFonts w:cs="Arial"/>
          <w:spacing w:val="-3"/>
        </w:rPr>
        <w:t xml:space="preserve"> Proof</w:t>
      </w:r>
      <w:r w:rsidR="00A74DB8" w:rsidRPr="00A96548">
        <w:rPr>
          <w:rFonts w:cs="Arial"/>
          <w:spacing w:val="-3"/>
        </w:rPr>
        <w:t xml:space="preserve"> of financial solvency or stability (e.g., balance sheets and income statements)</w:t>
      </w:r>
      <w:r w:rsidR="00A74DB8">
        <w:rPr>
          <w:rFonts w:cs="Arial"/>
          <w:spacing w:val="-3"/>
        </w:rPr>
        <w:t>.</w:t>
      </w:r>
    </w:p>
    <w:p w14:paraId="1FC987E4" w14:textId="77777777" w:rsidR="00BB1D15" w:rsidRDefault="00BB1D15" w:rsidP="00853AFD"/>
    <w:p w14:paraId="70D0A62D" w14:textId="167411DE" w:rsidR="005E6785" w:rsidRDefault="00685FB8" w:rsidP="005E6785">
      <w:pPr>
        <w:ind w:left="2160" w:hanging="720"/>
      </w:pPr>
      <w:r>
        <w:t>iv</w:t>
      </w:r>
      <w:r w:rsidR="00BB1D15">
        <w:t>.</w:t>
      </w:r>
      <w:r w:rsidR="00BB1D15">
        <w:tab/>
        <w:t>The Proposer</w:t>
      </w:r>
      <w:r w:rsidR="00BB1D15" w:rsidRPr="00BB1D15">
        <w:t xml:space="preserve"> must complete the Unruh Civil Rights Act and California Fair Employment and Housing Act Certification (Attachment </w:t>
      </w:r>
      <w:r w:rsidR="00BB1D15">
        <w:t>8</w:t>
      </w:r>
      <w:r w:rsidR="00BB1D15" w:rsidRPr="00BB1D15">
        <w:t>) and submit the completed certification with its bid.</w:t>
      </w:r>
    </w:p>
    <w:p w14:paraId="56895E7D" w14:textId="77777777" w:rsidR="005E6785" w:rsidRDefault="005E6785" w:rsidP="005E6785">
      <w:pPr>
        <w:ind w:left="2160" w:hanging="720"/>
      </w:pPr>
    </w:p>
    <w:p w14:paraId="254A64A8" w14:textId="63979B19" w:rsidR="005E6785" w:rsidRDefault="005E6785" w:rsidP="005E6785">
      <w:pPr>
        <w:ind w:left="2160" w:hanging="720"/>
      </w:pPr>
      <w:r>
        <w:t>v</w:t>
      </w:r>
      <w:proofErr w:type="gramStart"/>
      <w:r>
        <w:t xml:space="preserve">.      </w:t>
      </w:r>
      <w:r w:rsidR="00685FB8">
        <w:tab/>
      </w:r>
      <w:r>
        <w:rPr>
          <w:color w:val="000000" w:themeColor="text1"/>
        </w:rPr>
        <w:t>The</w:t>
      </w:r>
      <w:proofErr w:type="gramEnd"/>
      <w:r>
        <w:rPr>
          <w:color w:val="000000" w:themeColor="text1"/>
        </w:rPr>
        <w:t xml:space="preserve"> </w:t>
      </w:r>
      <w:r>
        <w:t>Proposer</w:t>
      </w:r>
      <w:r w:rsidRPr="00380F9A">
        <w:t xml:space="preserve"> must complete the Darfur Contracting Act Certif</w:t>
      </w:r>
      <w:r>
        <w:t xml:space="preserve">ication (Attachment </w:t>
      </w:r>
      <w:r w:rsidR="004E7971">
        <w:t>7</w:t>
      </w:r>
      <w:r>
        <w:t>) and submit the completed certification with its proposal</w:t>
      </w:r>
      <w:r w:rsidRPr="00380F9A">
        <w:t xml:space="preserve">. </w:t>
      </w:r>
    </w:p>
    <w:p w14:paraId="68EA70A2" w14:textId="77777777" w:rsidR="001058F3" w:rsidRPr="00A74DB8" w:rsidRDefault="001058F3" w:rsidP="005E6785">
      <w:pPr>
        <w:rPr>
          <w:color w:val="000000" w:themeColor="text1"/>
        </w:rPr>
      </w:pPr>
    </w:p>
    <w:p w14:paraId="04EFE034" w14:textId="77777777" w:rsidR="00A74DB8" w:rsidRDefault="00A74DB8" w:rsidP="007B0E96">
      <w:pPr>
        <w:ind w:left="2160" w:hanging="720"/>
        <w:rPr>
          <w:color w:val="000000" w:themeColor="text1"/>
        </w:rPr>
      </w:pPr>
    </w:p>
    <w:p w14:paraId="0178ED35" w14:textId="1A541715" w:rsidR="005B04DF" w:rsidRPr="00D33EA6" w:rsidRDefault="00E047CB" w:rsidP="005B04DF">
      <w:pPr>
        <w:pStyle w:val="BodyTextIndent2"/>
        <w:keepNext/>
        <w:spacing w:after="0" w:line="240" w:lineRule="auto"/>
        <w:ind w:left="720"/>
      </w:pPr>
      <w:r>
        <w:lastRenderedPageBreak/>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730B437" w14:textId="77777777" w:rsidR="00595822" w:rsidRDefault="00595822" w:rsidP="00595822">
      <w:pPr>
        <w:ind w:left="2160" w:hanging="720"/>
      </w:pPr>
    </w:p>
    <w:p w14:paraId="7ADB9C45" w14:textId="09869A91" w:rsidR="00AB3B24" w:rsidRDefault="00AB3B24" w:rsidP="00AB3B24">
      <w:pPr>
        <w:numPr>
          <w:ilvl w:val="0"/>
          <w:numId w:val="30"/>
        </w:numPr>
      </w:pPr>
      <w:r w:rsidRPr="00AB3B24">
        <w:t xml:space="preserve">A detailed line-item budget showing total cost of the proposed services. A full explanation of all budget line items in a narrative entitled “Budget Justification.” </w:t>
      </w:r>
    </w:p>
    <w:p w14:paraId="4D7E8E0A" w14:textId="77777777" w:rsidR="00AB3B24" w:rsidRDefault="00AB3B24" w:rsidP="00AB3B24">
      <w:pPr>
        <w:ind w:left="2160"/>
      </w:pPr>
    </w:p>
    <w:p w14:paraId="70F9E4FD" w14:textId="77777777" w:rsidR="00AB3B24" w:rsidRDefault="00AB3B24" w:rsidP="00AB3B24">
      <w:pPr>
        <w:numPr>
          <w:ilvl w:val="0"/>
          <w:numId w:val="30"/>
        </w:numPr>
      </w:pPr>
      <w:r w:rsidRPr="009444D7">
        <w:t xml:space="preserve">Proposer must provide a firm fixed amount for each </w:t>
      </w:r>
      <w:proofErr w:type="gramStart"/>
      <w:r w:rsidRPr="009444D7">
        <w:t>deliverable</w:t>
      </w:r>
      <w:proofErr w:type="gramEnd"/>
      <w:r w:rsidRPr="009444D7">
        <w:t xml:space="preserve"> listed below inclusive of all expenses. Travel expenses will not be reimbursed separately.  The </w:t>
      </w:r>
      <w:r>
        <w:t>total proposed firm fixed amount</w:t>
      </w:r>
      <w:r w:rsidRPr="009444D7">
        <w:t xml:space="preserve"> </w:t>
      </w:r>
      <w:r>
        <w:t xml:space="preserve">should </w:t>
      </w:r>
      <w:r w:rsidRPr="009444D7">
        <w:t>not exceed</w:t>
      </w:r>
      <w:r>
        <w:t xml:space="preserve"> </w:t>
      </w:r>
      <w:r w:rsidRPr="00AB3B24">
        <w:rPr>
          <w:b/>
          <w:bCs/>
        </w:rPr>
        <w:t>$145,000.00</w:t>
      </w:r>
      <w:r>
        <w:t>.</w:t>
      </w:r>
    </w:p>
    <w:p w14:paraId="3DD2A4F0" w14:textId="77777777" w:rsidR="00AB3B24" w:rsidRDefault="00AB3B24" w:rsidP="00AB3B24">
      <w:pPr>
        <w:pStyle w:val="ListParagraph"/>
      </w:pPr>
    </w:p>
    <w:p w14:paraId="729E7078" w14:textId="2292B36B" w:rsidR="00D73B09" w:rsidRPr="00D73B09" w:rsidRDefault="00D73B09" w:rsidP="00AB3B24">
      <w:pPr>
        <w:numPr>
          <w:ilvl w:val="0"/>
          <w:numId w:val="30"/>
        </w:numPr>
      </w:pPr>
      <w:r w:rsidRPr="00D73B09">
        <w:t xml:space="preserve">The resulting contract will be comprised of three (3) deliverables with a firm fixed price per deliverable, with the potential exception of </w:t>
      </w:r>
      <w:r w:rsidRPr="00AB3B24">
        <w:rPr>
          <w:b/>
          <w:bCs/>
        </w:rPr>
        <w:t>Deliverable 4</w:t>
      </w:r>
      <w:r w:rsidRPr="00D73B09">
        <w:t xml:space="preserve">. </w:t>
      </w:r>
    </w:p>
    <w:p w14:paraId="660BE7C6" w14:textId="22E21F41" w:rsidR="00B02C46" w:rsidRPr="00B02C46" w:rsidRDefault="00B02C46" w:rsidP="00B02C46">
      <w:pPr>
        <w:pStyle w:val="Default"/>
        <w:rPr>
          <w:b/>
        </w:rPr>
      </w:pPr>
    </w:p>
    <w:tbl>
      <w:tblPr>
        <w:tblpPr w:leftFromText="180" w:rightFromText="180" w:vertAnchor="text" w:horzAnchor="margin" w:tblpXSpec="right" w:tblpY="196"/>
        <w:tblW w:w="7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155"/>
        <w:gridCol w:w="1980"/>
      </w:tblGrid>
      <w:tr w:rsidR="00AB3B24" w14:paraId="5BEED9C9" w14:textId="77777777" w:rsidTr="00AB3B24">
        <w:trPr>
          <w:cantSplit/>
          <w:trHeight w:val="710"/>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189E70" w14:textId="77777777" w:rsidR="00AB3B24" w:rsidRDefault="00AB3B24" w:rsidP="00AB3B24">
            <w:pPr>
              <w:pStyle w:val="BodyText3"/>
              <w:keepNext/>
              <w:spacing w:after="0"/>
              <w:jc w:val="center"/>
              <w:rPr>
                <w:b/>
                <w:bCs/>
                <w:sz w:val="24"/>
                <w:szCs w:val="24"/>
              </w:rPr>
            </w:pPr>
            <w:r>
              <w:rPr>
                <w:b/>
                <w:bCs/>
                <w:sz w:val="24"/>
                <w:szCs w:val="24"/>
              </w:rPr>
              <w:t>Deliverables</w:t>
            </w:r>
          </w:p>
        </w:tc>
        <w:tc>
          <w:tcPr>
            <w:tcW w:w="2155" w:type="dxa"/>
            <w:tcBorders>
              <w:top w:val="single" w:sz="4" w:space="0" w:color="auto"/>
              <w:left w:val="single" w:sz="4" w:space="0" w:color="auto"/>
              <w:bottom w:val="single" w:sz="4" w:space="0" w:color="auto"/>
              <w:right w:val="single" w:sz="4" w:space="0" w:color="auto"/>
            </w:tcBorders>
            <w:shd w:val="clear" w:color="auto" w:fill="F3F3F3"/>
            <w:hideMark/>
          </w:tcPr>
          <w:p w14:paraId="6F8315A3" w14:textId="77777777" w:rsidR="00AB3B24" w:rsidRDefault="00AB3B24" w:rsidP="00AB3B24">
            <w:pPr>
              <w:pStyle w:val="BodyText3"/>
              <w:keepNext/>
              <w:spacing w:after="0"/>
              <w:jc w:val="center"/>
              <w:rPr>
                <w:b/>
                <w:bCs/>
                <w:sz w:val="24"/>
                <w:szCs w:val="24"/>
              </w:rPr>
            </w:pPr>
          </w:p>
          <w:p w14:paraId="12E1FE3C" w14:textId="77777777" w:rsidR="00AB3B24" w:rsidRDefault="00AB3B24" w:rsidP="00AB3B24">
            <w:pPr>
              <w:pStyle w:val="BodyText3"/>
              <w:keepNext/>
              <w:spacing w:after="0"/>
              <w:jc w:val="center"/>
              <w:rPr>
                <w:b/>
                <w:bCs/>
                <w:sz w:val="24"/>
                <w:szCs w:val="24"/>
              </w:rPr>
            </w:pPr>
            <w:r>
              <w:rPr>
                <w:b/>
                <w:bCs/>
                <w:sz w:val="24"/>
                <w:szCs w:val="24"/>
              </w:rPr>
              <w:t xml:space="preserve">Estimated </w:t>
            </w:r>
          </w:p>
          <w:p w14:paraId="02E30C8E" w14:textId="77777777" w:rsidR="00AB3B24" w:rsidRDefault="00AB3B24" w:rsidP="00AB3B24">
            <w:pPr>
              <w:pStyle w:val="BodyText3"/>
              <w:keepNext/>
              <w:spacing w:after="0"/>
              <w:jc w:val="center"/>
              <w:rPr>
                <w:b/>
                <w:bCs/>
                <w:sz w:val="24"/>
                <w:szCs w:val="24"/>
              </w:rPr>
            </w:pPr>
            <w:r>
              <w:rPr>
                <w:b/>
                <w:bCs/>
                <w:sz w:val="24"/>
                <w:szCs w:val="24"/>
              </w:rPr>
              <w:t>Completion Date</w:t>
            </w:r>
          </w:p>
        </w:tc>
        <w:tc>
          <w:tcPr>
            <w:tcW w:w="1980" w:type="dxa"/>
            <w:tcBorders>
              <w:top w:val="single" w:sz="4" w:space="0" w:color="auto"/>
              <w:left w:val="single" w:sz="4" w:space="0" w:color="auto"/>
              <w:bottom w:val="single" w:sz="4" w:space="0" w:color="auto"/>
              <w:right w:val="single" w:sz="4" w:space="0" w:color="auto"/>
            </w:tcBorders>
            <w:shd w:val="clear" w:color="auto" w:fill="F3F3F3"/>
          </w:tcPr>
          <w:p w14:paraId="5B65655F" w14:textId="77777777" w:rsidR="00AB3B24" w:rsidRDefault="00AB3B24" w:rsidP="00AB3B24">
            <w:pPr>
              <w:pStyle w:val="BodyText3"/>
              <w:keepNext/>
              <w:spacing w:after="0"/>
              <w:jc w:val="center"/>
              <w:rPr>
                <w:b/>
                <w:bCs/>
                <w:sz w:val="24"/>
                <w:szCs w:val="24"/>
              </w:rPr>
            </w:pPr>
            <w:r>
              <w:rPr>
                <w:b/>
                <w:bCs/>
                <w:sz w:val="24"/>
                <w:szCs w:val="24"/>
              </w:rPr>
              <w:t>Proposed</w:t>
            </w:r>
            <w:r>
              <w:rPr>
                <w:b/>
                <w:bCs/>
                <w:sz w:val="24"/>
                <w:szCs w:val="24"/>
              </w:rPr>
              <w:br/>
              <w:t>Firm Fixed Price</w:t>
            </w:r>
          </w:p>
        </w:tc>
      </w:tr>
      <w:tr w:rsidR="00AB3B24" w14:paraId="733F9707" w14:textId="77777777" w:rsidTr="00AB3B24">
        <w:trPr>
          <w:cantSplit/>
          <w:trHeight w:val="683"/>
        </w:trPr>
        <w:tc>
          <w:tcPr>
            <w:tcW w:w="2880" w:type="dxa"/>
            <w:tcBorders>
              <w:top w:val="single" w:sz="4" w:space="0" w:color="auto"/>
              <w:left w:val="single" w:sz="4" w:space="0" w:color="auto"/>
              <w:bottom w:val="single" w:sz="4" w:space="0" w:color="auto"/>
              <w:right w:val="single" w:sz="4" w:space="0" w:color="auto"/>
            </w:tcBorders>
          </w:tcPr>
          <w:p w14:paraId="7525D08E" w14:textId="77777777" w:rsidR="00AB3B24" w:rsidRDefault="00AB3B24" w:rsidP="00AB3B24">
            <w:pPr>
              <w:rPr>
                <w:b/>
              </w:rPr>
            </w:pPr>
            <w:bookmarkStart w:id="1" w:name="_Hlk220399154"/>
            <w:r>
              <w:rPr>
                <w:b/>
              </w:rPr>
              <w:t>First Deliverable:</w:t>
            </w:r>
          </w:p>
          <w:p w14:paraId="46BEBDF0" w14:textId="77777777" w:rsidR="00AB3B24" w:rsidRPr="007E0F0F" w:rsidRDefault="00AB3B24" w:rsidP="00AB3B24">
            <w:pPr>
              <w:spacing w:before="240" w:after="240"/>
              <w:rPr>
                <w:rFonts w:asciiTheme="minorHAnsi" w:hAnsiTheme="minorHAnsi"/>
              </w:rPr>
            </w:pPr>
            <w:r w:rsidRPr="00E76BBD">
              <w:rPr>
                <w:rFonts w:asciiTheme="minorHAnsi" w:hAnsiTheme="minorHAnsi"/>
              </w:rPr>
              <w:t>Meet with Judicial Council staff to assess scope, needs, identify gaps, and define objectives for the bench guide</w:t>
            </w:r>
          </w:p>
        </w:tc>
        <w:tc>
          <w:tcPr>
            <w:tcW w:w="2155" w:type="dxa"/>
            <w:tcBorders>
              <w:top w:val="single" w:sz="4" w:space="0" w:color="auto"/>
              <w:left w:val="single" w:sz="4" w:space="0" w:color="auto"/>
              <w:bottom w:val="single" w:sz="4" w:space="0" w:color="auto"/>
              <w:right w:val="single" w:sz="4" w:space="0" w:color="auto"/>
            </w:tcBorders>
          </w:tcPr>
          <w:p w14:paraId="1E897ED3" w14:textId="77777777" w:rsidR="00AB3B24" w:rsidRPr="00DA0872" w:rsidRDefault="00AB3B24" w:rsidP="00AB3B24">
            <w:pPr>
              <w:jc w:val="center"/>
              <w:rPr>
                <w:i/>
              </w:rPr>
            </w:pPr>
          </w:p>
          <w:p w14:paraId="1BD327F1" w14:textId="77777777" w:rsidR="00AB3B24" w:rsidRDefault="00AB3B24" w:rsidP="00AB3B24">
            <w:pPr>
              <w:jc w:val="center"/>
              <w:rPr>
                <w:i/>
              </w:rPr>
            </w:pPr>
          </w:p>
          <w:p w14:paraId="0EB00060" w14:textId="77777777" w:rsidR="00AB3B24" w:rsidRPr="005F7ECF" w:rsidRDefault="00AB3B24" w:rsidP="00AB3B24">
            <w:pPr>
              <w:jc w:val="center"/>
              <w:rPr>
                <w:iCs/>
              </w:rPr>
            </w:pPr>
            <w:r>
              <w:rPr>
                <w:iCs/>
              </w:rPr>
              <w:t>June 1</w:t>
            </w:r>
            <w:r w:rsidRPr="005F7ECF">
              <w:rPr>
                <w:iCs/>
              </w:rPr>
              <w:t xml:space="preserve"> 202</w:t>
            </w:r>
            <w:r>
              <w:rPr>
                <w:iCs/>
              </w:rPr>
              <w:t>6</w:t>
            </w:r>
          </w:p>
        </w:tc>
        <w:tc>
          <w:tcPr>
            <w:tcW w:w="1980" w:type="dxa"/>
            <w:tcBorders>
              <w:top w:val="single" w:sz="4" w:space="0" w:color="auto"/>
              <w:left w:val="single" w:sz="4" w:space="0" w:color="auto"/>
              <w:bottom w:val="single" w:sz="4" w:space="0" w:color="auto"/>
              <w:right w:val="single" w:sz="4" w:space="0" w:color="auto"/>
            </w:tcBorders>
          </w:tcPr>
          <w:p w14:paraId="110B22B8" w14:textId="77777777" w:rsidR="00AB3B24" w:rsidRPr="00DA0872" w:rsidRDefault="00AB3B24" w:rsidP="00AB3B24">
            <w:pPr>
              <w:jc w:val="center"/>
              <w:rPr>
                <w:i/>
              </w:rPr>
            </w:pPr>
          </w:p>
        </w:tc>
      </w:tr>
      <w:tr w:rsidR="00AB3B24" w14:paraId="70D6657A" w14:textId="77777777" w:rsidTr="00AB3B24">
        <w:trPr>
          <w:cantSplit/>
          <w:trHeight w:val="890"/>
        </w:trPr>
        <w:tc>
          <w:tcPr>
            <w:tcW w:w="2880" w:type="dxa"/>
            <w:tcBorders>
              <w:top w:val="single" w:sz="4" w:space="0" w:color="auto"/>
              <w:left w:val="single" w:sz="4" w:space="0" w:color="auto"/>
              <w:bottom w:val="single" w:sz="4" w:space="0" w:color="auto"/>
              <w:right w:val="single" w:sz="4" w:space="0" w:color="auto"/>
            </w:tcBorders>
          </w:tcPr>
          <w:p w14:paraId="6991CB7F" w14:textId="77777777" w:rsidR="00AB3B24" w:rsidRDefault="00AB3B24" w:rsidP="00AB3B24">
            <w:pPr>
              <w:rPr>
                <w:b/>
              </w:rPr>
            </w:pPr>
            <w:r>
              <w:rPr>
                <w:b/>
              </w:rPr>
              <w:t>Second Deliverable:</w:t>
            </w:r>
          </w:p>
          <w:p w14:paraId="1938ACF8" w14:textId="77777777" w:rsidR="00AB3B24" w:rsidRPr="007E0F0F" w:rsidRDefault="00AB3B24" w:rsidP="00AB3B24">
            <w:pPr>
              <w:pStyle w:val="ListParagraph"/>
              <w:spacing w:before="240" w:after="240"/>
              <w:ind w:left="0"/>
              <w:rPr>
                <w:rFonts w:asciiTheme="minorHAnsi" w:hAnsiTheme="minorHAnsi"/>
                <w:u w:val="single"/>
              </w:rPr>
            </w:pPr>
            <w:r>
              <w:rPr>
                <w:rFonts w:asciiTheme="minorHAnsi" w:hAnsiTheme="minorHAnsi"/>
              </w:rPr>
              <w:t xml:space="preserve">Complete draft of the Guide for review by Judicial Council staff. </w:t>
            </w:r>
          </w:p>
        </w:tc>
        <w:tc>
          <w:tcPr>
            <w:tcW w:w="2155" w:type="dxa"/>
            <w:tcBorders>
              <w:top w:val="single" w:sz="4" w:space="0" w:color="auto"/>
              <w:left w:val="single" w:sz="4" w:space="0" w:color="auto"/>
              <w:bottom w:val="single" w:sz="4" w:space="0" w:color="auto"/>
              <w:right w:val="single" w:sz="4" w:space="0" w:color="auto"/>
            </w:tcBorders>
          </w:tcPr>
          <w:p w14:paraId="2E5053CD" w14:textId="77777777" w:rsidR="00AB3B24" w:rsidRDefault="00AB3B24" w:rsidP="00AB3B24">
            <w:pPr>
              <w:jc w:val="center"/>
              <w:rPr>
                <w:i/>
              </w:rPr>
            </w:pPr>
          </w:p>
          <w:p w14:paraId="5AABB1AB" w14:textId="77777777" w:rsidR="00AB3B24" w:rsidRDefault="00AB3B24" w:rsidP="00AB3B24">
            <w:pPr>
              <w:jc w:val="center"/>
              <w:rPr>
                <w:i/>
              </w:rPr>
            </w:pPr>
          </w:p>
          <w:p w14:paraId="07CBD0EE" w14:textId="77777777" w:rsidR="00AB3B24" w:rsidRPr="005F7ECF" w:rsidRDefault="00AB3B24" w:rsidP="00AB3B24">
            <w:pPr>
              <w:jc w:val="center"/>
              <w:rPr>
                <w:iCs/>
              </w:rPr>
            </w:pPr>
            <w:r>
              <w:rPr>
                <w:iCs/>
              </w:rPr>
              <w:t>August 30, 2026</w:t>
            </w:r>
          </w:p>
        </w:tc>
        <w:tc>
          <w:tcPr>
            <w:tcW w:w="1980" w:type="dxa"/>
            <w:tcBorders>
              <w:top w:val="single" w:sz="4" w:space="0" w:color="auto"/>
              <w:left w:val="single" w:sz="4" w:space="0" w:color="auto"/>
              <w:bottom w:val="single" w:sz="4" w:space="0" w:color="auto"/>
              <w:right w:val="single" w:sz="4" w:space="0" w:color="auto"/>
            </w:tcBorders>
          </w:tcPr>
          <w:p w14:paraId="311AEBD7" w14:textId="77777777" w:rsidR="00AB3B24" w:rsidRPr="00695874" w:rsidRDefault="00AB3B24" w:rsidP="00AB3B24">
            <w:pPr>
              <w:rPr>
                <w:iCs/>
              </w:rPr>
            </w:pPr>
          </w:p>
        </w:tc>
      </w:tr>
      <w:tr w:rsidR="00AB3B24" w14:paraId="1A4BA8B1" w14:textId="77777777" w:rsidTr="00AB3B24">
        <w:trPr>
          <w:cantSplit/>
          <w:trHeight w:val="1295"/>
        </w:trPr>
        <w:tc>
          <w:tcPr>
            <w:tcW w:w="2880" w:type="dxa"/>
            <w:tcBorders>
              <w:top w:val="single" w:sz="4" w:space="0" w:color="auto"/>
              <w:left w:val="single" w:sz="4" w:space="0" w:color="auto"/>
              <w:bottom w:val="single" w:sz="4" w:space="0" w:color="auto"/>
              <w:right w:val="single" w:sz="4" w:space="0" w:color="auto"/>
            </w:tcBorders>
          </w:tcPr>
          <w:p w14:paraId="6BFFF95F" w14:textId="77777777" w:rsidR="00AB3B24" w:rsidRDefault="00AB3B24" w:rsidP="00AB3B24">
            <w:pPr>
              <w:rPr>
                <w:b/>
              </w:rPr>
            </w:pPr>
            <w:r>
              <w:rPr>
                <w:b/>
              </w:rPr>
              <w:t>Third Deliverable:</w:t>
            </w:r>
          </w:p>
          <w:p w14:paraId="43BF6D6E" w14:textId="77777777" w:rsidR="00FC0BE9" w:rsidRDefault="00FC0BE9" w:rsidP="00AB3B24">
            <w:pPr>
              <w:spacing w:line="300" w:lineRule="atLeast"/>
              <w:contextualSpacing/>
              <w:rPr>
                <w:rFonts w:asciiTheme="minorHAnsi" w:hAnsiTheme="minorHAnsi"/>
                <w:b/>
                <w:u w:val="single"/>
              </w:rPr>
            </w:pPr>
          </w:p>
          <w:p w14:paraId="09777141" w14:textId="78D94F2D" w:rsidR="00AB3B24" w:rsidRPr="00D31790" w:rsidRDefault="00AB3B24" w:rsidP="00AB3B24">
            <w:pPr>
              <w:spacing w:line="300" w:lineRule="atLeast"/>
              <w:contextualSpacing/>
            </w:pPr>
            <w:r>
              <w:rPr>
                <w:rFonts w:asciiTheme="minorHAnsi" w:hAnsiTheme="minorHAnsi"/>
              </w:rPr>
              <w:t>Provide final guide to Judicial Council Staff</w:t>
            </w:r>
            <w:r w:rsidRPr="007E0F0F">
              <w:rPr>
                <w:rFonts w:asciiTheme="minorHAnsi" w:hAnsiTheme="minorHAnsi"/>
              </w:rPr>
              <w:t xml:space="preserve"> </w:t>
            </w:r>
          </w:p>
        </w:tc>
        <w:tc>
          <w:tcPr>
            <w:tcW w:w="2155" w:type="dxa"/>
            <w:tcBorders>
              <w:top w:val="single" w:sz="4" w:space="0" w:color="auto"/>
              <w:left w:val="single" w:sz="4" w:space="0" w:color="auto"/>
              <w:bottom w:val="single" w:sz="4" w:space="0" w:color="auto"/>
              <w:right w:val="single" w:sz="4" w:space="0" w:color="auto"/>
            </w:tcBorders>
          </w:tcPr>
          <w:p w14:paraId="46407493" w14:textId="77777777" w:rsidR="00AB3B24" w:rsidRPr="00DA0872" w:rsidRDefault="00AB3B24" w:rsidP="00AB3B24">
            <w:pPr>
              <w:jc w:val="center"/>
              <w:rPr>
                <w:i/>
              </w:rPr>
            </w:pPr>
          </w:p>
          <w:p w14:paraId="31C4FA74" w14:textId="77777777" w:rsidR="00AB3B24" w:rsidRDefault="00AB3B24" w:rsidP="00AB3B24">
            <w:pPr>
              <w:jc w:val="center"/>
              <w:rPr>
                <w:i/>
              </w:rPr>
            </w:pPr>
          </w:p>
          <w:p w14:paraId="6CC8FFD1" w14:textId="77777777" w:rsidR="00AB3B24" w:rsidRPr="005F7ECF" w:rsidRDefault="00AB3B24" w:rsidP="00AB3B24">
            <w:pPr>
              <w:jc w:val="center"/>
              <w:rPr>
                <w:iCs/>
              </w:rPr>
            </w:pPr>
            <w:r>
              <w:rPr>
                <w:iCs/>
              </w:rPr>
              <w:t>November 30, 2026</w:t>
            </w:r>
          </w:p>
        </w:tc>
        <w:tc>
          <w:tcPr>
            <w:tcW w:w="1980" w:type="dxa"/>
            <w:tcBorders>
              <w:top w:val="single" w:sz="4" w:space="0" w:color="auto"/>
              <w:left w:val="single" w:sz="4" w:space="0" w:color="auto"/>
              <w:bottom w:val="single" w:sz="4" w:space="0" w:color="auto"/>
              <w:right w:val="single" w:sz="4" w:space="0" w:color="auto"/>
            </w:tcBorders>
          </w:tcPr>
          <w:p w14:paraId="760AE04C" w14:textId="77777777" w:rsidR="00AB3B24" w:rsidRPr="00DA0872" w:rsidRDefault="00AB3B24" w:rsidP="00AB3B24">
            <w:pPr>
              <w:jc w:val="center"/>
              <w:rPr>
                <w:i/>
              </w:rPr>
            </w:pPr>
          </w:p>
        </w:tc>
      </w:tr>
      <w:tr w:rsidR="00AB3B24" w14:paraId="0683C4C1" w14:textId="77777777" w:rsidTr="00AB3B24">
        <w:trPr>
          <w:cantSplit/>
          <w:trHeight w:val="1339"/>
        </w:trPr>
        <w:tc>
          <w:tcPr>
            <w:tcW w:w="2880" w:type="dxa"/>
            <w:tcBorders>
              <w:top w:val="single" w:sz="4" w:space="0" w:color="auto"/>
              <w:left w:val="single" w:sz="4" w:space="0" w:color="auto"/>
              <w:bottom w:val="single" w:sz="4" w:space="0" w:color="auto"/>
              <w:right w:val="single" w:sz="4" w:space="0" w:color="auto"/>
            </w:tcBorders>
          </w:tcPr>
          <w:p w14:paraId="63934320" w14:textId="77777777" w:rsidR="00AB3B24" w:rsidRDefault="00AB3B24" w:rsidP="00AB3B24">
            <w:pPr>
              <w:rPr>
                <w:b/>
              </w:rPr>
            </w:pPr>
            <w:r>
              <w:rPr>
                <w:b/>
              </w:rPr>
              <w:t>Fourth Deliverable:</w:t>
            </w:r>
          </w:p>
          <w:p w14:paraId="2382FEA4" w14:textId="77777777" w:rsidR="00AB3B24" w:rsidRDefault="00AB3B24" w:rsidP="00AB3B24">
            <w:pPr>
              <w:spacing w:line="300" w:lineRule="atLeast"/>
              <w:contextualSpacing/>
              <w:rPr>
                <w:rFonts w:asciiTheme="minorHAnsi" w:hAnsiTheme="minorHAnsi"/>
                <w:b/>
                <w:u w:val="single"/>
              </w:rPr>
            </w:pPr>
          </w:p>
          <w:p w14:paraId="736F8F26" w14:textId="77777777" w:rsidR="00AB3B24" w:rsidRDefault="00AB3B24" w:rsidP="00AB3B24">
            <w:pPr>
              <w:rPr>
                <w:b/>
              </w:rPr>
            </w:pPr>
            <w:r>
              <w:rPr>
                <w:rFonts w:asciiTheme="minorHAnsi" w:hAnsiTheme="minorHAnsi"/>
              </w:rPr>
              <w:t>Optional presentation</w:t>
            </w:r>
          </w:p>
        </w:tc>
        <w:tc>
          <w:tcPr>
            <w:tcW w:w="2155" w:type="dxa"/>
            <w:tcBorders>
              <w:top w:val="single" w:sz="4" w:space="0" w:color="auto"/>
              <w:left w:val="single" w:sz="4" w:space="0" w:color="auto"/>
              <w:bottom w:val="single" w:sz="4" w:space="0" w:color="auto"/>
              <w:right w:val="single" w:sz="4" w:space="0" w:color="auto"/>
            </w:tcBorders>
          </w:tcPr>
          <w:p w14:paraId="19D3A024" w14:textId="77777777" w:rsidR="00AB3B24" w:rsidRDefault="00AB3B24" w:rsidP="00AB3B24">
            <w:pPr>
              <w:jc w:val="center"/>
              <w:rPr>
                <w:iCs/>
              </w:rPr>
            </w:pPr>
          </w:p>
          <w:p w14:paraId="66B337F4" w14:textId="77777777" w:rsidR="00AB3B24" w:rsidRDefault="00AB3B24" w:rsidP="00AB3B24">
            <w:pPr>
              <w:jc w:val="center"/>
              <w:rPr>
                <w:iCs/>
              </w:rPr>
            </w:pPr>
          </w:p>
          <w:p w14:paraId="0476724C" w14:textId="77777777" w:rsidR="00AB3B24" w:rsidRPr="00DA0872" w:rsidRDefault="00AB3B24" w:rsidP="00AB3B24">
            <w:pPr>
              <w:jc w:val="center"/>
              <w:rPr>
                <w:i/>
              </w:rPr>
            </w:pPr>
            <w:r>
              <w:rPr>
                <w:iCs/>
              </w:rPr>
              <w:t>December 31, 2026</w:t>
            </w:r>
          </w:p>
        </w:tc>
        <w:tc>
          <w:tcPr>
            <w:tcW w:w="1980" w:type="dxa"/>
            <w:tcBorders>
              <w:top w:val="single" w:sz="4" w:space="0" w:color="auto"/>
              <w:left w:val="single" w:sz="4" w:space="0" w:color="auto"/>
              <w:bottom w:val="single" w:sz="4" w:space="0" w:color="auto"/>
              <w:right w:val="single" w:sz="4" w:space="0" w:color="auto"/>
            </w:tcBorders>
          </w:tcPr>
          <w:p w14:paraId="4F0B7B3D" w14:textId="77777777" w:rsidR="00AB3B24" w:rsidRDefault="00AB3B24" w:rsidP="00AB3B24">
            <w:pPr>
              <w:jc w:val="center"/>
              <w:rPr>
                <w:i/>
              </w:rPr>
            </w:pPr>
          </w:p>
        </w:tc>
      </w:tr>
      <w:bookmarkEnd w:id="1"/>
    </w:tbl>
    <w:p w14:paraId="10628C03" w14:textId="77777777" w:rsidR="00B02C46" w:rsidRDefault="00B02C46" w:rsidP="00595822">
      <w:pPr>
        <w:ind w:left="2160" w:hanging="720"/>
      </w:pPr>
    </w:p>
    <w:p w14:paraId="486426EE" w14:textId="77777777" w:rsidR="005B04DF" w:rsidRDefault="005B04DF" w:rsidP="00B02C46"/>
    <w:p w14:paraId="2969E5FB" w14:textId="77777777" w:rsidR="00AB3B24" w:rsidRDefault="00AB3B24" w:rsidP="005B04DF">
      <w:pPr>
        <w:ind w:left="720"/>
        <w:rPr>
          <w:b/>
          <w:color w:val="000000" w:themeColor="text1"/>
        </w:rPr>
      </w:pPr>
    </w:p>
    <w:p w14:paraId="06FDC2F6" w14:textId="77777777" w:rsidR="00AB3B24" w:rsidRDefault="00AB3B24" w:rsidP="005B04DF">
      <w:pPr>
        <w:ind w:left="720"/>
        <w:rPr>
          <w:b/>
          <w:color w:val="000000" w:themeColor="text1"/>
        </w:rPr>
      </w:pPr>
    </w:p>
    <w:p w14:paraId="6887AED9" w14:textId="77777777" w:rsidR="00AB3B24" w:rsidRDefault="00AB3B24" w:rsidP="005B04DF">
      <w:pPr>
        <w:ind w:left="720"/>
        <w:rPr>
          <w:b/>
          <w:color w:val="000000" w:themeColor="text1"/>
        </w:rPr>
      </w:pPr>
    </w:p>
    <w:p w14:paraId="4B61A4CE" w14:textId="77777777" w:rsidR="00AB3B24" w:rsidRDefault="00AB3B24" w:rsidP="005B04DF">
      <w:pPr>
        <w:ind w:left="720"/>
        <w:rPr>
          <w:b/>
          <w:color w:val="000000" w:themeColor="text1"/>
        </w:rPr>
      </w:pPr>
    </w:p>
    <w:p w14:paraId="192799BF" w14:textId="77777777" w:rsidR="00AB3B24" w:rsidRDefault="00AB3B24" w:rsidP="005B04DF">
      <w:pPr>
        <w:ind w:left="720"/>
        <w:rPr>
          <w:b/>
          <w:color w:val="000000" w:themeColor="text1"/>
        </w:rPr>
      </w:pPr>
    </w:p>
    <w:p w14:paraId="4062C432" w14:textId="77777777" w:rsidR="00AB3B24" w:rsidRDefault="00AB3B24" w:rsidP="005B04DF">
      <w:pPr>
        <w:ind w:left="720"/>
        <w:rPr>
          <w:b/>
          <w:color w:val="000000" w:themeColor="text1"/>
        </w:rPr>
      </w:pPr>
    </w:p>
    <w:p w14:paraId="2B398E9B" w14:textId="77777777" w:rsidR="00AB3B24" w:rsidRDefault="00AB3B24" w:rsidP="005B04DF">
      <w:pPr>
        <w:ind w:left="720"/>
        <w:rPr>
          <w:b/>
          <w:color w:val="000000" w:themeColor="text1"/>
        </w:rPr>
      </w:pPr>
    </w:p>
    <w:p w14:paraId="2F29E823" w14:textId="77777777" w:rsidR="00AB3B24" w:rsidRDefault="00AB3B24" w:rsidP="005B04DF">
      <w:pPr>
        <w:ind w:left="720"/>
        <w:rPr>
          <w:b/>
          <w:color w:val="000000" w:themeColor="text1"/>
        </w:rPr>
      </w:pPr>
    </w:p>
    <w:p w14:paraId="2F2C4801" w14:textId="77777777" w:rsidR="00AB3B24" w:rsidRDefault="00AB3B24" w:rsidP="005B04DF">
      <w:pPr>
        <w:ind w:left="720"/>
        <w:rPr>
          <w:b/>
          <w:color w:val="000000" w:themeColor="text1"/>
        </w:rPr>
      </w:pPr>
    </w:p>
    <w:p w14:paraId="4B535742" w14:textId="77777777" w:rsidR="00AB3B24" w:rsidRDefault="00AB3B24" w:rsidP="005B04DF">
      <w:pPr>
        <w:ind w:left="720"/>
        <w:rPr>
          <w:b/>
          <w:color w:val="000000" w:themeColor="text1"/>
        </w:rPr>
      </w:pPr>
    </w:p>
    <w:p w14:paraId="67B6D521" w14:textId="77777777" w:rsidR="00AB3B24" w:rsidRDefault="00AB3B24" w:rsidP="005B04DF">
      <w:pPr>
        <w:ind w:left="720"/>
        <w:rPr>
          <w:b/>
          <w:color w:val="000000" w:themeColor="text1"/>
        </w:rPr>
      </w:pPr>
    </w:p>
    <w:p w14:paraId="6D1FE9D1" w14:textId="77777777" w:rsidR="00AB3B24" w:rsidRDefault="00AB3B24" w:rsidP="005B04DF">
      <w:pPr>
        <w:ind w:left="720"/>
        <w:rPr>
          <w:b/>
          <w:color w:val="000000" w:themeColor="text1"/>
        </w:rPr>
      </w:pPr>
    </w:p>
    <w:p w14:paraId="22AF7BA2" w14:textId="77777777" w:rsidR="00AB3B24" w:rsidRDefault="00AB3B24" w:rsidP="005B04DF">
      <w:pPr>
        <w:ind w:left="720"/>
        <w:rPr>
          <w:b/>
          <w:color w:val="000000" w:themeColor="text1"/>
        </w:rPr>
      </w:pPr>
    </w:p>
    <w:p w14:paraId="06A4A5E0" w14:textId="77777777" w:rsidR="00AB3B24" w:rsidRDefault="00AB3B24" w:rsidP="005B04DF">
      <w:pPr>
        <w:ind w:left="720"/>
        <w:rPr>
          <w:b/>
          <w:color w:val="000000" w:themeColor="text1"/>
        </w:rPr>
      </w:pPr>
    </w:p>
    <w:p w14:paraId="3B1367E2" w14:textId="77777777" w:rsidR="00AB3B24" w:rsidRDefault="00AB3B24" w:rsidP="005B04DF">
      <w:pPr>
        <w:ind w:left="720"/>
        <w:rPr>
          <w:b/>
          <w:color w:val="000000" w:themeColor="text1"/>
        </w:rPr>
      </w:pPr>
    </w:p>
    <w:p w14:paraId="7707DB53" w14:textId="77777777" w:rsidR="00AB3B24" w:rsidRDefault="00AB3B24" w:rsidP="005B04DF">
      <w:pPr>
        <w:ind w:left="720"/>
        <w:rPr>
          <w:b/>
          <w:color w:val="000000" w:themeColor="text1"/>
        </w:rPr>
      </w:pPr>
    </w:p>
    <w:p w14:paraId="610015BC" w14:textId="77777777" w:rsidR="00AB3B24" w:rsidRDefault="00AB3B24" w:rsidP="005B04DF">
      <w:pPr>
        <w:ind w:left="720"/>
        <w:rPr>
          <w:b/>
          <w:color w:val="000000" w:themeColor="text1"/>
        </w:rPr>
      </w:pPr>
    </w:p>
    <w:p w14:paraId="7606BD82" w14:textId="77777777" w:rsidR="00AB3B24" w:rsidRDefault="00AB3B24" w:rsidP="005B04DF">
      <w:pPr>
        <w:ind w:left="720"/>
        <w:rPr>
          <w:b/>
          <w:color w:val="000000" w:themeColor="text1"/>
        </w:rPr>
      </w:pPr>
    </w:p>
    <w:p w14:paraId="70FF361F" w14:textId="77777777" w:rsidR="00AB3B24" w:rsidRDefault="00AB3B24" w:rsidP="005B04DF">
      <w:pPr>
        <w:ind w:left="720"/>
        <w:rPr>
          <w:b/>
          <w:color w:val="000000" w:themeColor="text1"/>
        </w:rPr>
      </w:pPr>
    </w:p>
    <w:p w14:paraId="78FDA3BD" w14:textId="77777777" w:rsidR="00AB3B24" w:rsidRDefault="00AB3B24" w:rsidP="005B04DF">
      <w:pPr>
        <w:ind w:left="720"/>
        <w:rPr>
          <w:b/>
          <w:color w:val="000000" w:themeColor="text1"/>
        </w:rPr>
      </w:pPr>
    </w:p>
    <w:p w14:paraId="762F73C1" w14:textId="77777777" w:rsidR="00AB3B24" w:rsidRDefault="00AB3B24" w:rsidP="005B04DF">
      <w:pPr>
        <w:ind w:left="720"/>
        <w:rPr>
          <w:b/>
          <w:color w:val="000000" w:themeColor="text1"/>
        </w:rPr>
      </w:pPr>
    </w:p>
    <w:p w14:paraId="516D28CB" w14:textId="77777777" w:rsidR="00AB3B24" w:rsidRDefault="00AB3B24" w:rsidP="005B04DF">
      <w:pPr>
        <w:ind w:left="720"/>
        <w:rPr>
          <w:b/>
          <w:color w:val="000000" w:themeColor="text1"/>
        </w:rPr>
      </w:pPr>
    </w:p>
    <w:p w14:paraId="4205744C" w14:textId="77777777" w:rsidR="00AB3B24" w:rsidRDefault="00AB3B24" w:rsidP="005B04DF">
      <w:pPr>
        <w:ind w:left="720"/>
        <w:rPr>
          <w:b/>
          <w:color w:val="000000" w:themeColor="text1"/>
        </w:rPr>
      </w:pPr>
    </w:p>
    <w:p w14:paraId="7259C7CE" w14:textId="77777777" w:rsidR="00AB3B24" w:rsidRDefault="00AB3B24" w:rsidP="005B04DF">
      <w:pPr>
        <w:ind w:left="720"/>
        <w:rPr>
          <w:b/>
          <w:color w:val="000000" w:themeColor="text1"/>
        </w:rPr>
      </w:pPr>
    </w:p>
    <w:p w14:paraId="02E5DCF9" w14:textId="77777777" w:rsidR="00AB3B24" w:rsidRDefault="00AB3B24" w:rsidP="005B04DF">
      <w:pPr>
        <w:ind w:left="720"/>
        <w:rPr>
          <w:b/>
          <w:color w:val="000000" w:themeColor="text1"/>
        </w:rPr>
      </w:pPr>
    </w:p>
    <w:p w14:paraId="05C2005E" w14:textId="77777777" w:rsidR="00AB3B24" w:rsidRDefault="00AB3B24" w:rsidP="005B04DF">
      <w:pPr>
        <w:ind w:left="720"/>
        <w:rPr>
          <w:b/>
          <w:color w:val="000000" w:themeColor="text1"/>
        </w:rPr>
      </w:pPr>
    </w:p>
    <w:p w14:paraId="2ACBCA89" w14:textId="77777777" w:rsidR="00AB3B24" w:rsidRDefault="00AB3B24" w:rsidP="005B04DF">
      <w:pPr>
        <w:ind w:left="720"/>
        <w:rPr>
          <w:b/>
          <w:color w:val="000000" w:themeColor="text1"/>
        </w:rPr>
      </w:pPr>
    </w:p>
    <w:p w14:paraId="45365BF7" w14:textId="7E94BAB6" w:rsidR="005B04DF" w:rsidRDefault="005B04DF" w:rsidP="005B04DF">
      <w:pPr>
        <w:ind w:left="720"/>
        <w:rPr>
          <w:color w:val="000000" w:themeColor="text1"/>
        </w:rPr>
      </w:pPr>
      <w:r w:rsidRPr="00FD4184">
        <w:rPr>
          <w:b/>
          <w:color w:val="000000" w:themeColor="text1"/>
        </w:rPr>
        <w:lastRenderedPageBreak/>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172F4F6" w14:textId="77777777" w:rsidR="002C64BD" w:rsidRDefault="002C64BD" w:rsidP="00BD65B9">
      <w:pPr>
        <w:keepNext/>
        <w:ind w:left="720" w:hanging="720"/>
        <w:rPr>
          <w:b/>
          <w:bCs/>
        </w:rPr>
      </w:pPr>
    </w:p>
    <w:p w14:paraId="422C603A" w14:textId="371D5E0C" w:rsidR="00173CFE" w:rsidRDefault="00E047CB"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2C6238FF" w:rsidR="00BD65B9" w:rsidRDefault="00E047CB"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3FC2C9D8" w14:textId="77777777" w:rsidR="005F3B1C" w:rsidRDefault="005F3B1C" w:rsidP="005F3B1C">
      <w:pPr>
        <w:keepNext/>
        <w:ind w:left="720"/>
      </w:pPr>
      <w:r w:rsidRPr="005F3B1C">
        <w:t xml:space="preserve">The Judicial Council will evaluate the proposals on a 100-point scale using the criteria set forth in this section.  Each criterion is described in detail below. Award, if made, will be to the </w:t>
      </w:r>
      <w:proofErr w:type="gramStart"/>
      <w:r w:rsidRPr="005F3B1C">
        <w:t>highest-scored</w:t>
      </w:r>
      <w:proofErr w:type="gramEnd"/>
      <w:r w:rsidRPr="005F3B1C">
        <w:t xml:space="preserve"> proposal.</w:t>
      </w:r>
    </w:p>
    <w:p w14:paraId="419A3BAB" w14:textId="77777777" w:rsidR="00AB3B24" w:rsidRDefault="00AB3B24" w:rsidP="005F3B1C">
      <w:pPr>
        <w:keepNext/>
        <w:ind w:left="720"/>
      </w:pPr>
    </w:p>
    <w:p w14:paraId="0174607F" w14:textId="77777777" w:rsidR="00AB3B24" w:rsidRDefault="00AB3B24" w:rsidP="00AB3B24">
      <w:pPr>
        <w:keepNext/>
        <w:ind w:left="720"/>
      </w:pPr>
      <w:r w:rsidRPr="001564A5">
        <w:rPr>
          <w:bCs/>
        </w:rPr>
        <w:t xml:space="preserve">If a contract will be awarded, the </w:t>
      </w:r>
      <w:r>
        <w:rPr>
          <w:bCs/>
        </w:rPr>
        <w:t>JUDICIAL COUNCIL</w:t>
      </w:r>
      <w:r w:rsidRPr="001564A5">
        <w:rPr>
          <w:bCs/>
        </w:rPr>
        <w:t xml:space="preserve"> will post an intent to award notice at</w:t>
      </w:r>
      <w:r>
        <w:rPr>
          <w:bCs/>
        </w:rPr>
        <w:t xml:space="preserve"> </w:t>
      </w:r>
      <w:hyperlink r:id="rId12">
        <w:r w:rsidRPr="00B410B4">
          <w:rPr>
            <w:rStyle w:val="Hyperlink"/>
            <w:bCs/>
          </w:rPr>
          <w:t>https://courts.ca.gov/policy-administration/bidders-solicitations</w:t>
        </w:r>
      </w:hyperlink>
      <w:r w:rsidRPr="00B410B4">
        <w:rPr>
          <w:bCs/>
        </w:rPr>
        <w:t>.</w:t>
      </w:r>
    </w:p>
    <w:p w14:paraId="2472A472" w14:textId="77777777" w:rsidR="00AB3B24" w:rsidRPr="005F3B1C" w:rsidRDefault="00AB3B24" w:rsidP="005F3B1C">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149003AD" w14:textId="21AF079F" w:rsidR="003A4D99" w:rsidRPr="00D77FEF" w:rsidRDefault="00BD65B9" w:rsidP="00AB3DBD">
            <w:pPr>
              <w:widowControl w:val="0"/>
              <w:tabs>
                <w:tab w:val="left" w:pos="6354"/>
              </w:tabs>
              <w:ind w:right="-18"/>
              <w:jc w:val="center"/>
              <w:rPr>
                <w:b/>
                <w:bCs/>
                <w:color w:val="000000"/>
              </w:rPr>
            </w:pPr>
            <w:r>
              <w:rPr>
                <w:b/>
                <w:bCs/>
                <w:color w:val="000000"/>
              </w:rPr>
              <w:t>C</w:t>
            </w:r>
            <w:r w:rsidR="00595822">
              <w:rPr>
                <w:b/>
                <w:bCs/>
                <w:color w:val="000000"/>
              </w:rPr>
              <w:t>RITERION</w:t>
            </w: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5E6785" w14:paraId="16771691" w14:textId="77777777" w:rsidTr="003E4B31">
        <w:trPr>
          <w:trHeight w:val="668"/>
          <w:jc w:val="center"/>
        </w:trPr>
        <w:tc>
          <w:tcPr>
            <w:tcW w:w="4986" w:type="dxa"/>
            <w:vAlign w:val="center"/>
          </w:tcPr>
          <w:p w14:paraId="3883D6C3" w14:textId="77777777" w:rsidR="00BD65B9" w:rsidRPr="005F3B1C" w:rsidRDefault="00BD65B9" w:rsidP="003E4B31">
            <w:pPr>
              <w:widowControl w:val="0"/>
              <w:rPr>
                <w:i/>
              </w:rPr>
            </w:pPr>
            <w:r w:rsidRPr="005F3B1C">
              <w:rPr>
                <w:i/>
              </w:rPr>
              <w:t>Quality of work plan submitted</w:t>
            </w:r>
          </w:p>
        </w:tc>
        <w:tc>
          <w:tcPr>
            <w:tcW w:w="3192" w:type="dxa"/>
            <w:vAlign w:val="center"/>
          </w:tcPr>
          <w:p w14:paraId="34D2CFB5" w14:textId="02D68E4E" w:rsidR="00BD65B9" w:rsidRPr="005E6785" w:rsidRDefault="005E6785" w:rsidP="003E4B31">
            <w:pPr>
              <w:widowControl w:val="0"/>
              <w:tabs>
                <w:tab w:val="left" w:pos="2178"/>
              </w:tabs>
              <w:jc w:val="center"/>
            </w:pPr>
            <w:r w:rsidRPr="005E6785">
              <w:t>17</w:t>
            </w:r>
          </w:p>
        </w:tc>
      </w:tr>
      <w:tr w:rsidR="00BD65B9" w:rsidRPr="005E6785" w14:paraId="78FBBF07" w14:textId="77777777" w:rsidTr="003E4B31">
        <w:trPr>
          <w:trHeight w:val="647"/>
          <w:jc w:val="center"/>
        </w:trPr>
        <w:tc>
          <w:tcPr>
            <w:tcW w:w="4986" w:type="dxa"/>
            <w:vAlign w:val="center"/>
          </w:tcPr>
          <w:p w14:paraId="71A97AE9" w14:textId="77777777" w:rsidR="00BD65B9" w:rsidRPr="005F3B1C" w:rsidRDefault="00BD65B9" w:rsidP="003E4B31">
            <w:pPr>
              <w:widowControl w:val="0"/>
              <w:rPr>
                <w:i/>
              </w:rPr>
            </w:pPr>
            <w:r w:rsidRPr="005F3B1C">
              <w:rPr>
                <w:i/>
              </w:rPr>
              <w:t xml:space="preserve">Experience </w:t>
            </w:r>
            <w:proofErr w:type="gramStart"/>
            <w:r w:rsidRPr="005F3B1C">
              <w:rPr>
                <w:i/>
              </w:rPr>
              <w:t>on</w:t>
            </w:r>
            <w:proofErr w:type="gramEnd"/>
            <w:r w:rsidRPr="005F3B1C">
              <w:rPr>
                <w:i/>
              </w:rPr>
              <w:t xml:space="preserve"> similar assignments</w:t>
            </w:r>
          </w:p>
        </w:tc>
        <w:tc>
          <w:tcPr>
            <w:tcW w:w="3192" w:type="dxa"/>
            <w:vAlign w:val="center"/>
          </w:tcPr>
          <w:p w14:paraId="0DDD2C5E" w14:textId="02C61AFE" w:rsidR="00BD65B9" w:rsidRPr="005E6785" w:rsidRDefault="00EB68AF" w:rsidP="003E4B31">
            <w:pPr>
              <w:widowControl w:val="0"/>
              <w:tabs>
                <w:tab w:val="left" w:pos="2178"/>
              </w:tabs>
              <w:jc w:val="center"/>
            </w:pPr>
            <w:r>
              <w:t>25</w:t>
            </w:r>
          </w:p>
        </w:tc>
      </w:tr>
      <w:tr w:rsidR="00BD65B9" w:rsidRPr="005E6785" w14:paraId="262745B3" w14:textId="77777777" w:rsidTr="003E4B31">
        <w:trPr>
          <w:trHeight w:val="647"/>
          <w:jc w:val="center"/>
        </w:trPr>
        <w:tc>
          <w:tcPr>
            <w:tcW w:w="4986" w:type="dxa"/>
            <w:vAlign w:val="center"/>
          </w:tcPr>
          <w:p w14:paraId="6CDC682D" w14:textId="77777777" w:rsidR="00BD65B9" w:rsidRPr="005F3B1C" w:rsidRDefault="00595822" w:rsidP="003E4B31">
            <w:pPr>
              <w:widowControl w:val="0"/>
              <w:rPr>
                <w:i/>
              </w:rPr>
            </w:pPr>
            <w:r w:rsidRPr="005F3B1C">
              <w:rPr>
                <w:i/>
              </w:rPr>
              <w:t xml:space="preserve">Cost </w:t>
            </w:r>
          </w:p>
        </w:tc>
        <w:tc>
          <w:tcPr>
            <w:tcW w:w="3192" w:type="dxa"/>
            <w:vAlign w:val="center"/>
          </w:tcPr>
          <w:p w14:paraId="5E957145" w14:textId="33B5686D" w:rsidR="00BD65B9" w:rsidRPr="00285ABB" w:rsidRDefault="005E6785" w:rsidP="003E4B31">
            <w:pPr>
              <w:widowControl w:val="0"/>
              <w:jc w:val="center"/>
              <w:rPr>
                <w:iCs/>
              </w:rPr>
            </w:pPr>
            <w:r w:rsidRPr="00285ABB">
              <w:rPr>
                <w:iCs/>
              </w:rPr>
              <w:t>3</w:t>
            </w:r>
            <w:r w:rsidR="00AB3DBD" w:rsidRPr="00285ABB">
              <w:rPr>
                <w:iCs/>
              </w:rPr>
              <w:t>0</w:t>
            </w:r>
          </w:p>
        </w:tc>
      </w:tr>
      <w:tr w:rsidR="00BD65B9" w:rsidRPr="005E6785" w14:paraId="329DAF7B" w14:textId="77777777" w:rsidTr="003E4B31">
        <w:trPr>
          <w:trHeight w:val="539"/>
          <w:jc w:val="center"/>
        </w:trPr>
        <w:tc>
          <w:tcPr>
            <w:tcW w:w="4986" w:type="dxa"/>
            <w:vAlign w:val="center"/>
          </w:tcPr>
          <w:p w14:paraId="4BA9B181" w14:textId="1171B1DF" w:rsidR="00BD65B9" w:rsidRPr="005F3B1C" w:rsidRDefault="005E6785" w:rsidP="003E4B31">
            <w:pPr>
              <w:widowControl w:val="0"/>
              <w:ind w:right="576"/>
              <w:rPr>
                <w:i/>
              </w:rPr>
            </w:pPr>
            <w:r w:rsidRPr="005F3B1C">
              <w:rPr>
                <w:i/>
              </w:rPr>
              <w:t>Qualifications of staff to be assigned to project based on resumes submitted including experience, background, expertise and credentials if any</w:t>
            </w:r>
          </w:p>
        </w:tc>
        <w:tc>
          <w:tcPr>
            <w:tcW w:w="3192" w:type="dxa"/>
            <w:vAlign w:val="center"/>
          </w:tcPr>
          <w:p w14:paraId="7A874637" w14:textId="34947A4F" w:rsidR="00BD65B9" w:rsidRPr="005E6785" w:rsidRDefault="005E6785" w:rsidP="003E4B31">
            <w:pPr>
              <w:widowControl w:val="0"/>
              <w:jc w:val="center"/>
            </w:pPr>
            <w:r w:rsidRPr="005E6785">
              <w:t>1</w:t>
            </w:r>
            <w:r w:rsidR="00AB3DBD" w:rsidRPr="005E6785">
              <w:t>0</w:t>
            </w:r>
          </w:p>
        </w:tc>
      </w:tr>
      <w:tr w:rsidR="00595822" w:rsidRPr="005E6785" w14:paraId="1FE78355" w14:textId="77777777" w:rsidTr="003E4B31">
        <w:trPr>
          <w:trHeight w:val="539"/>
          <w:jc w:val="center"/>
        </w:trPr>
        <w:tc>
          <w:tcPr>
            <w:tcW w:w="4986" w:type="dxa"/>
            <w:vAlign w:val="center"/>
          </w:tcPr>
          <w:p w14:paraId="6661D321" w14:textId="05062532" w:rsidR="00595822" w:rsidRPr="005F3B1C" w:rsidRDefault="005F597D" w:rsidP="003E4B31">
            <w:pPr>
              <w:widowControl w:val="0"/>
              <w:ind w:right="576"/>
              <w:rPr>
                <w:i/>
              </w:rPr>
            </w:pPr>
            <w:r w:rsidRPr="005F3B1C">
              <w:rPr>
                <w:i/>
              </w:rPr>
              <w:t xml:space="preserve">Acceptance of </w:t>
            </w:r>
            <w:r w:rsidR="00B23242" w:rsidRPr="005F3B1C">
              <w:rPr>
                <w:i/>
              </w:rPr>
              <w:t xml:space="preserve">the </w:t>
            </w:r>
            <w:r w:rsidR="00EC4775" w:rsidRPr="005F3B1C">
              <w:rPr>
                <w:i/>
              </w:rPr>
              <w:t>Terms and Conditions</w:t>
            </w:r>
          </w:p>
        </w:tc>
        <w:tc>
          <w:tcPr>
            <w:tcW w:w="3192" w:type="dxa"/>
            <w:vAlign w:val="center"/>
          </w:tcPr>
          <w:p w14:paraId="51ED83D6" w14:textId="57CD9501" w:rsidR="00595822" w:rsidRPr="005E6785" w:rsidRDefault="00EB68AF" w:rsidP="003E4B31">
            <w:pPr>
              <w:widowControl w:val="0"/>
              <w:jc w:val="center"/>
            </w:pPr>
            <w:r>
              <w:t>10</w:t>
            </w:r>
          </w:p>
        </w:tc>
      </w:tr>
      <w:tr w:rsidR="00BD65B9" w:rsidRPr="005E6785" w14:paraId="1181528B" w14:textId="77777777" w:rsidTr="003E4B31">
        <w:trPr>
          <w:trHeight w:val="520"/>
          <w:jc w:val="center"/>
        </w:trPr>
        <w:tc>
          <w:tcPr>
            <w:tcW w:w="4986" w:type="dxa"/>
            <w:vAlign w:val="center"/>
          </w:tcPr>
          <w:p w14:paraId="0FA61E83" w14:textId="77777777" w:rsidR="00BD65B9" w:rsidRPr="005F3B1C" w:rsidRDefault="00BD65B9" w:rsidP="003E4B31">
            <w:pPr>
              <w:widowControl w:val="0"/>
              <w:rPr>
                <w:i/>
              </w:rPr>
            </w:pPr>
            <w:r w:rsidRPr="005F3B1C">
              <w:rPr>
                <w:i/>
              </w:rPr>
              <w:t>Ability to meet timing requirements to complete the project</w:t>
            </w:r>
          </w:p>
        </w:tc>
        <w:tc>
          <w:tcPr>
            <w:tcW w:w="3192" w:type="dxa"/>
            <w:vAlign w:val="center"/>
          </w:tcPr>
          <w:p w14:paraId="72ED37C4" w14:textId="67460750" w:rsidR="00BD65B9" w:rsidRPr="005E6785" w:rsidRDefault="005E6785" w:rsidP="003E4B31">
            <w:pPr>
              <w:widowControl w:val="0"/>
              <w:jc w:val="center"/>
            </w:pPr>
            <w:r w:rsidRPr="005E6785">
              <w:t>5</w:t>
            </w:r>
          </w:p>
        </w:tc>
      </w:tr>
      <w:tr w:rsidR="005E6785" w:rsidRPr="005E6785" w14:paraId="0B5BF49F" w14:textId="77777777" w:rsidTr="003E4B31">
        <w:trPr>
          <w:trHeight w:val="520"/>
          <w:jc w:val="center"/>
        </w:trPr>
        <w:tc>
          <w:tcPr>
            <w:tcW w:w="4986" w:type="dxa"/>
            <w:vAlign w:val="center"/>
          </w:tcPr>
          <w:p w14:paraId="797DFA91" w14:textId="0E5BB0AE" w:rsidR="005E6785" w:rsidRPr="005F3B1C" w:rsidRDefault="005E6785" w:rsidP="005E6785">
            <w:pPr>
              <w:widowControl w:val="0"/>
              <w:rPr>
                <w:i/>
              </w:rPr>
            </w:pPr>
            <w:r w:rsidRPr="005F3B1C">
              <w:rPr>
                <w:i/>
              </w:rPr>
              <w:t>(“DVBE”) Incentive Disabled Veterans Business Enterprise incentive is available to qualified proposers.</w:t>
            </w:r>
          </w:p>
        </w:tc>
        <w:tc>
          <w:tcPr>
            <w:tcW w:w="3192" w:type="dxa"/>
            <w:vAlign w:val="center"/>
          </w:tcPr>
          <w:p w14:paraId="710296B1" w14:textId="6E95ADEB" w:rsidR="005E6785" w:rsidRPr="005E6785" w:rsidRDefault="005E6785" w:rsidP="005E6785">
            <w:pPr>
              <w:widowControl w:val="0"/>
              <w:jc w:val="center"/>
            </w:pPr>
            <w:r w:rsidRPr="005E6785">
              <w:t>3</w:t>
            </w:r>
          </w:p>
        </w:tc>
      </w:tr>
    </w:tbl>
    <w:p w14:paraId="468144D9" w14:textId="77777777" w:rsidR="006562BF" w:rsidRDefault="006562BF" w:rsidP="006562BF">
      <w:pPr>
        <w:ind w:left="720"/>
        <w:rPr>
          <w:sz w:val="20"/>
          <w:szCs w:val="20"/>
        </w:rPr>
      </w:pPr>
    </w:p>
    <w:p w14:paraId="4346A4F3" w14:textId="77777777" w:rsidR="00746D46" w:rsidRPr="00D25D02" w:rsidRDefault="00746D46" w:rsidP="006562BF">
      <w:pPr>
        <w:ind w:left="720"/>
        <w:rPr>
          <w:sz w:val="20"/>
          <w:szCs w:val="20"/>
        </w:rPr>
      </w:pPr>
    </w:p>
    <w:p w14:paraId="683B11FF" w14:textId="23DDA497" w:rsidR="006562BF" w:rsidRPr="005E0EE1" w:rsidRDefault="002E543F" w:rsidP="006562BF">
      <w:pPr>
        <w:keepNext/>
        <w:ind w:left="720" w:hanging="720"/>
        <w:rPr>
          <w:b/>
          <w:bCs/>
        </w:rPr>
      </w:pPr>
      <w:r>
        <w:rPr>
          <w:b/>
          <w:bCs/>
        </w:rPr>
        <w:lastRenderedPageBreak/>
        <w:t>1</w:t>
      </w:r>
      <w:r w:rsidR="00AB3B24">
        <w:rPr>
          <w:b/>
          <w:bCs/>
        </w:rPr>
        <w:t>0</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3CE52F17" w:rsidR="00463019" w:rsidRDefault="00FC1ABD" w:rsidP="00CF1B9B">
      <w:pPr>
        <w:pStyle w:val="BodyTextIndent"/>
        <w:spacing w:after="240"/>
        <w:ind w:left="720"/>
      </w:pPr>
      <w:r w:rsidRPr="00FC1ABD">
        <w:rPr>
          <w:b/>
          <w:caps/>
        </w:rPr>
        <w:t xml:space="preserve">Proposals are subject to disclosure </w:t>
      </w:r>
      <w:r w:rsidR="00285A84" w:rsidRPr="00CC03F5">
        <w:rPr>
          <w:b/>
          <w:caps/>
        </w:rPr>
        <w:t>TO THIRD PARTIES</w:t>
      </w:r>
      <w:r w:rsidR="009217AC">
        <w:rPr>
          <w:b/>
          <w:caps/>
        </w:rPr>
        <w:t xml:space="preserve"> AND MEMBERS OF THE PUBLIC</w:t>
      </w:r>
      <w:r w:rsidR="00285A84" w:rsidRPr="00CC03F5">
        <w:rPr>
          <w:b/>
          <w:caps/>
        </w:rPr>
        <w:t xml:space="preserve"> </w:t>
      </w:r>
      <w:r w:rsidRPr="00CC03F5">
        <w:rPr>
          <w:b/>
          <w:caps/>
        </w:rPr>
        <w:t xml:space="preserve">pursuant to applicable </w:t>
      </w:r>
      <w:r w:rsidR="00A662B2" w:rsidRPr="00CC03F5">
        <w:rPr>
          <w:b/>
          <w:caps/>
        </w:rPr>
        <w:t xml:space="preserve">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008D0654" w:rsidRPr="00CC03F5">
        <w:rPr>
          <w:color w:val="000000" w:themeColor="text1"/>
        </w:rPr>
        <w:t xml:space="preserve"> </w:t>
      </w:r>
      <w:r w:rsidR="00A662B2" w:rsidRPr="00CC03F5">
        <w:rPr>
          <w:color w:val="000000" w:themeColor="text1"/>
        </w:rPr>
        <w:t>Except as required by law, t</w:t>
      </w:r>
      <w:r w:rsidR="002B6580" w:rsidRPr="00CC03F5">
        <w:rPr>
          <w:color w:val="000000" w:themeColor="text1"/>
        </w:rPr>
        <w:t xml:space="preserve">he JBE will not disclose </w:t>
      </w:r>
      <w:r w:rsidR="006C1D3B" w:rsidRPr="00CC03F5">
        <w:rPr>
          <w:color w:val="000000" w:themeColor="text1"/>
        </w:rPr>
        <w:t>(</w:t>
      </w:r>
      <w:proofErr w:type="spellStart"/>
      <w:r w:rsidR="006C1D3B" w:rsidRPr="00CC03F5">
        <w:rPr>
          <w:color w:val="000000" w:themeColor="text1"/>
        </w:rPr>
        <w:t>i</w:t>
      </w:r>
      <w:proofErr w:type="spellEnd"/>
      <w:r w:rsidR="006C1D3B" w:rsidRPr="00CC03F5">
        <w:rPr>
          <w:color w:val="000000" w:themeColor="text1"/>
        </w:rPr>
        <w:t xml:space="preserve">) social security numbers, or (ii) </w:t>
      </w:r>
      <w:r w:rsidR="002B6580" w:rsidRPr="00CC03F5">
        <w:rPr>
          <w:rFonts w:cs="Arial"/>
          <w:spacing w:val="-3"/>
        </w:rPr>
        <w:t>balance sheets or income statements</w:t>
      </w:r>
      <w:r w:rsidR="002B6580" w:rsidRPr="00CC03F5">
        <w:rPr>
          <w:color w:val="000000" w:themeColor="text1"/>
        </w:rPr>
        <w:t xml:space="preserve"> submitted by a Proposer that is not a </w:t>
      </w:r>
      <w:proofErr w:type="gramStart"/>
      <w:r w:rsidR="002B6580" w:rsidRPr="00CC03F5">
        <w:rPr>
          <w:color w:val="000000" w:themeColor="text1"/>
        </w:rPr>
        <w:t>publicly-traded</w:t>
      </w:r>
      <w:proofErr w:type="gramEnd"/>
      <w:r w:rsidR="002B6580" w:rsidRPr="00CC03F5">
        <w:rPr>
          <w:color w:val="000000" w:themeColor="text1"/>
        </w:rPr>
        <w:t xml:space="preserve"> corporation.</w:t>
      </w:r>
      <w:r w:rsidR="002B6580" w:rsidRPr="00CC03F5">
        <w:t xml:space="preserve"> All other information in p</w:t>
      </w:r>
      <w:r w:rsidR="00463019" w:rsidRPr="00CC03F5">
        <w:t xml:space="preserve">roposals </w:t>
      </w:r>
      <w:r w:rsidR="00A662B2" w:rsidRPr="00CC03F5">
        <w:t xml:space="preserve">may </w:t>
      </w:r>
      <w:r w:rsidR="00463019" w:rsidRPr="00CC03F5">
        <w:t>be disclosed in response to applicable public records requests</w:t>
      </w:r>
      <w:r w:rsidR="00A662B2" w:rsidRPr="00CC03F5">
        <w:t>, or as otherwise required by law</w:t>
      </w:r>
      <w:r w:rsidR="00463019" w:rsidRPr="00CC03F5">
        <w:t xml:space="preserve">.  Such disclosure </w:t>
      </w:r>
      <w:r w:rsidR="00A662B2" w:rsidRPr="00CC03F5">
        <w:t>may</w:t>
      </w:r>
      <w:r w:rsidR="00A662B2">
        <w:t xml:space="preserve"> </w:t>
      </w:r>
      <w:r w:rsidR="00463019">
        <w:t>be made regardless of whether the proposal (or portions thereof) is marked “confidential,” “proprietary,”</w:t>
      </w:r>
      <w:r w:rsidR="009217AC">
        <w:t xml:space="preserve"> “copyright ©</w:t>
      </w:r>
      <w:r w:rsidR="008D34C9">
        <w:t>,</w:t>
      </w:r>
      <w:r w:rsidR="009217AC">
        <w:t>”</w:t>
      </w:r>
      <w:r w:rsidR="00463019">
        <w:t xml:space="preserve">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9217AC" w:rsidRPr="009217AC">
        <w:t xml:space="preserve">Submission of any proposal pursuant to this RFP constitutes acknowledgment and consent by the </w:t>
      </w:r>
      <w:r w:rsidR="008D34C9">
        <w:t>P</w:t>
      </w:r>
      <w:r w:rsidR="009217AC" w:rsidRPr="009217AC">
        <w:t xml:space="preserve">roposer to the potential public disclosure of its proposal content, </w:t>
      </w:r>
      <w:r w:rsidR="009217AC">
        <w:t xml:space="preserve">pursuant to </w:t>
      </w:r>
      <w:r w:rsidR="009217AC" w:rsidRPr="009217AC">
        <w:t>this Section 1</w:t>
      </w:r>
      <w:r w:rsidR="004E7971">
        <w:t>.1</w:t>
      </w:r>
      <w:r w:rsidR="009217AC">
        <w:t>.</w:t>
      </w:r>
      <w:r w:rsidR="009217AC" w:rsidRPr="009217AC">
        <w:t xml:space="preserve"> </w:t>
      </w:r>
      <w:r w:rsidR="00463019" w:rsidRPr="009217AC">
        <w:rPr>
          <w:b/>
          <w:bCs/>
        </w:rPr>
        <w:t>Proposers are accordingly cautioned not to include confidential</w:t>
      </w:r>
      <w:r w:rsidR="009A358D" w:rsidRPr="009217AC">
        <w:rPr>
          <w:b/>
          <w:bCs/>
        </w:rPr>
        <w:t xml:space="preserve">, </w:t>
      </w:r>
      <w:r w:rsidR="00463019" w:rsidRPr="009217AC">
        <w:rPr>
          <w:b/>
          <w:bCs/>
        </w:rPr>
        <w:t>proprietary</w:t>
      </w:r>
      <w:r w:rsidR="009A358D" w:rsidRPr="009217AC">
        <w:rPr>
          <w:b/>
          <w:bCs/>
        </w:rPr>
        <w:t>, or privileged</w:t>
      </w:r>
      <w:r w:rsidR="00463019" w:rsidRPr="009217AC">
        <w:rPr>
          <w:b/>
          <w:bCs/>
        </w:rPr>
        <w:t xml:space="preserve"> information in proposals.</w:t>
      </w:r>
      <w:r w:rsidR="00463019" w:rsidRPr="00F346CC">
        <w:t xml:space="preserve"> </w:t>
      </w:r>
    </w:p>
    <w:p w14:paraId="5C002722" w14:textId="5DBD0853" w:rsidR="00825BC4" w:rsidRDefault="003E565D" w:rsidP="00825BC4">
      <w:pPr>
        <w:keepNext/>
        <w:ind w:left="720" w:hanging="720"/>
        <w:rPr>
          <w:b/>
          <w:bCs/>
        </w:rPr>
      </w:pPr>
      <w:r>
        <w:rPr>
          <w:b/>
          <w:bCs/>
        </w:rPr>
        <w:t>1</w:t>
      </w:r>
      <w:r w:rsidR="00AB3B24">
        <w:rPr>
          <w:b/>
          <w:bCs/>
        </w:rPr>
        <w:t>1</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381E8C16" w14:textId="77777777" w:rsidR="005E6785" w:rsidRDefault="005E6785" w:rsidP="005E6785">
      <w:pPr>
        <w:ind w:left="720"/>
      </w:pPr>
      <w:r>
        <w:t xml:space="preserve">Qualification for the DVBE incentive is not mandatory.  Failure to qualify for the DVBE incentive will not render a proposal non-responsive.  </w:t>
      </w:r>
    </w:p>
    <w:p w14:paraId="06F10B20" w14:textId="77777777" w:rsidR="005E6785" w:rsidRDefault="005E6785" w:rsidP="005E6785">
      <w:pPr>
        <w:ind w:left="720"/>
      </w:pPr>
    </w:p>
    <w:p w14:paraId="68448A03" w14:textId="77777777" w:rsidR="005E6785" w:rsidRDefault="005E6785" w:rsidP="005E6785">
      <w:pPr>
        <w:ind w:left="720"/>
      </w:pPr>
      <w:r>
        <w:t xml:space="preserve">Eligibility for and application of the DVBE incentive is governed by </w:t>
      </w:r>
      <w:proofErr w:type="gramStart"/>
      <w:r>
        <w:t>the JBE’s</w:t>
      </w:r>
      <w:proofErr w:type="gramEnd"/>
      <w:r>
        <w:t xml:space="preserve"> 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w:t>
      </w:r>
      <w:r w:rsidRPr="004A1408">
        <w:rPr>
          <w:b/>
          <w:bCs/>
        </w:rPr>
        <w:t>9.0</w:t>
      </w:r>
      <w:r>
        <w:t xml:space="preserve"> above.  </w:t>
      </w:r>
    </w:p>
    <w:p w14:paraId="286F888E" w14:textId="77777777" w:rsidR="005E6785" w:rsidRDefault="005E6785" w:rsidP="005E6785">
      <w:pPr>
        <w:ind w:left="720"/>
      </w:pPr>
    </w:p>
    <w:p w14:paraId="59D685E7" w14:textId="77777777" w:rsidR="005E6785" w:rsidRDefault="005E6785" w:rsidP="005E6785">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15DBD25A" w14:textId="77777777" w:rsidR="005E6785" w:rsidRDefault="005E6785" w:rsidP="005E6785">
      <w:pPr>
        <w:ind w:left="720"/>
      </w:pPr>
    </w:p>
    <w:p w14:paraId="2D217B99" w14:textId="77777777" w:rsidR="005E6785" w:rsidRDefault="005E6785" w:rsidP="005E6785">
      <w:pPr>
        <w:ind w:left="720"/>
      </w:pPr>
      <w:r>
        <w:t xml:space="preserve">If Proposer wishes to seek the DVBE incentive: </w:t>
      </w:r>
    </w:p>
    <w:p w14:paraId="788F5932" w14:textId="77777777" w:rsidR="005E6785" w:rsidRDefault="005E6785" w:rsidP="005E6785">
      <w:pPr>
        <w:ind w:left="720"/>
      </w:pPr>
    </w:p>
    <w:p w14:paraId="2E5DD158" w14:textId="6DF5C977" w:rsidR="005E6785" w:rsidRDefault="005E6785" w:rsidP="005E6785">
      <w:pPr>
        <w:tabs>
          <w:tab w:val="left" w:pos="2160"/>
        </w:tabs>
        <w:ind w:left="2160" w:hanging="720"/>
      </w:pPr>
      <w:r>
        <w:t xml:space="preserve">1.  </w:t>
      </w:r>
      <w:r>
        <w:tab/>
        <w:t>Proposer must complete and submit with its proposal the Bidder Declaration (</w:t>
      </w:r>
      <w:r w:rsidRPr="002333E6">
        <w:rPr>
          <w:b/>
          <w:bCs/>
        </w:rPr>
        <w:t xml:space="preserve">Attachment </w:t>
      </w:r>
      <w:r w:rsidR="004E7971">
        <w:rPr>
          <w:b/>
          <w:bCs/>
        </w:rPr>
        <w:t>5</w:t>
      </w:r>
      <w:r>
        <w:rPr>
          <w:b/>
          <w:bCs/>
        </w:rPr>
        <w:t>)</w:t>
      </w:r>
      <w:r>
        <w:t>.  Proposer must submit with the Bidder Declaration all materials required in the Bidder Declaration.</w:t>
      </w:r>
    </w:p>
    <w:p w14:paraId="6034F24F" w14:textId="4A15543E" w:rsidR="005E6785" w:rsidRDefault="005E6785" w:rsidP="005E6785">
      <w:pPr>
        <w:tabs>
          <w:tab w:val="left" w:pos="2160"/>
        </w:tabs>
        <w:ind w:left="2160" w:hanging="720"/>
      </w:pPr>
      <w:r>
        <w:t xml:space="preserve">2.  </w:t>
      </w:r>
      <w:r>
        <w:tab/>
        <w:t>Proposer must submit with its proposal a DVBE Declaration (</w:t>
      </w:r>
      <w:r w:rsidRPr="002333E6">
        <w:rPr>
          <w:b/>
          <w:bCs/>
        </w:rPr>
        <w:t xml:space="preserve">Attachment </w:t>
      </w:r>
      <w:r w:rsidR="004E7971">
        <w:rPr>
          <w:b/>
          <w:bCs/>
        </w:rPr>
        <w:t>6</w:t>
      </w:r>
      <w:r>
        <w:rPr>
          <w:b/>
          <w:bCs/>
        </w:rPr>
        <w:t>)</w:t>
      </w:r>
      <w:r>
        <w:t xml:space="preserve"> completed and signed by each DVBE that will provide goods and/or services in connection with the contract.  If Proposer is itself a DVBE, it must complete and sign the DVBE Declaration.  If Proposer will use </w:t>
      </w:r>
      <w:r>
        <w:lastRenderedPageBreak/>
        <w:t xml:space="preserve">DVBE subcontractors, each DVBE subcontractor must complete and sign a DVBE Declaration.  </w:t>
      </w:r>
      <w:r>
        <w:rPr>
          <w:b/>
        </w:rPr>
        <w:t>NOTE</w:t>
      </w:r>
      <w:r>
        <w:t>: The DVBE Declaration is not required if Proposer will qualify for the DVBE incentive using a BUP on file with DGS.</w:t>
      </w:r>
    </w:p>
    <w:p w14:paraId="6A40BCA1" w14:textId="77777777" w:rsidR="005E6785" w:rsidRDefault="005E6785" w:rsidP="005E6785">
      <w:pPr>
        <w:ind w:left="1440" w:hanging="720"/>
      </w:pPr>
    </w:p>
    <w:p w14:paraId="509156F6" w14:textId="77777777" w:rsidR="005E6785" w:rsidRDefault="005E6785" w:rsidP="005E6785">
      <w:pPr>
        <w:ind w:left="720"/>
      </w:pPr>
      <w: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72C1F979" w14:textId="77777777" w:rsidR="005E6785" w:rsidRDefault="005E6785" w:rsidP="005E6785">
      <w:pPr>
        <w:ind w:left="720"/>
      </w:pPr>
    </w:p>
    <w:p w14:paraId="168C9C8F" w14:textId="77777777" w:rsidR="005E6785" w:rsidRDefault="005E6785" w:rsidP="005E6785">
      <w:pPr>
        <w:ind w:left="720"/>
      </w:pPr>
      <w: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14:paraId="2B5EC855" w14:textId="77777777" w:rsidR="005E6785" w:rsidRDefault="005E6785" w:rsidP="005E6785">
      <w:pPr>
        <w:ind w:left="720"/>
      </w:pPr>
    </w:p>
    <w:p w14:paraId="6E382910" w14:textId="77777777" w:rsidR="005E6785" w:rsidRDefault="005E6785" w:rsidP="005E6785">
      <w:pPr>
        <w:ind w:left="720"/>
      </w:pPr>
      <w:r>
        <w:t>If Proposer receives the DVBE incentive: (</w:t>
      </w:r>
      <w:proofErr w:type="spellStart"/>
      <w:r>
        <w:t>i</w:t>
      </w:r>
      <w:proofErr w:type="spellEnd"/>
      <w: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Pr>
          <w:rFonts w:cstheme="minorHAnsi"/>
        </w:rPr>
        <w:t xml:space="preserve">DVBE commitment set forth </w:t>
      </w:r>
      <w:r>
        <w:t xml:space="preserve">in its proposal will constitute a breach of contract.  </w:t>
      </w:r>
    </w:p>
    <w:p w14:paraId="7B8C2FE3" w14:textId="77777777" w:rsidR="005E6785" w:rsidRDefault="005E6785" w:rsidP="005E6785">
      <w:pPr>
        <w:ind w:left="720"/>
      </w:pPr>
    </w:p>
    <w:p w14:paraId="4C161904" w14:textId="77777777" w:rsidR="005E6785" w:rsidRDefault="005E6785" w:rsidP="005E6785">
      <w:pPr>
        <w:autoSpaceDE w:val="0"/>
        <w:autoSpaceDN w:val="0"/>
        <w:adjustRightInd w:val="0"/>
        <w:ind w:left="720"/>
        <w:rPr>
          <w:rFonts w:cstheme="minorHAnsi"/>
        </w:rPr>
      </w:pPr>
      <w:r>
        <w:rPr>
          <w:rFonts w:cstheme="minorHAnsi"/>
          <w:bCs/>
          <w:iCs/>
        </w:rPr>
        <w:t>If using DVBE subcontractors, the Proposer must complete and return to the JBE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JBE.</w:t>
      </w:r>
      <w:r>
        <w:rPr>
          <w:rFonts w:cstheme="minorHAnsi"/>
        </w:rPr>
        <w:t xml:space="preserve"> If the Proposer fails to do so, the JBE will withhold $10,000 from the final payment, or withhold the full payment if it is less than $10,000, until the Proposer submits a complete and accurate post-contract certification form.  </w:t>
      </w:r>
    </w:p>
    <w:p w14:paraId="06CA8A8B" w14:textId="77777777" w:rsidR="005E6785" w:rsidRDefault="005E6785" w:rsidP="005E6785">
      <w:pPr>
        <w:autoSpaceDE w:val="0"/>
        <w:autoSpaceDN w:val="0"/>
        <w:adjustRightInd w:val="0"/>
        <w:ind w:left="720"/>
        <w:rPr>
          <w:rFonts w:cstheme="minorHAnsi"/>
        </w:rPr>
      </w:pPr>
    </w:p>
    <w:p w14:paraId="2331B30A" w14:textId="77777777" w:rsidR="005E6785" w:rsidRDefault="005E6785" w:rsidP="005E6785">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JBE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JBE shall permanently deduct $10,000 from the final payment, or the full payment if less than $10,000.</w:t>
      </w:r>
    </w:p>
    <w:p w14:paraId="44AE577B" w14:textId="77777777" w:rsidR="005E6785" w:rsidRDefault="005E6785" w:rsidP="005E6785">
      <w:pPr>
        <w:ind w:left="720"/>
      </w:pPr>
    </w:p>
    <w:p w14:paraId="6F5EE325" w14:textId="77777777" w:rsidR="005E6785" w:rsidRDefault="005E6785" w:rsidP="005E6785">
      <w:pPr>
        <w:ind w:left="720"/>
        <w:rPr>
          <w:b/>
        </w:rPr>
      </w:pPr>
      <w:r>
        <w:rPr>
          <w:b/>
        </w:rPr>
        <w:t>FRAUDULENT MISREPREPRETATION IN CONNECTION WITH THE DVBE INCENTIVE IS A MISDEMEANOR AND IS PUNISHABLE BY IMPRISONMENT OR FINE, AND VIOLATORS ARE LIABLE FOR CIVIL PENALTIES. SEE MVC 999.9.</w:t>
      </w:r>
    </w:p>
    <w:p w14:paraId="4864D9A7" w14:textId="5588A390"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B3B24">
        <w:rPr>
          <w:rFonts w:ascii="Times New Roman Bold" w:hAnsi="Times New Roman Bold"/>
          <w:b/>
          <w:caps/>
          <w:color w:val="000000" w:themeColor="text1"/>
          <w:szCs w:val="20"/>
          <w:u w:val="none"/>
        </w:rPr>
        <w:t>2</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36EAAB4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w:t>
      </w:r>
      <w:r w:rsidRPr="00F3548B">
        <w:rPr>
          <w:color w:val="000000" w:themeColor="text1"/>
        </w:rPr>
        <w:lastRenderedPageBreak/>
        <w:t>protest inadequate and non-</w:t>
      </w:r>
      <w:r w:rsidR="00E97D3D" w:rsidRPr="00F3548B">
        <w:rPr>
          <w:color w:val="000000" w:themeColor="text1"/>
        </w:rPr>
        <w:t>responsive and</w:t>
      </w:r>
      <w:r w:rsidRPr="00F3548B">
        <w:rPr>
          <w:color w:val="000000" w:themeColor="text1"/>
        </w:rPr>
        <w:t xml:space="preserve"> will result in rejection of the protest. </w:t>
      </w:r>
      <w:r w:rsidRPr="005A3E81">
        <w:rPr>
          <w:color w:val="000000" w:themeColor="text1"/>
        </w:rPr>
        <w:t xml:space="preserve">The deadline for the </w:t>
      </w:r>
      <w:r w:rsidR="00D90AEE">
        <w:rPr>
          <w:color w:val="000000" w:themeColor="text1"/>
        </w:rPr>
        <w:t>JBE</w:t>
      </w:r>
      <w:r w:rsidRPr="005A3E81">
        <w:rPr>
          <w:color w:val="000000" w:themeColor="text1"/>
        </w:rPr>
        <w:t xml:space="preserve"> to receive a solicitation specifications protest </w:t>
      </w:r>
      <w:proofErr w:type="gramStart"/>
      <w:r w:rsidRPr="005A3E81">
        <w:rPr>
          <w:color w:val="000000" w:themeColor="text1"/>
        </w:rPr>
        <w:t>is</w:t>
      </w:r>
      <w:r w:rsidR="00E45B78">
        <w:rPr>
          <w:color w:val="000000"/>
        </w:rPr>
        <w:t>:</w:t>
      </w:r>
      <w:proofErr w:type="gramEnd"/>
      <w:r w:rsidR="00E45B78">
        <w:rPr>
          <w:color w:val="000000"/>
        </w:rPr>
        <w:t xml:space="preserve"> </w:t>
      </w:r>
      <w:r w:rsidR="00E97D3D">
        <w:rPr>
          <w:color w:val="000000" w:themeColor="text1"/>
        </w:rPr>
        <w:t>Ma</w:t>
      </w:r>
      <w:r w:rsidR="00FC0BE9">
        <w:rPr>
          <w:color w:val="000000" w:themeColor="text1"/>
        </w:rPr>
        <w:t>y 7</w:t>
      </w:r>
      <w:r w:rsidR="00E97D3D">
        <w:rPr>
          <w:color w:val="000000" w:themeColor="text1"/>
        </w:rPr>
        <w:t>, 2026</w:t>
      </w:r>
      <w:r w:rsidRPr="005A3E81">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14:paraId="497A8E6A" w14:textId="77777777" w:rsidR="00053778" w:rsidRDefault="00053778" w:rsidP="00053778">
      <w:pPr>
        <w:ind w:left="720"/>
        <w:rPr>
          <w:noProof/>
          <w:color w:val="000000" w:themeColor="text1"/>
          <w:szCs w:val="20"/>
        </w:rPr>
      </w:pPr>
    </w:p>
    <w:p w14:paraId="3252CBA4" w14:textId="77777777" w:rsidR="005E6785" w:rsidRDefault="005E6785" w:rsidP="005E6785">
      <w:pPr>
        <w:ind w:left="720"/>
      </w:pPr>
      <w:r>
        <w:t>Judicial Council of California</w:t>
      </w:r>
    </w:p>
    <w:p w14:paraId="2D5B2AD8" w14:textId="77777777" w:rsidR="005E6785" w:rsidRDefault="005E6785" w:rsidP="005E6785">
      <w:pPr>
        <w:ind w:left="720"/>
      </w:pPr>
      <w:r>
        <w:t>Branch Accounting and Procurement</w:t>
      </w:r>
    </w:p>
    <w:p w14:paraId="1D877943" w14:textId="145240ED" w:rsidR="005E6785" w:rsidRDefault="005E6785" w:rsidP="005E6785">
      <w:pPr>
        <w:ind w:left="720"/>
      </w:pPr>
      <w:r>
        <w:t>ATTN: Protest Hearing Officer; RFP #</w:t>
      </w:r>
      <w:r w:rsidR="00E97D3D">
        <w:t xml:space="preserve"> CFCC-2026-02-AC</w:t>
      </w:r>
    </w:p>
    <w:p w14:paraId="7143BC2E" w14:textId="77777777" w:rsidR="005E6785" w:rsidRDefault="005E6785" w:rsidP="005E6785">
      <w:pPr>
        <w:ind w:left="720"/>
      </w:pPr>
      <w:r>
        <w:t>455 Golden Gate Avenue</w:t>
      </w:r>
    </w:p>
    <w:p w14:paraId="4E971D6E" w14:textId="77777777" w:rsidR="005E6785" w:rsidRDefault="005E6785" w:rsidP="005E6785">
      <w:pPr>
        <w:ind w:left="720"/>
      </w:pPr>
      <w:r>
        <w:t>San Francisco, CA 94103</w:t>
      </w:r>
    </w:p>
    <w:p w14:paraId="1650F462" w14:textId="77777777" w:rsidR="005E6785" w:rsidRDefault="005E6785" w:rsidP="005E6785">
      <w:pPr>
        <w:ind w:left="720"/>
      </w:pPr>
      <w:hyperlink r:id="rId13" w:history="1">
        <w:r w:rsidRPr="00D54750">
          <w:rPr>
            <w:rStyle w:val="Hyperlink"/>
            <w:noProof/>
            <w:szCs w:val="20"/>
          </w:rPr>
          <w:t>Solicitations@jud.ca.gov</w:t>
        </w:r>
      </w:hyperlink>
    </w:p>
    <w:p w14:paraId="010A6E5C" w14:textId="77777777" w:rsidR="003E565D" w:rsidRDefault="003E565D"/>
    <w:p w14:paraId="457A39BE" w14:textId="3B9B3768" w:rsidR="005B3D45" w:rsidRPr="0046465F" w:rsidRDefault="005B3D45" w:rsidP="005B3D45">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B3B24">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r>
      <w:r w:rsidR="0096438E" w:rsidRPr="0096438E">
        <w:rPr>
          <w:b/>
          <w:bCs/>
          <w:u w:val="none"/>
        </w:rPr>
        <w:t>GENERATIVE ARTIFICIAL INTELLIGENCE</w:t>
      </w:r>
    </w:p>
    <w:p w14:paraId="0592D189" w14:textId="77777777" w:rsidR="005B3D45" w:rsidRDefault="005B3D45" w:rsidP="00695AD6">
      <w:pPr>
        <w:ind w:left="720"/>
      </w:pPr>
      <w:r>
        <w:t>Definitions:</w:t>
      </w:r>
    </w:p>
    <w:p w14:paraId="5688C4F7" w14:textId="77777777" w:rsidR="0096438E" w:rsidRDefault="0096438E" w:rsidP="00695AD6">
      <w:pPr>
        <w:ind w:left="720"/>
      </w:pPr>
    </w:p>
    <w:p w14:paraId="6C7D3967" w14:textId="77777777" w:rsidR="005B3D45" w:rsidRDefault="005B3D45" w:rsidP="00695AD6">
      <w:pPr>
        <w:ind w:left="720"/>
      </w:pPr>
      <w:r>
        <w:t>“Artificial intelligence” or “AI” means technology that enables computers and machines to reason, learn, and act in a way that would typically require human intelligence.</w:t>
      </w:r>
    </w:p>
    <w:p w14:paraId="00CC2F9A" w14:textId="77777777" w:rsidR="0096438E" w:rsidRDefault="0096438E" w:rsidP="00695AD6">
      <w:pPr>
        <w:ind w:left="720"/>
      </w:pPr>
    </w:p>
    <w:p w14:paraId="1B100CF2" w14:textId="24197C8F" w:rsidR="005B3D45" w:rsidRDefault="005B3D45" w:rsidP="00695AD6">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4F43DB22" w14:textId="207E5A0B" w:rsidR="005B3D45" w:rsidRDefault="005B3D45" w:rsidP="00695AD6">
      <w:pPr>
        <w:ind w:left="720"/>
      </w:pPr>
    </w:p>
    <w:p w14:paraId="793A9485" w14:textId="4DAACEAB" w:rsidR="005B3D45" w:rsidRDefault="005B3D45" w:rsidP="00695AD6">
      <w:pPr>
        <w:spacing w:after="120"/>
        <w:ind w:left="720"/>
      </w:pPr>
      <w:r>
        <w:t>1</w:t>
      </w:r>
      <w:r w:rsidR="00E047CB">
        <w:t>4</w:t>
      </w:r>
      <w:r>
        <w:t>.1</w:t>
      </w:r>
      <w:r>
        <w:tab/>
        <w:t xml:space="preserve">In its proposal, </w:t>
      </w:r>
      <w:r w:rsidR="00D4229E">
        <w:t>P</w:t>
      </w:r>
      <w:r>
        <w:t xml:space="preserve">roposer must notify the JBE if </w:t>
      </w:r>
      <w:r w:rsidR="00D4229E">
        <w:t>P</w:t>
      </w:r>
      <w:r>
        <w:t xml:space="preserve">roposer’s goods or services contain or utilize GenAI (or will contain or utilize GenAI), or if GenAI is or will be included in any services, goods, or deliverables that materially impact: </w:t>
      </w:r>
    </w:p>
    <w:p w14:paraId="5760A51B" w14:textId="77777777" w:rsidR="005B3D45" w:rsidRDefault="005B3D45" w:rsidP="00C2470A">
      <w:pPr>
        <w:spacing w:after="120"/>
        <w:ind w:left="720" w:firstLine="720"/>
      </w:pPr>
      <w:r>
        <w:t>(a)</w:t>
      </w:r>
      <w: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roofErr w:type="gramStart"/>
      <w:r>
        <w:t>);</w:t>
      </w:r>
      <w:proofErr w:type="gramEnd"/>
    </w:p>
    <w:p w14:paraId="31AAE124" w14:textId="77777777" w:rsidR="005B3D45" w:rsidRDefault="005B3D45" w:rsidP="00C2470A">
      <w:pPr>
        <w:spacing w:after="120"/>
        <w:ind w:left="720" w:firstLine="720"/>
      </w:pPr>
      <w:r>
        <w:t>(b)</w:t>
      </w:r>
      <w: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7CB8BE8" w14:textId="341C0C1E" w:rsidR="005B3D45" w:rsidRDefault="005B3D45" w:rsidP="00C2470A">
      <w:pPr>
        <w:spacing w:after="120"/>
        <w:ind w:left="720" w:firstLine="720"/>
      </w:pPr>
      <w:r>
        <w:t>(c)</w:t>
      </w:r>
      <w:r>
        <w:tab/>
        <w:t>contract performance (i.e., when failure to conduct work which uses GenAI in accordance with the contract would constitute a material breach of contract).</w:t>
      </w:r>
    </w:p>
    <w:p w14:paraId="46C2F93B" w14:textId="74EBE6B1" w:rsidR="005B3D45" w:rsidRDefault="005B3D45" w:rsidP="00695AD6">
      <w:pPr>
        <w:spacing w:after="120"/>
        <w:ind w:left="720"/>
      </w:pPr>
      <w:r>
        <w:t>1</w:t>
      </w:r>
      <w:r w:rsidR="00E047CB">
        <w:t>4</w:t>
      </w:r>
      <w:r>
        <w:t>.2</w:t>
      </w:r>
      <w:r>
        <w:tab/>
      </w:r>
      <w:r w:rsidR="00C2470A">
        <w:t>P</w:t>
      </w:r>
      <w:r>
        <w:t xml:space="preserve">roposer’s failure to disclose GenAI to the JBE may result in disqualification (at the JBE’s sole discretion), and the JBE reserves the right to seek any and all relief it may be entitled to as a result of such non-disclosure. </w:t>
      </w:r>
    </w:p>
    <w:p w14:paraId="3B9A45F9" w14:textId="6590B42E" w:rsidR="005B3D45" w:rsidRDefault="005B3D45" w:rsidP="001872E4">
      <w:pPr>
        <w:spacing w:after="120"/>
        <w:ind w:left="720"/>
      </w:pPr>
      <w:r>
        <w:t>1</w:t>
      </w:r>
      <w:r w:rsidR="00E047CB">
        <w:t>4</w:t>
      </w:r>
      <w:r>
        <w:t>.3</w:t>
      </w:r>
      <w:r>
        <w:tab/>
        <w:t xml:space="preserve">The JBE reserves the right to incorporate GenAI-related provisions into the final contract </w:t>
      </w:r>
      <w:r w:rsidR="007478F0">
        <w:t>and</w:t>
      </w:r>
      <w:r>
        <w:t xml:space="preserve"> to reject bids/offers that present an unacceptable level of risk to the JBE, as determined by the JBE in its sole discretion.</w:t>
      </w:r>
    </w:p>
    <w:sectPr w:rsidR="005B3D45" w:rsidSect="0088206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84CB" w14:textId="77777777" w:rsidR="004538E0" w:rsidRDefault="004538E0" w:rsidP="00C37FF7">
      <w:r>
        <w:separator/>
      </w:r>
    </w:p>
  </w:endnote>
  <w:endnote w:type="continuationSeparator" w:id="0">
    <w:p w14:paraId="2FE8924B" w14:textId="77777777" w:rsidR="004538E0" w:rsidRDefault="004538E0"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76D" w14:textId="19951DD7" w:rsidR="00D64684" w:rsidRDefault="005E116B">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DB2F10">
          <w:rPr>
            <w:sz w:val="20"/>
            <w:szCs w:val="20"/>
          </w:rPr>
          <w:t>December</w:t>
        </w:r>
        <w:r w:rsidR="00DA4D2F" w:rsidRPr="00CC03F5">
          <w:rPr>
            <w:sz w:val="20"/>
            <w:szCs w:val="20"/>
          </w:rPr>
          <w:t xml:space="preserve"> 202</w:t>
        </w:r>
        <w:r w:rsidR="00DB2F10">
          <w:rPr>
            <w:sz w:val="20"/>
            <w:szCs w:val="20"/>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E42B" w14:textId="77777777" w:rsidR="004538E0" w:rsidRDefault="004538E0" w:rsidP="00C37FF7">
      <w:r>
        <w:separator/>
      </w:r>
    </w:p>
  </w:footnote>
  <w:footnote w:type="continuationSeparator" w:id="0">
    <w:p w14:paraId="6E8B04C6" w14:textId="77777777" w:rsidR="004538E0" w:rsidRDefault="004538E0"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E0A" w14:textId="2E3E3651" w:rsidR="00D64684" w:rsidRPr="00E97D3D" w:rsidRDefault="00D64684" w:rsidP="00C37FF7">
    <w:pPr>
      <w:pStyle w:val="CommentText"/>
      <w:tabs>
        <w:tab w:val="left" w:pos="1242"/>
      </w:tabs>
      <w:ind w:right="252"/>
      <w:jc w:val="both"/>
      <w:rPr>
        <w:iCs/>
      </w:rPr>
    </w:pPr>
    <w:r>
      <w:t>RFP</w:t>
    </w:r>
    <w:r w:rsidRPr="0045523B">
      <w:t xml:space="preserve"> Title: </w:t>
    </w:r>
    <w:r w:rsidR="00DE3A0F">
      <w:t>TRANSFER HEARINGS</w:t>
    </w:r>
    <w:r w:rsidR="00434706" w:rsidRPr="00434706">
      <w:rPr>
        <w:iCs/>
      </w:rPr>
      <w:t xml:space="preserve"> IN CALIFORNIA JUVENILE JUSTICE PROCEEDINGS</w:t>
    </w:r>
  </w:p>
  <w:p w14:paraId="3E3065B2" w14:textId="1BF4AD44" w:rsidR="00D64684" w:rsidRPr="00E97D3D" w:rsidRDefault="00D64684" w:rsidP="00C37FF7">
    <w:pPr>
      <w:pStyle w:val="CommentText"/>
      <w:tabs>
        <w:tab w:val="left" w:pos="1242"/>
      </w:tabs>
      <w:ind w:right="252"/>
      <w:jc w:val="both"/>
      <w:rPr>
        <w:iCs/>
        <w:sz w:val="22"/>
        <w:szCs w:val="22"/>
      </w:rPr>
    </w:pPr>
    <w:r w:rsidRPr="00E97D3D">
      <w:rPr>
        <w:iCs/>
      </w:rPr>
      <w:t xml:space="preserve">RFP Number:  </w:t>
    </w:r>
    <w:r w:rsidR="00C10DD0">
      <w:rPr>
        <w:iCs/>
      </w:rPr>
      <w:t>CFCC-2026-03-AC</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5A7"/>
    <w:multiLevelType w:val="multilevel"/>
    <w:tmpl w:val="F7CA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5431"/>
    <w:multiLevelType w:val="multilevel"/>
    <w:tmpl w:val="4612B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89F5D1B"/>
    <w:multiLevelType w:val="hybridMultilevel"/>
    <w:tmpl w:val="539AA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3564FC"/>
    <w:multiLevelType w:val="multilevel"/>
    <w:tmpl w:val="E3828E82"/>
    <w:lvl w:ilvl="0">
      <w:start w:val="2"/>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5" w15:restartNumberingAfterBreak="0">
    <w:nsid w:val="175835E0"/>
    <w:multiLevelType w:val="multilevel"/>
    <w:tmpl w:val="2E5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172C"/>
    <w:multiLevelType w:val="multilevel"/>
    <w:tmpl w:val="30A21916"/>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2702240"/>
    <w:multiLevelType w:val="hybridMultilevel"/>
    <w:tmpl w:val="EB583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29F4C23"/>
    <w:multiLevelType w:val="multilevel"/>
    <w:tmpl w:val="603A0B1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7BA12A1"/>
    <w:multiLevelType w:val="hybridMultilevel"/>
    <w:tmpl w:val="A310391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466C31"/>
    <w:multiLevelType w:val="hybridMultilevel"/>
    <w:tmpl w:val="ABFC80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201C2B"/>
    <w:multiLevelType w:val="multilevel"/>
    <w:tmpl w:val="ABD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C7BA3"/>
    <w:multiLevelType w:val="multilevel"/>
    <w:tmpl w:val="E2BAA5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1B4F78"/>
    <w:multiLevelType w:val="hybridMultilevel"/>
    <w:tmpl w:val="EAF66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1E0C0F"/>
    <w:multiLevelType w:val="multilevel"/>
    <w:tmpl w:val="A29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539A5"/>
    <w:multiLevelType w:val="multilevel"/>
    <w:tmpl w:val="6ABAF75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15:restartNumberingAfterBreak="0">
    <w:nsid w:val="5DC529E5"/>
    <w:multiLevelType w:val="multilevel"/>
    <w:tmpl w:val="C480E5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E0E7E9B"/>
    <w:multiLevelType w:val="hybridMultilevel"/>
    <w:tmpl w:val="8BA48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6" w15:restartNumberingAfterBreak="0">
    <w:nsid w:val="63557A70"/>
    <w:multiLevelType w:val="multilevel"/>
    <w:tmpl w:val="4612B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661875FE"/>
    <w:multiLevelType w:val="multilevel"/>
    <w:tmpl w:val="B39AC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3876468"/>
    <w:multiLevelType w:val="hybridMultilevel"/>
    <w:tmpl w:val="2564D6F6"/>
    <w:lvl w:ilvl="0" w:tplc="7B7A99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3F4232A"/>
    <w:multiLevelType w:val="hybridMultilevel"/>
    <w:tmpl w:val="5156C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85898451">
    <w:abstractNumId w:val="27"/>
  </w:num>
  <w:num w:numId="2" w16cid:durableId="736250642">
    <w:abstractNumId w:val="17"/>
  </w:num>
  <w:num w:numId="3" w16cid:durableId="752899459">
    <w:abstractNumId w:val="16"/>
  </w:num>
  <w:num w:numId="4" w16cid:durableId="1654874634">
    <w:abstractNumId w:val="22"/>
  </w:num>
  <w:num w:numId="5" w16cid:durableId="1276790900">
    <w:abstractNumId w:val="2"/>
  </w:num>
  <w:num w:numId="6" w16cid:durableId="1612084002">
    <w:abstractNumId w:val="25"/>
  </w:num>
  <w:num w:numId="7" w16cid:durableId="1336806458">
    <w:abstractNumId w:val="12"/>
  </w:num>
  <w:num w:numId="8" w16cid:durableId="1365592808">
    <w:abstractNumId w:val="7"/>
  </w:num>
  <w:num w:numId="9" w16cid:durableId="449209637">
    <w:abstractNumId w:val="8"/>
  </w:num>
  <w:num w:numId="10" w16cid:durableId="34307149">
    <w:abstractNumId w:val="18"/>
  </w:num>
  <w:num w:numId="11" w16cid:durableId="61828908">
    <w:abstractNumId w:val="15"/>
  </w:num>
  <w:num w:numId="12" w16cid:durableId="1406798942">
    <w:abstractNumId w:val="23"/>
  </w:num>
  <w:num w:numId="13" w16cid:durableId="1781756950">
    <w:abstractNumId w:val="0"/>
  </w:num>
  <w:num w:numId="14" w16cid:durableId="1440569705">
    <w:abstractNumId w:val="20"/>
  </w:num>
  <w:num w:numId="15" w16cid:durableId="358900149">
    <w:abstractNumId w:val="28"/>
  </w:num>
  <w:num w:numId="16" w16cid:durableId="1731072545">
    <w:abstractNumId w:val="5"/>
  </w:num>
  <w:num w:numId="17" w16cid:durableId="649212979">
    <w:abstractNumId w:val="14"/>
  </w:num>
  <w:num w:numId="18" w16cid:durableId="980765162">
    <w:abstractNumId w:val="24"/>
  </w:num>
  <w:num w:numId="19" w16cid:durableId="1030763637">
    <w:abstractNumId w:val="4"/>
  </w:num>
  <w:num w:numId="20" w16cid:durableId="1255364619">
    <w:abstractNumId w:val="10"/>
  </w:num>
  <w:num w:numId="21" w16cid:durableId="2012760614">
    <w:abstractNumId w:val="21"/>
  </w:num>
  <w:num w:numId="22" w16cid:durableId="1215383966">
    <w:abstractNumId w:val="30"/>
  </w:num>
  <w:num w:numId="23" w16cid:durableId="578368438">
    <w:abstractNumId w:val="3"/>
  </w:num>
  <w:num w:numId="24" w16cid:durableId="1987928591">
    <w:abstractNumId w:val="26"/>
  </w:num>
  <w:num w:numId="25" w16cid:durableId="834221302">
    <w:abstractNumId w:val="1"/>
  </w:num>
  <w:num w:numId="26" w16cid:durableId="1862932629">
    <w:abstractNumId w:val="6"/>
  </w:num>
  <w:num w:numId="27" w16cid:durableId="118259347">
    <w:abstractNumId w:val="9"/>
  </w:num>
  <w:num w:numId="28" w16cid:durableId="1249848187">
    <w:abstractNumId w:val="11"/>
  </w:num>
  <w:num w:numId="29" w16cid:durableId="1846364563">
    <w:abstractNumId w:val="19"/>
  </w:num>
  <w:num w:numId="30" w16cid:durableId="1744990431">
    <w:abstractNumId w:val="29"/>
  </w:num>
  <w:num w:numId="31" w16cid:durableId="1990666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0813"/>
    <w:rsid w:val="0000270A"/>
    <w:rsid w:val="0000665B"/>
    <w:rsid w:val="0000799E"/>
    <w:rsid w:val="0001245C"/>
    <w:rsid w:val="00015018"/>
    <w:rsid w:val="000161FF"/>
    <w:rsid w:val="00020D77"/>
    <w:rsid w:val="00020D7D"/>
    <w:rsid w:val="0002163C"/>
    <w:rsid w:val="00022722"/>
    <w:rsid w:val="0002344F"/>
    <w:rsid w:val="00023B38"/>
    <w:rsid w:val="00033354"/>
    <w:rsid w:val="000337F3"/>
    <w:rsid w:val="00033C8F"/>
    <w:rsid w:val="000356BE"/>
    <w:rsid w:val="00053778"/>
    <w:rsid w:val="00055473"/>
    <w:rsid w:val="00055FFA"/>
    <w:rsid w:val="0005710A"/>
    <w:rsid w:val="00061655"/>
    <w:rsid w:val="00070FCA"/>
    <w:rsid w:val="00072187"/>
    <w:rsid w:val="00076B8C"/>
    <w:rsid w:val="00080391"/>
    <w:rsid w:val="00082230"/>
    <w:rsid w:val="000906D4"/>
    <w:rsid w:val="000934C7"/>
    <w:rsid w:val="000969C7"/>
    <w:rsid w:val="000A0D65"/>
    <w:rsid w:val="000A460F"/>
    <w:rsid w:val="000A65C5"/>
    <w:rsid w:val="000B0813"/>
    <w:rsid w:val="000B3764"/>
    <w:rsid w:val="000B4E66"/>
    <w:rsid w:val="000B50F0"/>
    <w:rsid w:val="000B785B"/>
    <w:rsid w:val="000C762C"/>
    <w:rsid w:val="000D43CC"/>
    <w:rsid w:val="000D4C75"/>
    <w:rsid w:val="000D5FD6"/>
    <w:rsid w:val="000E12DC"/>
    <w:rsid w:val="000E14BB"/>
    <w:rsid w:val="000E1C68"/>
    <w:rsid w:val="000F01FB"/>
    <w:rsid w:val="000F0E2D"/>
    <w:rsid w:val="000F3475"/>
    <w:rsid w:val="000F7573"/>
    <w:rsid w:val="000F7DC9"/>
    <w:rsid w:val="001014FA"/>
    <w:rsid w:val="00101C48"/>
    <w:rsid w:val="001058F3"/>
    <w:rsid w:val="00105F4B"/>
    <w:rsid w:val="00112473"/>
    <w:rsid w:val="00115B26"/>
    <w:rsid w:val="00124B79"/>
    <w:rsid w:val="0012621F"/>
    <w:rsid w:val="001303B1"/>
    <w:rsid w:val="00133F5A"/>
    <w:rsid w:val="00142C87"/>
    <w:rsid w:val="00143D24"/>
    <w:rsid w:val="00146861"/>
    <w:rsid w:val="00150F94"/>
    <w:rsid w:val="00151BA9"/>
    <w:rsid w:val="0015412F"/>
    <w:rsid w:val="001564A5"/>
    <w:rsid w:val="00156F50"/>
    <w:rsid w:val="00157C69"/>
    <w:rsid w:val="00165681"/>
    <w:rsid w:val="00166197"/>
    <w:rsid w:val="00170DC4"/>
    <w:rsid w:val="001723DB"/>
    <w:rsid w:val="00172909"/>
    <w:rsid w:val="00173CFE"/>
    <w:rsid w:val="00180B58"/>
    <w:rsid w:val="00181FDA"/>
    <w:rsid w:val="001872E4"/>
    <w:rsid w:val="001909EA"/>
    <w:rsid w:val="001930AD"/>
    <w:rsid w:val="001A3573"/>
    <w:rsid w:val="001A5231"/>
    <w:rsid w:val="001A5470"/>
    <w:rsid w:val="001A6325"/>
    <w:rsid w:val="001B1BCC"/>
    <w:rsid w:val="001B29F7"/>
    <w:rsid w:val="001B322A"/>
    <w:rsid w:val="001C3700"/>
    <w:rsid w:val="001C7E94"/>
    <w:rsid w:val="001E612A"/>
    <w:rsid w:val="0020192C"/>
    <w:rsid w:val="00201D27"/>
    <w:rsid w:val="00204B2E"/>
    <w:rsid w:val="00206210"/>
    <w:rsid w:val="002102F5"/>
    <w:rsid w:val="002128E8"/>
    <w:rsid w:val="002152D1"/>
    <w:rsid w:val="00215649"/>
    <w:rsid w:val="00216A46"/>
    <w:rsid w:val="00225BDB"/>
    <w:rsid w:val="00227F66"/>
    <w:rsid w:val="00233D32"/>
    <w:rsid w:val="002442EC"/>
    <w:rsid w:val="00246470"/>
    <w:rsid w:val="00251CC8"/>
    <w:rsid w:val="00253633"/>
    <w:rsid w:val="00253E0F"/>
    <w:rsid w:val="00254CFA"/>
    <w:rsid w:val="00257115"/>
    <w:rsid w:val="002622C4"/>
    <w:rsid w:val="00262320"/>
    <w:rsid w:val="00263333"/>
    <w:rsid w:val="002665AF"/>
    <w:rsid w:val="00270BEB"/>
    <w:rsid w:val="0027498F"/>
    <w:rsid w:val="0028452D"/>
    <w:rsid w:val="00285A84"/>
    <w:rsid w:val="00285ABB"/>
    <w:rsid w:val="00292053"/>
    <w:rsid w:val="0029244E"/>
    <w:rsid w:val="002B442F"/>
    <w:rsid w:val="002B4E15"/>
    <w:rsid w:val="002B6580"/>
    <w:rsid w:val="002B74D7"/>
    <w:rsid w:val="002C1174"/>
    <w:rsid w:val="002C2147"/>
    <w:rsid w:val="002C3530"/>
    <w:rsid w:val="002C64BD"/>
    <w:rsid w:val="002C658D"/>
    <w:rsid w:val="002D029E"/>
    <w:rsid w:val="002D07F1"/>
    <w:rsid w:val="002D250B"/>
    <w:rsid w:val="002E1259"/>
    <w:rsid w:val="002E543F"/>
    <w:rsid w:val="002E7965"/>
    <w:rsid w:val="002F2858"/>
    <w:rsid w:val="003020A2"/>
    <w:rsid w:val="00310D15"/>
    <w:rsid w:val="0031272D"/>
    <w:rsid w:val="0032125D"/>
    <w:rsid w:val="00327099"/>
    <w:rsid w:val="0032785B"/>
    <w:rsid w:val="00332EB5"/>
    <w:rsid w:val="00333A7A"/>
    <w:rsid w:val="003364C3"/>
    <w:rsid w:val="00336ABC"/>
    <w:rsid w:val="00340312"/>
    <w:rsid w:val="003470D0"/>
    <w:rsid w:val="003547B9"/>
    <w:rsid w:val="00361145"/>
    <w:rsid w:val="0036121D"/>
    <w:rsid w:val="003670B6"/>
    <w:rsid w:val="00370461"/>
    <w:rsid w:val="00370DE4"/>
    <w:rsid w:val="0038573B"/>
    <w:rsid w:val="00386F11"/>
    <w:rsid w:val="00395B94"/>
    <w:rsid w:val="00396103"/>
    <w:rsid w:val="003A08AD"/>
    <w:rsid w:val="003A0DC4"/>
    <w:rsid w:val="003A35AB"/>
    <w:rsid w:val="003A4D99"/>
    <w:rsid w:val="003A50E1"/>
    <w:rsid w:val="003C0954"/>
    <w:rsid w:val="003C134A"/>
    <w:rsid w:val="003C14B3"/>
    <w:rsid w:val="003C249E"/>
    <w:rsid w:val="003D2B62"/>
    <w:rsid w:val="003D5784"/>
    <w:rsid w:val="003E03E6"/>
    <w:rsid w:val="003E328A"/>
    <w:rsid w:val="003E46FF"/>
    <w:rsid w:val="003E4B31"/>
    <w:rsid w:val="003E4DD6"/>
    <w:rsid w:val="003E5035"/>
    <w:rsid w:val="003E565D"/>
    <w:rsid w:val="003F558A"/>
    <w:rsid w:val="004006B7"/>
    <w:rsid w:val="00400CA2"/>
    <w:rsid w:val="00401F22"/>
    <w:rsid w:val="00404AA9"/>
    <w:rsid w:val="004054EB"/>
    <w:rsid w:val="00406806"/>
    <w:rsid w:val="00407A6E"/>
    <w:rsid w:val="00411477"/>
    <w:rsid w:val="00415DEC"/>
    <w:rsid w:val="0042164A"/>
    <w:rsid w:val="00423E76"/>
    <w:rsid w:val="004274D0"/>
    <w:rsid w:val="00433D3C"/>
    <w:rsid w:val="00434706"/>
    <w:rsid w:val="00434F85"/>
    <w:rsid w:val="00435925"/>
    <w:rsid w:val="00435D70"/>
    <w:rsid w:val="0044047E"/>
    <w:rsid w:val="00440F3D"/>
    <w:rsid w:val="004425FB"/>
    <w:rsid w:val="00444491"/>
    <w:rsid w:val="00447B71"/>
    <w:rsid w:val="004538E0"/>
    <w:rsid w:val="00453ADC"/>
    <w:rsid w:val="00455358"/>
    <w:rsid w:val="00461EA2"/>
    <w:rsid w:val="00462BB6"/>
    <w:rsid w:val="00463019"/>
    <w:rsid w:val="00465012"/>
    <w:rsid w:val="0046755B"/>
    <w:rsid w:val="00467723"/>
    <w:rsid w:val="00467E8B"/>
    <w:rsid w:val="00473D2E"/>
    <w:rsid w:val="004812BB"/>
    <w:rsid w:val="00487A49"/>
    <w:rsid w:val="00494EC2"/>
    <w:rsid w:val="004A337A"/>
    <w:rsid w:val="004A5091"/>
    <w:rsid w:val="004B34C5"/>
    <w:rsid w:val="004B38F7"/>
    <w:rsid w:val="004D058C"/>
    <w:rsid w:val="004D3DF8"/>
    <w:rsid w:val="004E1EF9"/>
    <w:rsid w:val="004E669D"/>
    <w:rsid w:val="004E7971"/>
    <w:rsid w:val="004F132A"/>
    <w:rsid w:val="004F1D48"/>
    <w:rsid w:val="004F3CD3"/>
    <w:rsid w:val="004F4B27"/>
    <w:rsid w:val="004F4E91"/>
    <w:rsid w:val="00501FBB"/>
    <w:rsid w:val="00501FF0"/>
    <w:rsid w:val="005024A5"/>
    <w:rsid w:val="00510171"/>
    <w:rsid w:val="00522B52"/>
    <w:rsid w:val="00523483"/>
    <w:rsid w:val="005238E0"/>
    <w:rsid w:val="00527B78"/>
    <w:rsid w:val="00532899"/>
    <w:rsid w:val="00533BA4"/>
    <w:rsid w:val="00543187"/>
    <w:rsid w:val="005433CD"/>
    <w:rsid w:val="00551D67"/>
    <w:rsid w:val="00553CD2"/>
    <w:rsid w:val="00561709"/>
    <w:rsid w:val="00563185"/>
    <w:rsid w:val="00567CFE"/>
    <w:rsid w:val="00570E80"/>
    <w:rsid w:val="0057317D"/>
    <w:rsid w:val="00574253"/>
    <w:rsid w:val="0058066B"/>
    <w:rsid w:val="00591C14"/>
    <w:rsid w:val="005946B6"/>
    <w:rsid w:val="00595811"/>
    <w:rsid w:val="00595822"/>
    <w:rsid w:val="00597C4A"/>
    <w:rsid w:val="005A6551"/>
    <w:rsid w:val="005B04DF"/>
    <w:rsid w:val="005B307F"/>
    <w:rsid w:val="005B3A9D"/>
    <w:rsid w:val="005B3D45"/>
    <w:rsid w:val="005C4392"/>
    <w:rsid w:val="005D4F27"/>
    <w:rsid w:val="005E116B"/>
    <w:rsid w:val="005E4C47"/>
    <w:rsid w:val="005E6785"/>
    <w:rsid w:val="005F3B1C"/>
    <w:rsid w:val="005F3F8D"/>
    <w:rsid w:val="005F45DE"/>
    <w:rsid w:val="005F597D"/>
    <w:rsid w:val="005F5C25"/>
    <w:rsid w:val="005F6A6F"/>
    <w:rsid w:val="005F6E88"/>
    <w:rsid w:val="005F78F6"/>
    <w:rsid w:val="00600695"/>
    <w:rsid w:val="00603463"/>
    <w:rsid w:val="00604B33"/>
    <w:rsid w:val="00604DDB"/>
    <w:rsid w:val="00605587"/>
    <w:rsid w:val="006072F4"/>
    <w:rsid w:val="00607599"/>
    <w:rsid w:val="00611C76"/>
    <w:rsid w:val="00613C9D"/>
    <w:rsid w:val="00624AEA"/>
    <w:rsid w:val="00625DD5"/>
    <w:rsid w:val="00626B27"/>
    <w:rsid w:val="00636A18"/>
    <w:rsid w:val="00640DD7"/>
    <w:rsid w:val="00646261"/>
    <w:rsid w:val="00646A0E"/>
    <w:rsid w:val="00652F20"/>
    <w:rsid w:val="006537F3"/>
    <w:rsid w:val="006562BF"/>
    <w:rsid w:val="00656FCE"/>
    <w:rsid w:val="00662A31"/>
    <w:rsid w:val="00666670"/>
    <w:rsid w:val="00675C38"/>
    <w:rsid w:val="006822FA"/>
    <w:rsid w:val="0068288F"/>
    <w:rsid w:val="00685FB8"/>
    <w:rsid w:val="00695AD6"/>
    <w:rsid w:val="006970D7"/>
    <w:rsid w:val="006B4C0E"/>
    <w:rsid w:val="006B572B"/>
    <w:rsid w:val="006B58BD"/>
    <w:rsid w:val="006C1D3B"/>
    <w:rsid w:val="006C384C"/>
    <w:rsid w:val="006C7858"/>
    <w:rsid w:val="006D02BE"/>
    <w:rsid w:val="006D0EE2"/>
    <w:rsid w:val="006D2A8E"/>
    <w:rsid w:val="006D377D"/>
    <w:rsid w:val="006D3F56"/>
    <w:rsid w:val="006D6F0B"/>
    <w:rsid w:val="006D7392"/>
    <w:rsid w:val="006E1F73"/>
    <w:rsid w:val="006E24D0"/>
    <w:rsid w:val="006E3D84"/>
    <w:rsid w:val="006E5308"/>
    <w:rsid w:val="006F0B7C"/>
    <w:rsid w:val="006F1965"/>
    <w:rsid w:val="006F23DC"/>
    <w:rsid w:val="006F25CF"/>
    <w:rsid w:val="006F675A"/>
    <w:rsid w:val="006F6D6E"/>
    <w:rsid w:val="00710A92"/>
    <w:rsid w:val="007134E7"/>
    <w:rsid w:val="00713CE6"/>
    <w:rsid w:val="00714E99"/>
    <w:rsid w:val="00721EA4"/>
    <w:rsid w:val="00735607"/>
    <w:rsid w:val="00735F39"/>
    <w:rsid w:val="00736338"/>
    <w:rsid w:val="00746D46"/>
    <w:rsid w:val="007478F0"/>
    <w:rsid w:val="0075335D"/>
    <w:rsid w:val="00753F60"/>
    <w:rsid w:val="00755DAB"/>
    <w:rsid w:val="0076361E"/>
    <w:rsid w:val="00774402"/>
    <w:rsid w:val="00776870"/>
    <w:rsid w:val="00776957"/>
    <w:rsid w:val="00780524"/>
    <w:rsid w:val="00782800"/>
    <w:rsid w:val="007836AA"/>
    <w:rsid w:val="0079147A"/>
    <w:rsid w:val="007A0851"/>
    <w:rsid w:val="007A3F95"/>
    <w:rsid w:val="007A7C95"/>
    <w:rsid w:val="007B0E96"/>
    <w:rsid w:val="007B6407"/>
    <w:rsid w:val="007B7AC8"/>
    <w:rsid w:val="007C1E66"/>
    <w:rsid w:val="007C2F5C"/>
    <w:rsid w:val="007C41DF"/>
    <w:rsid w:val="007C4712"/>
    <w:rsid w:val="007C66A1"/>
    <w:rsid w:val="007C758C"/>
    <w:rsid w:val="007D71AD"/>
    <w:rsid w:val="007F1535"/>
    <w:rsid w:val="008006F3"/>
    <w:rsid w:val="0080611E"/>
    <w:rsid w:val="00806692"/>
    <w:rsid w:val="00825BC4"/>
    <w:rsid w:val="008271A5"/>
    <w:rsid w:val="0083573C"/>
    <w:rsid w:val="00843E41"/>
    <w:rsid w:val="0084586E"/>
    <w:rsid w:val="008465EC"/>
    <w:rsid w:val="0084709B"/>
    <w:rsid w:val="0085184A"/>
    <w:rsid w:val="00853AFD"/>
    <w:rsid w:val="008621A8"/>
    <w:rsid w:val="00872FD3"/>
    <w:rsid w:val="0088206E"/>
    <w:rsid w:val="00885A31"/>
    <w:rsid w:val="00893C52"/>
    <w:rsid w:val="00897282"/>
    <w:rsid w:val="008B329A"/>
    <w:rsid w:val="008B3420"/>
    <w:rsid w:val="008B3C01"/>
    <w:rsid w:val="008B50E8"/>
    <w:rsid w:val="008B70B1"/>
    <w:rsid w:val="008C632C"/>
    <w:rsid w:val="008C6812"/>
    <w:rsid w:val="008D0654"/>
    <w:rsid w:val="008D34C9"/>
    <w:rsid w:val="008D5785"/>
    <w:rsid w:val="008D6669"/>
    <w:rsid w:val="008D66F3"/>
    <w:rsid w:val="008E1FB8"/>
    <w:rsid w:val="008E51CF"/>
    <w:rsid w:val="008F77EE"/>
    <w:rsid w:val="00901687"/>
    <w:rsid w:val="0090247B"/>
    <w:rsid w:val="00902769"/>
    <w:rsid w:val="009046AF"/>
    <w:rsid w:val="00912D58"/>
    <w:rsid w:val="0091430C"/>
    <w:rsid w:val="00914A4E"/>
    <w:rsid w:val="009211B9"/>
    <w:rsid w:val="009217AC"/>
    <w:rsid w:val="00923600"/>
    <w:rsid w:val="00926232"/>
    <w:rsid w:val="00945B36"/>
    <w:rsid w:val="009515E1"/>
    <w:rsid w:val="00953E60"/>
    <w:rsid w:val="00963618"/>
    <w:rsid w:val="0096438E"/>
    <w:rsid w:val="0096469F"/>
    <w:rsid w:val="00967812"/>
    <w:rsid w:val="00967E54"/>
    <w:rsid w:val="00982BD0"/>
    <w:rsid w:val="00982D65"/>
    <w:rsid w:val="00984773"/>
    <w:rsid w:val="00991714"/>
    <w:rsid w:val="009A358D"/>
    <w:rsid w:val="009A6648"/>
    <w:rsid w:val="009B6106"/>
    <w:rsid w:val="009B7587"/>
    <w:rsid w:val="009C0996"/>
    <w:rsid w:val="009C231E"/>
    <w:rsid w:val="009C2554"/>
    <w:rsid w:val="009C38A6"/>
    <w:rsid w:val="009C3E25"/>
    <w:rsid w:val="009D1489"/>
    <w:rsid w:val="009E6B6B"/>
    <w:rsid w:val="009E7601"/>
    <w:rsid w:val="009F75F0"/>
    <w:rsid w:val="00A00C4E"/>
    <w:rsid w:val="00A00E22"/>
    <w:rsid w:val="00A112AE"/>
    <w:rsid w:val="00A14DCA"/>
    <w:rsid w:val="00A223E1"/>
    <w:rsid w:val="00A24A03"/>
    <w:rsid w:val="00A42DC6"/>
    <w:rsid w:val="00A46301"/>
    <w:rsid w:val="00A50B42"/>
    <w:rsid w:val="00A51D57"/>
    <w:rsid w:val="00A55A9B"/>
    <w:rsid w:val="00A56B4B"/>
    <w:rsid w:val="00A60FB3"/>
    <w:rsid w:val="00A61E6E"/>
    <w:rsid w:val="00A662B2"/>
    <w:rsid w:val="00A66B5A"/>
    <w:rsid w:val="00A711B5"/>
    <w:rsid w:val="00A712BA"/>
    <w:rsid w:val="00A74DB8"/>
    <w:rsid w:val="00A75E52"/>
    <w:rsid w:val="00A84AF4"/>
    <w:rsid w:val="00A85B69"/>
    <w:rsid w:val="00A939FC"/>
    <w:rsid w:val="00A9408B"/>
    <w:rsid w:val="00A942A5"/>
    <w:rsid w:val="00A97C18"/>
    <w:rsid w:val="00AA07A8"/>
    <w:rsid w:val="00AA5216"/>
    <w:rsid w:val="00AA7232"/>
    <w:rsid w:val="00AB2FC2"/>
    <w:rsid w:val="00AB3B24"/>
    <w:rsid w:val="00AB3DBD"/>
    <w:rsid w:val="00AB5BA4"/>
    <w:rsid w:val="00AC2E27"/>
    <w:rsid w:val="00AC44D4"/>
    <w:rsid w:val="00AC606D"/>
    <w:rsid w:val="00AD59DB"/>
    <w:rsid w:val="00B01542"/>
    <w:rsid w:val="00B02C46"/>
    <w:rsid w:val="00B1049E"/>
    <w:rsid w:val="00B13FC1"/>
    <w:rsid w:val="00B1582E"/>
    <w:rsid w:val="00B23242"/>
    <w:rsid w:val="00B250EF"/>
    <w:rsid w:val="00B307D6"/>
    <w:rsid w:val="00B3557C"/>
    <w:rsid w:val="00B36739"/>
    <w:rsid w:val="00B41390"/>
    <w:rsid w:val="00B41ED2"/>
    <w:rsid w:val="00B4435C"/>
    <w:rsid w:val="00B45A81"/>
    <w:rsid w:val="00B50D6A"/>
    <w:rsid w:val="00B56734"/>
    <w:rsid w:val="00B60F34"/>
    <w:rsid w:val="00B6606B"/>
    <w:rsid w:val="00B71151"/>
    <w:rsid w:val="00B8213C"/>
    <w:rsid w:val="00B87E50"/>
    <w:rsid w:val="00B90602"/>
    <w:rsid w:val="00B924C4"/>
    <w:rsid w:val="00B941BC"/>
    <w:rsid w:val="00B94738"/>
    <w:rsid w:val="00B96B3B"/>
    <w:rsid w:val="00B96E31"/>
    <w:rsid w:val="00B9737E"/>
    <w:rsid w:val="00BB0779"/>
    <w:rsid w:val="00BB168D"/>
    <w:rsid w:val="00BB1D15"/>
    <w:rsid w:val="00BB2FB0"/>
    <w:rsid w:val="00BC021F"/>
    <w:rsid w:val="00BC0836"/>
    <w:rsid w:val="00BC12B8"/>
    <w:rsid w:val="00BC4DB9"/>
    <w:rsid w:val="00BD0D2D"/>
    <w:rsid w:val="00BD3DD2"/>
    <w:rsid w:val="00BD65B9"/>
    <w:rsid w:val="00BE006D"/>
    <w:rsid w:val="00BE1290"/>
    <w:rsid w:val="00BE38D2"/>
    <w:rsid w:val="00BE4B56"/>
    <w:rsid w:val="00BE6A61"/>
    <w:rsid w:val="00BF1ABC"/>
    <w:rsid w:val="00BF3CA4"/>
    <w:rsid w:val="00C00178"/>
    <w:rsid w:val="00C02295"/>
    <w:rsid w:val="00C041EE"/>
    <w:rsid w:val="00C0583A"/>
    <w:rsid w:val="00C059BC"/>
    <w:rsid w:val="00C068DE"/>
    <w:rsid w:val="00C06C40"/>
    <w:rsid w:val="00C10DD0"/>
    <w:rsid w:val="00C1311D"/>
    <w:rsid w:val="00C14579"/>
    <w:rsid w:val="00C20845"/>
    <w:rsid w:val="00C21422"/>
    <w:rsid w:val="00C218AF"/>
    <w:rsid w:val="00C2205E"/>
    <w:rsid w:val="00C2470A"/>
    <w:rsid w:val="00C32115"/>
    <w:rsid w:val="00C3337E"/>
    <w:rsid w:val="00C37F07"/>
    <w:rsid w:val="00C37FF7"/>
    <w:rsid w:val="00C44EF6"/>
    <w:rsid w:val="00C52D6C"/>
    <w:rsid w:val="00C6047D"/>
    <w:rsid w:val="00C662D1"/>
    <w:rsid w:val="00C72314"/>
    <w:rsid w:val="00C738C0"/>
    <w:rsid w:val="00C83218"/>
    <w:rsid w:val="00C86045"/>
    <w:rsid w:val="00CA1F9E"/>
    <w:rsid w:val="00CA20DC"/>
    <w:rsid w:val="00CA2CD7"/>
    <w:rsid w:val="00CA6804"/>
    <w:rsid w:val="00CA7FAD"/>
    <w:rsid w:val="00CB4253"/>
    <w:rsid w:val="00CB7CC7"/>
    <w:rsid w:val="00CC03F5"/>
    <w:rsid w:val="00CD70BB"/>
    <w:rsid w:val="00CE0F48"/>
    <w:rsid w:val="00CF1B9B"/>
    <w:rsid w:val="00CF63BB"/>
    <w:rsid w:val="00CF6927"/>
    <w:rsid w:val="00CF70E4"/>
    <w:rsid w:val="00D00558"/>
    <w:rsid w:val="00D031D8"/>
    <w:rsid w:val="00D037F1"/>
    <w:rsid w:val="00D1041F"/>
    <w:rsid w:val="00D165D7"/>
    <w:rsid w:val="00D206AF"/>
    <w:rsid w:val="00D211AE"/>
    <w:rsid w:val="00D22A15"/>
    <w:rsid w:val="00D23D1E"/>
    <w:rsid w:val="00D26FE1"/>
    <w:rsid w:val="00D27FF6"/>
    <w:rsid w:val="00D40E93"/>
    <w:rsid w:val="00D41198"/>
    <w:rsid w:val="00D4229E"/>
    <w:rsid w:val="00D42C1D"/>
    <w:rsid w:val="00D442C5"/>
    <w:rsid w:val="00D44364"/>
    <w:rsid w:val="00D4710E"/>
    <w:rsid w:val="00D47386"/>
    <w:rsid w:val="00D523F5"/>
    <w:rsid w:val="00D5283A"/>
    <w:rsid w:val="00D64684"/>
    <w:rsid w:val="00D713FD"/>
    <w:rsid w:val="00D7152A"/>
    <w:rsid w:val="00D73B09"/>
    <w:rsid w:val="00D7465C"/>
    <w:rsid w:val="00D83024"/>
    <w:rsid w:val="00D90AEE"/>
    <w:rsid w:val="00DA4D2F"/>
    <w:rsid w:val="00DA4DF7"/>
    <w:rsid w:val="00DB2F10"/>
    <w:rsid w:val="00DB5A82"/>
    <w:rsid w:val="00DC1CA6"/>
    <w:rsid w:val="00DC3576"/>
    <w:rsid w:val="00DD2A30"/>
    <w:rsid w:val="00DE32AE"/>
    <w:rsid w:val="00DE3A0F"/>
    <w:rsid w:val="00DE43B0"/>
    <w:rsid w:val="00DE5550"/>
    <w:rsid w:val="00DE59AC"/>
    <w:rsid w:val="00DE6EF8"/>
    <w:rsid w:val="00E00E57"/>
    <w:rsid w:val="00E01102"/>
    <w:rsid w:val="00E03DB7"/>
    <w:rsid w:val="00E03EA9"/>
    <w:rsid w:val="00E03F2E"/>
    <w:rsid w:val="00E047CB"/>
    <w:rsid w:val="00E111B3"/>
    <w:rsid w:val="00E20BEF"/>
    <w:rsid w:val="00E32ECA"/>
    <w:rsid w:val="00E36F97"/>
    <w:rsid w:val="00E400E3"/>
    <w:rsid w:val="00E43EB3"/>
    <w:rsid w:val="00E45B78"/>
    <w:rsid w:val="00E505F8"/>
    <w:rsid w:val="00E67F10"/>
    <w:rsid w:val="00E72BA3"/>
    <w:rsid w:val="00E7797E"/>
    <w:rsid w:val="00E82A5E"/>
    <w:rsid w:val="00E9309A"/>
    <w:rsid w:val="00E932F5"/>
    <w:rsid w:val="00E97D3D"/>
    <w:rsid w:val="00EA31A4"/>
    <w:rsid w:val="00EA391E"/>
    <w:rsid w:val="00EA3F14"/>
    <w:rsid w:val="00EA47DE"/>
    <w:rsid w:val="00EB25B5"/>
    <w:rsid w:val="00EB5FDE"/>
    <w:rsid w:val="00EB68AF"/>
    <w:rsid w:val="00EB713B"/>
    <w:rsid w:val="00EB71B1"/>
    <w:rsid w:val="00EB71C1"/>
    <w:rsid w:val="00EC3823"/>
    <w:rsid w:val="00EC4775"/>
    <w:rsid w:val="00EC7714"/>
    <w:rsid w:val="00ED43D7"/>
    <w:rsid w:val="00EE290D"/>
    <w:rsid w:val="00EE3741"/>
    <w:rsid w:val="00EE4622"/>
    <w:rsid w:val="00EF094D"/>
    <w:rsid w:val="00EF3144"/>
    <w:rsid w:val="00F0059D"/>
    <w:rsid w:val="00F01EE5"/>
    <w:rsid w:val="00F3212A"/>
    <w:rsid w:val="00F3217D"/>
    <w:rsid w:val="00F34996"/>
    <w:rsid w:val="00F40B4D"/>
    <w:rsid w:val="00F41BB8"/>
    <w:rsid w:val="00F521AC"/>
    <w:rsid w:val="00F562E5"/>
    <w:rsid w:val="00F579B1"/>
    <w:rsid w:val="00F60857"/>
    <w:rsid w:val="00F632B7"/>
    <w:rsid w:val="00F65BE5"/>
    <w:rsid w:val="00F73B08"/>
    <w:rsid w:val="00F74DD6"/>
    <w:rsid w:val="00F75EAD"/>
    <w:rsid w:val="00F85DDD"/>
    <w:rsid w:val="00F92FB2"/>
    <w:rsid w:val="00F93238"/>
    <w:rsid w:val="00F94B7B"/>
    <w:rsid w:val="00F95CBF"/>
    <w:rsid w:val="00FA386C"/>
    <w:rsid w:val="00FA6747"/>
    <w:rsid w:val="00FB74DF"/>
    <w:rsid w:val="00FC0BE9"/>
    <w:rsid w:val="00FC1ABD"/>
    <w:rsid w:val="00FC499A"/>
    <w:rsid w:val="00FC4A81"/>
    <w:rsid w:val="00FD359B"/>
    <w:rsid w:val="00FD3DAD"/>
    <w:rsid w:val="00FD40A0"/>
    <w:rsid w:val="00FE1278"/>
    <w:rsid w:val="00FE56A9"/>
    <w:rsid w:val="00FE5E36"/>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15:docId w15:val="{11D38F21-1F10-486D-87DE-8B57475E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E97D3D"/>
    <w:rPr>
      <w:color w:val="605E5C"/>
      <w:shd w:val="clear" w:color="auto" w:fill="E1DFDD"/>
    </w:rPr>
  </w:style>
  <w:style w:type="paragraph" w:customStyle="1" w:styleId="Default">
    <w:name w:val="Default"/>
    <w:rsid w:val="00666670"/>
    <w:pPr>
      <w:autoSpaceDE w:val="0"/>
      <w:autoSpaceDN w:val="0"/>
      <w:adjustRightInd w:val="0"/>
      <w:spacing w:line="240" w:lineRule="auto"/>
    </w:pPr>
    <w:rPr>
      <w:rFonts w:ascii="Times New Roman" w:hAnsi="Times New Roman"/>
      <w:color w:val="000000"/>
      <w:lang w:bidi="ar-SA"/>
    </w:rPr>
  </w:style>
  <w:style w:type="paragraph" w:styleId="BodyText3">
    <w:name w:val="Body Text 3"/>
    <w:basedOn w:val="Normal"/>
    <w:link w:val="BodyText3Char"/>
    <w:semiHidden/>
    <w:unhideWhenUsed/>
    <w:rsid w:val="00666670"/>
    <w:pPr>
      <w:spacing w:after="120"/>
    </w:pPr>
    <w:rPr>
      <w:sz w:val="16"/>
      <w:szCs w:val="16"/>
    </w:rPr>
  </w:style>
  <w:style w:type="character" w:customStyle="1" w:styleId="BodyText3Char">
    <w:name w:val="Body Text 3 Char"/>
    <w:basedOn w:val="DefaultParagraphFont"/>
    <w:link w:val="BodyText3"/>
    <w:semiHidden/>
    <w:rsid w:val="00666670"/>
    <w:rPr>
      <w:rFonts w:ascii="Times New Roman" w:eastAsia="Times New Roman" w:hAnsi="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ts.ca.gov/policy-administration/bidders-solicit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ments.dgs.ca.gov/dgs/fmc/pdf/std20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s://courts.ca.gov/policy-administration/bidders-solicitations"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07E2-F707-4F9F-AB52-B3E62168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Cutajar, Annabele</dc:creator>
  <cp:lastModifiedBy>Bischoff, Dean</cp:lastModifiedBy>
  <cp:revision>6</cp:revision>
  <cp:lastPrinted>2026-03-24T17:39:00Z</cp:lastPrinted>
  <dcterms:created xsi:type="dcterms:W3CDTF">2026-03-25T16:07:00Z</dcterms:created>
  <dcterms:modified xsi:type="dcterms:W3CDTF">2026-04-16T19:21:00Z</dcterms:modified>
</cp:coreProperties>
</file>