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D" w:rsidRDefault="008718FD" w:rsidP="00241F2C">
      <w:pPr>
        <w:rPr>
          <w:rFonts w:asciiTheme="majorHAnsi" w:hAnsiTheme="majorHAnsi" w:cstheme="majorHAnsi"/>
          <w:b/>
          <w:caps/>
        </w:rPr>
      </w:pPr>
      <w:r w:rsidRPr="00DC5791">
        <w:rPr>
          <w:noProof/>
        </w:rPr>
        <w:drawing>
          <wp:anchor distT="0" distB="0" distL="114300" distR="114300" simplePos="0" relativeHeight="251659264" behindDoc="1" locked="0" layoutInCell="0" allowOverlap="1" wp14:anchorId="6D11202B" wp14:editId="450C05D6">
            <wp:simplePos x="0" y="0"/>
            <wp:positionH relativeFrom="margin">
              <wp:posOffset>5036820</wp:posOffset>
            </wp:positionH>
            <wp:positionV relativeFrom="margin">
              <wp:posOffset>-114300</wp:posOffset>
            </wp:positionV>
            <wp:extent cx="1058891" cy="1062824"/>
            <wp:effectExtent l="0" t="0" r="8255" b="4445"/>
            <wp:wrapNone/>
            <wp:docPr id="14" name="WordPictureWatermark505467653" descr="JCCSeal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5467653" descr="JCCSeal29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6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32" cy="1071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caps/>
        </w:rPr>
        <w:t xml:space="preserve">PROPOSED </w:t>
      </w:r>
      <w:r w:rsidR="008267DB" w:rsidRPr="008718FD">
        <w:rPr>
          <w:rFonts w:asciiTheme="majorHAnsi" w:hAnsiTheme="majorHAnsi" w:cstheme="majorHAnsi"/>
          <w:b/>
          <w:caps/>
        </w:rPr>
        <w:t>Scope of Work</w:t>
      </w:r>
    </w:p>
    <w:p w:rsidR="008267DB" w:rsidRPr="008718FD" w:rsidRDefault="005573A2" w:rsidP="00241F2C">
      <w:pPr>
        <w:rPr>
          <w:rFonts w:asciiTheme="majorHAnsi" w:hAnsiTheme="majorHAnsi" w:cstheme="majorHAnsi"/>
          <w:b/>
          <w:caps/>
        </w:rPr>
      </w:pPr>
      <w:r>
        <w:rPr>
          <w:rFonts w:asciiTheme="majorHAnsi" w:hAnsiTheme="majorHAnsi" w:cstheme="majorHAnsi"/>
          <w:b/>
          <w:caps/>
        </w:rPr>
        <w:t>RFP No</w:t>
      </w:r>
      <w:bookmarkStart w:id="0" w:name="_GoBack"/>
      <w:bookmarkEnd w:id="0"/>
      <w:r w:rsidR="008718FD">
        <w:rPr>
          <w:rFonts w:asciiTheme="majorHAnsi" w:hAnsiTheme="majorHAnsi" w:cstheme="majorHAnsi"/>
          <w:b/>
          <w:caps/>
        </w:rPr>
        <w:t xml:space="preserve">:  </w:t>
      </w:r>
      <w:r w:rsidR="008718FD" w:rsidRPr="008718FD">
        <w:rPr>
          <w:rFonts w:asciiTheme="majorHAnsi" w:hAnsiTheme="majorHAnsi" w:cstheme="minorHAnsi"/>
          <w:b/>
        </w:rPr>
        <w:t>REFM-2016-11-RP</w:t>
      </w:r>
    </w:p>
    <w:p w:rsidR="008267DB" w:rsidRDefault="008267DB" w:rsidP="00453CF5">
      <w:pPr>
        <w:ind w:left="540"/>
        <w:rPr>
          <w:rFonts w:asciiTheme="majorHAnsi" w:hAnsiTheme="majorHAnsi" w:cstheme="majorHAnsi"/>
        </w:rPr>
      </w:pPr>
    </w:p>
    <w:p w:rsidR="00241F2C" w:rsidRDefault="00241F2C" w:rsidP="00241F2C">
      <w:pPr>
        <w:widowControl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 Judicial Council is seeking services for the following:</w:t>
      </w:r>
    </w:p>
    <w:p w:rsidR="00241F2C" w:rsidRDefault="00241F2C" w:rsidP="00241F2C">
      <w:pPr>
        <w:ind w:left="540"/>
        <w:rPr>
          <w:rFonts w:asciiTheme="majorHAnsi" w:hAnsiTheme="majorHAnsi" w:cstheme="majorHAnsi"/>
        </w:rPr>
      </w:pPr>
    </w:p>
    <w:p w:rsidR="00241F2C" w:rsidRPr="00241F2C" w:rsidRDefault="00241F2C" w:rsidP="00241F2C">
      <w:pPr>
        <w:pStyle w:val="ListParagraph"/>
        <w:widowControl w:val="0"/>
        <w:numPr>
          <w:ilvl w:val="0"/>
          <w:numId w:val="5"/>
        </w:numPr>
        <w:ind w:left="0" w:firstLine="0"/>
        <w:rPr>
          <w:rFonts w:asciiTheme="majorHAnsi" w:hAnsiTheme="majorHAnsi" w:cstheme="majorHAnsi"/>
          <w:b/>
          <w:bCs/>
        </w:rPr>
      </w:pPr>
      <w:r w:rsidRPr="00241F2C">
        <w:rPr>
          <w:rFonts w:asciiTheme="majorHAnsi" w:hAnsiTheme="majorHAnsi" w:cstheme="majorHAnsi"/>
          <w:b/>
          <w:bCs/>
        </w:rPr>
        <w:t xml:space="preserve">U/AST On-going Compliance and Maintenance </w:t>
      </w:r>
    </w:p>
    <w:p w:rsidR="00241F2C" w:rsidRDefault="00241F2C" w:rsidP="00241F2C">
      <w:pPr>
        <w:pStyle w:val="ListParagraph"/>
        <w:widowControl w:val="0"/>
        <w:ind w:left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This includes the required activities and deliverables to ensure full compliance of U/ASTs, as well as evaluation, assessment and recommendations for future compliance or preventative maintenance services.</w:t>
      </w:r>
    </w:p>
    <w:p w:rsidR="008718FD" w:rsidRPr="006B2BDA" w:rsidRDefault="008718FD" w:rsidP="00241F2C">
      <w:pPr>
        <w:pStyle w:val="ListParagraph"/>
        <w:widowControl w:val="0"/>
        <w:ind w:left="0"/>
        <w:rPr>
          <w:rFonts w:asciiTheme="majorHAnsi" w:hAnsiTheme="majorHAnsi" w:cstheme="majorHAnsi"/>
          <w:b/>
          <w:bCs/>
        </w:rPr>
      </w:pPr>
    </w:p>
    <w:p w:rsidR="00241F2C" w:rsidRPr="006B2BDA" w:rsidRDefault="00241F2C" w:rsidP="00241F2C">
      <w:pPr>
        <w:pStyle w:val="ListParagraph"/>
        <w:widowControl w:val="0"/>
        <w:numPr>
          <w:ilvl w:val="0"/>
          <w:numId w:val="5"/>
        </w:numPr>
        <w:ind w:left="0" w:firstLine="0"/>
        <w:rPr>
          <w:rFonts w:asciiTheme="majorHAnsi" w:hAnsiTheme="majorHAnsi" w:cstheme="majorHAnsi"/>
          <w:b/>
          <w:bCs/>
        </w:rPr>
      </w:pPr>
      <w:r w:rsidRPr="006B2BDA">
        <w:rPr>
          <w:rFonts w:asciiTheme="majorHAnsi" w:hAnsiTheme="majorHAnsi" w:cstheme="majorHAnsi"/>
          <w:b/>
          <w:bCs/>
        </w:rPr>
        <w:t>Hazardous Material Management</w:t>
      </w:r>
    </w:p>
    <w:p w:rsidR="00241F2C" w:rsidRDefault="00241F2C" w:rsidP="00241F2C">
      <w:pPr>
        <w:pStyle w:val="ListParagraph"/>
        <w:widowControl w:val="0"/>
        <w:ind w:left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This includes the development or updating of existing facility-specific Hazardous Material Business Plans and evaluation, assessment and recommendations for future compliance and on-going management practices.</w:t>
      </w:r>
    </w:p>
    <w:p w:rsidR="008718FD" w:rsidRPr="006B2BDA" w:rsidRDefault="008718FD" w:rsidP="00241F2C">
      <w:pPr>
        <w:pStyle w:val="ListParagraph"/>
        <w:widowControl w:val="0"/>
        <w:ind w:left="0"/>
        <w:rPr>
          <w:rFonts w:asciiTheme="majorHAnsi" w:hAnsiTheme="majorHAnsi" w:cstheme="majorHAnsi"/>
          <w:b/>
          <w:bCs/>
        </w:rPr>
      </w:pPr>
    </w:p>
    <w:p w:rsidR="00241F2C" w:rsidRDefault="00241F2C" w:rsidP="00241F2C">
      <w:pPr>
        <w:pStyle w:val="ListParagraph"/>
        <w:widowControl w:val="0"/>
        <w:numPr>
          <w:ilvl w:val="0"/>
          <w:numId w:val="5"/>
        </w:numPr>
        <w:ind w:left="0" w:firstLine="0"/>
        <w:rPr>
          <w:rFonts w:asciiTheme="majorHAnsi" w:hAnsiTheme="majorHAnsi" w:cstheme="majorHAnsi"/>
          <w:b/>
          <w:bCs/>
        </w:rPr>
      </w:pPr>
      <w:r w:rsidRPr="006B2BDA">
        <w:rPr>
          <w:rFonts w:asciiTheme="majorHAnsi" w:hAnsiTheme="majorHAnsi" w:cstheme="majorHAnsi"/>
          <w:b/>
          <w:bCs/>
        </w:rPr>
        <w:t xml:space="preserve">Hazardous Waste </w:t>
      </w:r>
      <w:r>
        <w:rPr>
          <w:rFonts w:asciiTheme="majorHAnsi" w:hAnsiTheme="majorHAnsi" w:cstheme="majorHAnsi"/>
          <w:b/>
          <w:bCs/>
        </w:rPr>
        <w:t>M</w:t>
      </w:r>
      <w:r w:rsidRPr="006B2BDA">
        <w:rPr>
          <w:rFonts w:asciiTheme="majorHAnsi" w:hAnsiTheme="majorHAnsi" w:cstheme="majorHAnsi"/>
          <w:b/>
          <w:bCs/>
        </w:rPr>
        <w:t>anagement</w:t>
      </w:r>
    </w:p>
    <w:p w:rsidR="00241F2C" w:rsidRPr="006B2BDA" w:rsidRDefault="00241F2C" w:rsidP="00241F2C">
      <w:pPr>
        <w:pStyle w:val="ListParagraph"/>
        <w:widowControl w:val="0"/>
        <w:ind w:left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This includes on-call services as needed during emergency hazardous waste scenarios, assessment and recommendation for management hazardous waste during routine maintenance activities and training for on-site staff and service providers.</w:t>
      </w:r>
    </w:p>
    <w:p w:rsidR="00A626E2" w:rsidRDefault="00A626E2" w:rsidP="00241F2C">
      <w:pPr>
        <w:ind w:left="540"/>
        <w:rPr>
          <w:rFonts w:asciiTheme="majorHAnsi" w:hAnsiTheme="majorHAnsi" w:cstheme="majorHAnsi"/>
        </w:rPr>
      </w:pPr>
    </w:p>
    <w:p w:rsidR="001A00BA" w:rsidRDefault="00453CF5" w:rsidP="00241F2C">
      <w:pPr>
        <w:rPr>
          <w:rFonts w:asciiTheme="majorHAnsi" w:hAnsiTheme="majorHAnsi" w:cstheme="majorHAnsi"/>
          <w:spacing w:val="-3"/>
        </w:rPr>
      </w:pPr>
      <w:r w:rsidRPr="001A1CFB">
        <w:rPr>
          <w:rFonts w:asciiTheme="majorHAnsi" w:hAnsiTheme="majorHAnsi" w:cstheme="majorHAnsi"/>
          <w:spacing w:val="-3"/>
        </w:rPr>
        <w:t>Proposer</w:t>
      </w:r>
      <w:r w:rsidR="00241F2C">
        <w:rPr>
          <w:rFonts w:asciiTheme="majorHAnsi" w:hAnsiTheme="majorHAnsi" w:cstheme="majorHAnsi"/>
          <w:spacing w:val="-3"/>
        </w:rPr>
        <w:t>s</w:t>
      </w:r>
      <w:r w:rsidRPr="00376382">
        <w:rPr>
          <w:rFonts w:asciiTheme="majorHAnsi" w:hAnsiTheme="majorHAnsi" w:cstheme="majorHAnsi"/>
          <w:spacing w:val="-3"/>
        </w:rPr>
        <w:t xml:space="preserve"> should </w:t>
      </w:r>
      <w:r w:rsidR="00602DC3">
        <w:rPr>
          <w:rFonts w:asciiTheme="majorHAnsi" w:hAnsiTheme="majorHAnsi" w:cstheme="majorHAnsi"/>
          <w:spacing w:val="-3"/>
        </w:rPr>
        <w:t xml:space="preserve">complete the table below to describe the proposed scope of work.  Please </w:t>
      </w:r>
      <w:r w:rsidR="001A00BA">
        <w:rPr>
          <w:rFonts w:asciiTheme="majorHAnsi" w:hAnsiTheme="majorHAnsi" w:cstheme="majorHAnsi"/>
          <w:spacing w:val="-3"/>
        </w:rPr>
        <w:t xml:space="preserve">add lines if </w:t>
      </w:r>
      <w:r w:rsidR="00602DC3">
        <w:rPr>
          <w:rFonts w:asciiTheme="majorHAnsi" w:hAnsiTheme="majorHAnsi" w:cstheme="majorHAnsi"/>
          <w:spacing w:val="-3"/>
        </w:rPr>
        <w:t>additional tasks</w:t>
      </w:r>
      <w:r w:rsidR="001A00BA">
        <w:rPr>
          <w:rFonts w:asciiTheme="majorHAnsi" w:hAnsiTheme="majorHAnsi" w:cstheme="majorHAnsi"/>
          <w:spacing w:val="-3"/>
        </w:rPr>
        <w:t xml:space="preserve"> are required </w:t>
      </w:r>
      <w:r w:rsidR="00FD6BB6">
        <w:rPr>
          <w:rFonts w:asciiTheme="majorHAnsi" w:hAnsiTheme="majorHAnsi" w:cstheme="majorHAnsi"/>
          <w:spacing w:val="-3"/>
        </w:rPr>
        <w:t>for compliance or maintenance purposes</w:t>
      </w:r>
      <w:r w:rsidR="00602DC3">
        <w:rPr>
          <w:rFonts w:asciiTheme="majorHAnsi" w:hAnsiTheme="majorHAnsi" w:cstheme="majorHAnsi"/>
          <w:spacing w:val="-3"/>
        </w:rPr>
        <w:t>.</w:t>
      </w:r>
      <w:r w:rsidR="00FD6BB6">
        <w:rPr>
          <w:rFonts w:asciiTheme="majorHAnsi" w:hAnsiTheme="majorHAnsi" w:cstheme="majorHAnsi"/>
          <w:spacing w:val="-3"/>
        </w:rPr>
        <w:t xml:space="preserve">  </w:t>
      </w:r>
      <w:r w:rsidR="00E42B97" w:rsidRPr="00241F2C">
        <w:rPr>
          <w:rFonts w:asciiTheme="majorHAnsi" w:hAnsiTheme="majorHAnsi" w:cstheme="majorHAnsi"/>
          <w:b/>
          <w:spacing w:val="-3"/>
        </w:rPr>
        <w:t>The Judicial Council expects Proposers to identify all the necessar</w:t>
      </w:r>
      <w:r w:rsidR="001A00BA" w:rsidRPr="00241F2C">
        <w:rPr>
          <w:rFonts w:asciiTheme="majorHAnsi" w:hAnsiTheme="majorHAnsi" w:cstheme="majorHAnsi"/>
          <w:b/>
          <w:spacing w:val="-3"/>
        </w:rPr>
        <w:t xml:space="preserve">y </w:t>
      </w:r>
      <w:r w:rsidR="008718FD">
        <w:rPr>
          <w:rFonts w:asciiTheme="majorHAnsi" w:hAnsiTheme="majorHAnsi" w:cstheme="majorHAnsi"/>
          <w:b/>
          <w:spacing w:val="-3"/>
        </w:rPr>
        <w:t xml:space="preserve">services, </w:t>
      </w:r>
      <w:r w:rsidR="001A00BA" w:rsidRPr="00241F2C">
        <w:rPr>
          <w:rFonts w:asciiTheme="majorHAnsi" w:hAnsiTheme="majorHAnsi" w:cstheme="majorHAnsi"/>
          <w:b/>
          <w:spacing w:val="-3"/>
        </w:rPr>
        <w:t>tasks</w:t>
      </w:r>
      <w:r w:rsidR="008718FD">
        <w:rPr>
          <w:rFonts w:asciiTheme="majorHAnsi" w:hAnsiTheme="majorHAnsi" w:cstheme="majorHAnsi"/>
          <w:b/>
          <w:spacing w:val="-3"/>
        </w:rPr>
        <w:t xml:space="preserve"> and deliverables</w:t>
      </w:r>
      <w:r w:rsidR="001A00BA" w:rsidRPr="00241F2C">
        <w:rPr>
          <w:rFonts w:asciiTheme="majorHAnsi" w:hAnsiTheme="majorHAnsi" w:cstheme="majorHAnsi"/>
          <w:b/>
          <w:spacing w:val="-3"/>
        </w:rPr>
        <w:t xml:space="preserve"> for compliance purposes</w:t>
      </w:r>
      <w:r w:rsidR="00E42B97" w:rsidRPr="00241F2C">
        <w:rPr>
          <w:rFonts w:asciiTheme="majorHAnsi" w:hAnsiTheme="majorHAnsi" w:cstheme="majorHAnsi"/>
          <w:b/>
          <w:spacing w:val="-3"/>
        </w:rPr>
        <w:t xml:space="preserve">. </w:t>
      </w:r>
      <w:r w:rsidR="00E42B97">
        <w:rPr>
          <w:rFonts w:asciiTheme="majorHAnsi" w:hAnsiTheme="majorHAnsi" w:cstheme="majorHAnsi"/>
          <w:spacing w:val="-3"/>
        </w:rPr>
        <w:t xml:space="preserve"> </w:t>
      </w:r>
      <w:r w:rsidR="00FD6BB6">
        <w:rPr>
          <w:rFonts w:asciiTheme="majorHAnsi" w:hAnsiTheme="majorHAnsi" w:cstheme="majorHAnsi"/>
          <w:spacing w:val="-3"/>
        </w:rPr>
        <w:t>Please use bullet format to descri</w:t>
      </w:r>
      <w:r w:rsidR="001A00BA">
        <w:rPr>
          <w:rFonts w:asciiTheme="majorHAnsi" w:hAnsiTheme="majorHAnsi" w:cstheme="majorHAnsi"/>
          <w:spacing w:val="-3"/>
        </w:rPr>
        <w:t xml:space="preserve">be the tasks and deliverables. </w:t>
      </w:r>
    </w:p>
    <w:p w:rsidR="001A00BA" w:rsidRDefault="001A00BA" w:rsidP="00453CF5">
      <w:pPr>
        <w:ind w:left="540"/>
        <w:rPr>
          <w:rFonts w:asciiTheme="majorHAnsi" w:hAnsiTheme="majorHAnsi" w:cstheme="majorHAnsi"/>
          <w:spacing w:val="-3"/>
        </w:rPr>
      </w:pPr>
    </w:p>
    <w:p w:rsidR="00453CF5" w:rsidRPr="008267DB" w:rsidRDefault="00FD6BB6" w:rsidP="00241F2C">
      <w:pPr>
        <w:rPr>
          <w:rFonts w:asciiTheme="majorHAnsi" w:hAnsiTheme="majorHAnsi" w:cstheme="majorHAnsi"/>
          <w:color w:val="FF0000"/>
          <w:spacing w:val="-3"/>
          <w:sz w:val="28"/>
          <w:szCs w:val="28"/>
        </w:rPr>
      </w:pPr>
      <w:r w:rsidRPr="008267DB">
        <w:rPr>
          <w:rFonts w:asciiTheme="majorHAnsi" w:hAnsiTheme="majorHAnsi" w:cstheme="majorHAnsi"/>
          <w:b/>
          <w:color w:val="FF0000"/>
          <w:spacing w:val="-3"/>
          <w:sz w:val="28"/>
          <w:szCs w:val="28"/>
          <w:u w:val="single"/>
        </w:rPr>
        <w:t>BE BRIEF</w:t>
      </w:r>
      <w:r w:rsidRPr="008267DB">
        <w:rPr>
          <w:rFonts w:asciiTheme="majorHAnsi" w:hAnsiTheme="majorHAnsi" w:cstheme="majorHAnsi"/>
          <w:color w:val="FF0000"/>
          <w:spacing w:val="-3"/>
          <w:sz w:val="28"/>
          <w:szCs w:val="28"/>
        </w:rPr>
        <w:t xml:space="preserve">. </w:t>
      </w:r>
    </w:p>
    <w:p w:rsidR="00453CF5" w:rsidRDefault="00453CF5" w:rsidP="00241F2C">
      <w:pPr>
        <w:rPr>
          <w:rFonts w:asciiTheme="majorHAnsi" w:hAnsiTheme="majorHAnsi" w:cstheme="majorHAnsi"/>
          <w:spacing w:val="-3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3240"/>
        <w:gridCol w:w="3196"/>
        <w:gridCol w:w="4454"/>
      </w:tblGrid>
      <w:tr w:rsidR="00453CF5" w:rsidRPr="00453CF5" w:rsidTr="00BC3E55">
        <w:trPr>
          <w:trHeight w:val="467"/>
        </w:trPr>
        <w:tc>
          <w:tcPr>
            <w:tcW w:w="10890" w:type="dxa"/>
            <w:gridSpan w:val="3"/>
            <w:shd w:val="clear" w:color="auto" w:fill="BFBFBF" w:themeFill="background1" w:themeFillShade="BF"/>
          </w:tcPr>
          <w:p w:rsidR="00602DC3" w:rsidRDefault="00602DC3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453CF5" w:rsidRDefault="00453CF5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Underground Storage Tank</w:t>
            </w:r>
            <w:r w:rsidR="00365611" w:rsidRPr="00365611">
              <w:rPr>
                <w:rFonts w:asciiTheme="majorHAnsi" w:hAnsiTheme="majorHAnsi" w:cstheme="majorHAnsi"/>
                <w:b/>
                <w:spacing w:val="-3"/>
              </w:rPr>
              <w:t xml:space="preserve"> (UST): </w:t>
            </w:r>
            <w:r w:rsidR="00365611">
              <w:rPr>
                <w:rFonts w:asciiTheme="majorHAnsi" w:hAnsiTheme="majorHAnsi" w:cstheme="majorHAnsi"/>
                <w:b/>
                <w:spacing w:val="-3"/>
              </w:rPr>
              <w:t xml:space="preserve">Required </w:t>
            </w:r>
            <w:r w:rsidR="00365611" w:rsidRPr="00365611">
              <w:rPr>
                <w:rFonts w:asciiTheme="majorHAnsi" w:hAnsiTheme="majorHAnsi" w:cstheme="majorHAnsi"/>
                <w:b/>
                <w:spacing w:val="-3"/>
              </w:rPr>
              <w:t>Compliance</w:t>
            </w:r>
            <w:r w:rsidR="00365611">
              <w:rPr>
                <w:rFonts w:asciiTheme="majorHAnsi" w:hAnsiTheme="majorHAnsi" w:cstheme="majorHAnsi"/>
                <w:b/>
                <w:spacing w:val="-3"/>
              </w:rPr>
              <w:t xml:space="preserve"> Activities</w:t>
            </w:r>
          </w:p>
          <w:p w:rsidR="00602DC3" w:rsidRPr="00365611" w:rsidRDefault="00602DC3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453CF5" w:rsidRPr="00365611" w:rsidTr="00BC3E55">
        <w:trPr>
          <w:trHeight w:val="431"/>
        </w:trPr>
        <w:tc>
          <w:tcPr>
            <w:tcW w:w="3240" w:type="dxa"/>
            <w:shd w:val="clear" w:color="auto" w:fill="D9D9D9" w:themeFill="background1" w:themeFillShade="D9"/>
          </w:tcPr>
          <w:p w:rsidR="00453CF5" w:rsidRPr="00365611" w:rsidRDefault="00453CF5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:rsidR="00453CF5" w:rsidRPr="00365611" w:rsidRDefault="00365611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  <w:r w:rsidR="00FD6BB6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</w:p>
        </w:tc>
        <w:tc>
          <w:tcPr>
            <w:tcW w:w="4454" w:type="dxa"/>
            <w:shd w:val="clear" w:color="auto" w:fill="D9D9D9" w:themeFill="background1" w:themeFillShade="D9"/>
          </w:tcPr>
          <w:p w:rsidR="00453CF5" w:rsidRPr="00365611" w:rsidRDefault="00A15D8F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Reporting &amp; Documentation Deliverable</w:t>
            </w:r>
            <w:r w:rsidR="00602DC3">
              <w:rPr>
                <w:rFonts w:asciiTheme="majorHAnsi" w:hAnsiTheme="majorHAnsi" w:cstheme="majorHAnsi"/>
                <w:b/>
                <w:spacing w:val="-3"/>
              </w:rPr>
              <w:t>s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(if applicable)</w:t>
            </w:r>
          </w:p>
        </w:tc>
      </w:tr>
      <w:tr w:rsidR="00453CF5" w:rsidTr="00BC3E55">
        <w:tc>
          <w:tcPr>
            <w:tcW w:w="3240" w:type="dxa"/>
          </w:tcPr>
          <w:p w:rsidR="00453CF5" w:rsidRPr="00365611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  <w:r w:rsidRPr="00365611">
              <w:rPr>
                <w:rFonts w:asciiTheme="majorHAnsi" w:hAnsiTheme="majorHAnsi" w:cstheme="majorHAnsi"/>
                <w:spacing w:val="-3"/>
              </w:rPr>
              <w:t>Monthly Designate</w:t>
            </w:r>
            <w:r w:rsidR="00365611">
              <w:rPr>
                <w:rFonts w:asciiTheme="majorHAnsi" w:hAnsiTheme="majorHAnsi" w:cstheme="majorHAnsi"/>
                <w:spacing w:val="-3"/>
              </w:rPr>
              <w:t>d Operator Inspection</w:t>
            </w:r>
            <w:r w:rsidR="00365611" w:rsidRPr="00365611">
              <w:rPr>
                <w:rFonts w:asciiTheme="majorHAnsi" w:hAnsiTheme="majorHAnsi" w:cstheme="majorHAnsi"/>
                <w:spacing w:val="-3"/>
              </w:rPr>
              <w:t xml:space="preserve"> and Test</w:t>
            </w:r>
          </w:p>
        </w:tc>
        <w:tc>
          <w:tcPr>
            <w:tcW w:w="3196" w:type="dxa"/>
          </w:tcPr>
          <w:p w:rsidR="00453CF5" w:rsidRPr="00365611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453CF5" w:rsidRPr="00365611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453CF5" w:rsidTr="00BC3E55">
        <w:tc>
          <w:tcPr>
            <w:tcW w:w="3240" w:type="dxa"/>
          </w:tcPr>
          <w:p w:rsidR="00453CF5" w:rsidRPr="00365611" w:rsidRDefault="00365611" w:rsidP="00241F2C">
            <w:pPr>
              <w:rPr>
                <w:rFonts w:asciiTheme="majorHAnsi" w:hAnsiTheme="majorHAnsi" w:cstheme="majorHAnsi"/>
                <w:spacing w:val="-3"/>
              </w:rPr>
            </w:pPr>
            <w:r w:rsidRPr="00365611">
              <w:rPr>
                <w:rFonts w:asciiTheme="majorHAnsi" w:hAnsiTheme="majorHAnsi" w:cs="Arial"/>
                <w:spacing w:val="-3"/>
              </w:rPr>
              <w:t xml:space="preserve">Annual </w:t>
            </w:r>
            <w:r w:rsidR="007176E4">
              <w:rPr>
                <w:rFonts w:asciiTheme="majorHAnsi" w:hAnsiTheme="majorHAnsi" w:cs="Arial"/>
                <w:spacing w:val="-3"/>
              </w:rPr>
              <w:t>Designated Operator</w:t>
            </w:r>
            <w:r w:rsidRPr="00365611">
              <w:rPr>
                <w:rFonts w:asciiTheme="majorHAnsi" w:hAnsiTheme="majorHAnsi" w:cs="Arial"/>
                <w:spacing w:val="-3"/>
              </w:rPr>
              <w:t xml:space="preserve"> Inspection</w:t>
            </w:r>
            <w:r w:rsidR="00602DC3">
              <w:rPr>
                <w:rFonts w:asciiTheme="majorHAnsi" w:hAnsiTheme="majorHAnsi" w:cs="Arial"/>
                <w:spacing w:val="-3"/>
              </w:rPr>
              <w:t xml:space="preserve"> and </w:t>
            </w:r>
            <w:r w:rsidR="007176E4">
              <w:rPr>
                <w:rFonts w:asciiTheme="majorHAnsi" w:hAnsiTheme="majorHAnsi" w:cs="Arial"/>
                <w:spacing w:val="-3"/>
              </w:rPr>
              <w:t>Test</w:t>
            </w:r>
          </w:p>
        </w:tc>
        <w:tc>
          <w:tcPr>
            <w:tcW w:w="3196" w:type="dxa"/>
          </w:tcPr>
          <w:p w:rsidR="00453CF5" w:rsidRPr="00365611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453CF5" w:rsidRPr="00365611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453CF5" w:rsidTr="00BC3E55">
        <w:tc>
          <w:tcPr>
            <w:tcW w:w="3240" w:type="dxa"/>
          </w:tcPr>
          <w:p w:rsidR="00453CF5" w:rsidRPr="00365611" w:rsidRDefault="00512FC9" w:rsidP="00241F2C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="Arial"/>
                <w:spacing w:val="-3"/>
              </w:rPr>
              <w:t>Triennial Test and Certification</w:t>
            </w:r>
          </w:p>
        </w:tc>
        <w:tc>
          <w:tcPr>
            <w:tcW w:w="3196" w:type="dxa"/>
          </w:tcPr>
          <w:p w:rsidR="00453CF5" w:rsidRPr="00365611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453CF5" w:rsidRPr="00365611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453CF5" w:rsidTr="00BC3E55">
        <w:tc>
          <w:tcPr>
            <w:tcW w:w="3240" w:type="dxa"/>
          </w:tcPr>
          <w:p w:rsidR="00453CF5" w:rsidRPr="00365611" w:rsidRDefault="00365611" w:rsidP="00241F2C">
            <w:pPr>
              <w:rPr>
                <w:rFonts w:asciiTheme="majorHAnsi" w:hAnsiTheme="majorHAnsi" w:cstheme="majorHAnsi"/>
                <w:spacing w:val="-3"/>
              </w:rPr>
            </w:pPr>
            <w:r w:rsidRPr="00365611">
              <w:rPr>
                <w:rFonts w:asciiTheme="majorHAnsi" w:hAnsiTheme="majorHAnsi" w:cs="Arial"/>
                <w:spacing w:val="-3"/>
              </w:rPr>
              <w:t>Certification of Financial Responsibility</w:t>
            </w:r>
          </w:p>
        </w:tc>
        <w:tc>
          <w:tcPr>
            <w:tcW w:w="3196" w:type="dxa"/>
          </w:tcPr>
          <w:p w:rsidR="00453CF5" w:rsidRPr="00365611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453CF5" w:rsidRPr="00365611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453CF5" w:rsidTr="00BC3E55">
        <w:tc>
          <w:tcPr>
            <w:tcW w:w="3240" w:type="dxa"/>
          </w:tcPr>
          <w:p w:rsidR="00453CF5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196" w:type="dxa"/>
          </w:tcPr>
          <w:p w:rsidR="00453CF5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453CF5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365611" w:rsidRPr="00453CF5" w:rsidTr="00BC3E55">
        <w:trPr>
          <w:trHeight w:val="485"/>
        </w:trPr>
        <w:tc>
          <w:tcPr>
            <w:tcW w:w="10890" w:type="dxa"/>
            <w:gridSpan w:val="3"/>
            <w:shd w:val="clear" w:color="auto" w:fill="BFBFBF" w:themeFill="background1" w:themeFillShade="BF"/>
          </w:tcPr>
          <w:p w:rsidR="00602DC3" w:rsidRDefault="00602DC3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365611" w:rsidRDefault="00365611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453CF5">
              <w:rPr>
                <w:rFonts w:asciiTheme="majorHAnsi" w:hAnsiTheme="majorHAnsi" w:cstheme="majorHAnsi"/>
                <w:b/>
                <w:spacing w:val="-3"/>
              </w:rPr>
              <w:t>Underground Storage Tank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(UST): 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Maintenance/On-Going Compliance</w:t>
            </w:r>
          </w:p>
          <w:p w:rsidR="00602DC3" w:rsidRPr="00453CF5" w:rsidRDefault="00602DC3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453CF5" w:rsidRPr="00365611" w:rsidTr="00BC3E55">
        <w:trPr>
          <w:trHeight w:val="440"/>
        </w:trPr>
        <w:tc>
          <w:tcPr>
            <w:tcW w:w="3240" w:type="dxa"/>
            <w:shd w:val="clear" w:color="auto" w:fill="D9D9D9" w:themeFill="background1" w:themeFillShade="D9"/>
          </w:tcPr>
          <w:p w:rsidR="00453CF5" w:rsidRPr="00365611" w:rsidRDefault="00453CF5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:rsidR="00453CF5" w:rsidRPr="00365611" w:rsidRDefault="00365611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4454" w:type="dxa"/>
            <w:shd w:val="clear" w:color="auto" w:fill="D9D9D9" w:themeFill="background1" w:themeFillShade="D9"/>
          </w:tcPr>
          <w:p w:rsidR="00453CF5" w:rsidRPr="00365611" w:rsidRDefault="00602DC3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602DC3">
              <w:rPr>
                <w:rFonts w:asciiTheme="majorHAnsi" w:hAnsiTheme="majorHAnsi" w:cstheme="majorHAnsi"/>
                <w:b/>
                <w:spacing w:val="-3"/>
              </w:rPr>
              <w:t>Reporting &amp; Documentation Deliverables (if applicable)</w:t>
            </w:r>
          </w:p>
        </w:tc>
      </w:tr>
      <w:tr w:rsidR="00453CF5" w:rsidTr="00BC3E55">
        <w:tc>
          <w:tcPr>
            <w:tcW w:w="3240" w:type="dxa"/>
          </w:tcPr>
          <w:p w:rsidR="00453CF5" w:rsidRDefault="00365611" w:rsidP="00241F2C">
            <w:pPr>
              <w:rPr>
                <w:rFonts w:asciiTheme="majorHAnsi" w:hAnsiTheme="majorHAnsi" w:cstheme="majorHAnsi"/>
                <w:spacing w:val="-3"/>
              </w:rPr>
            </w:pPr>
            <w:r w:rsidRPr="00365611">
              <w:rPr>
                <w:rFonts w:asciiTheme="majorHAnsi" w:hAnsiTheme="majorHAnsi" w:cstheme="majorHAnsi"/>
                <w:spacing w:val="-3"/>
              </w:rPr>
              <w:t>Identification of single-walled UST</w:t>
            </w:r>
            <w:r w:rsidR="00512FC9">
              <w:rPr>
                <w:rFonts w:asciiTheme="majorHAnsi" w:hAnsiTheme="majorHAnsi" w:cstheme="majorHAnsi"/>
                <w:spacing w:val="-3"/>
              </w:rPr>
              <w:t>/</w:t>
            </w:r>
            <w:r w:rsidRPr="00365611">
              <w:rPr>
                <w:rFonts w:asciiTheme="majorHAnsi" w:hAnsiTheme="majorHAnsi" w:cstheme="majorHAnsi"/>
                <w:spacing w:val="-3"/>
              </w:rPr>
              <w:t>s</w:t>
            </w:r>
            <w:r w:rsidR="00512FC9">
              <w:rPr>
                <w:rFonts w:asciiTheme="majorHAnsi" w:hAnsiTheme="majorHAnsi" w:cstheme="majorHAnsi"/>
                <w:spacing w:val="-3"/>
              </w:rPr>
              <w:t>ystem</w:t>
            </w:r>
            <w:r>
              <w:rPr>
                <w:rFonts w:asciiTheme="majorHAnsi" w:hAnsiTheme="majorHAnsi" w:cstheme="majorHAnsi"/>
                <w:spacing w:val="-3"/>
              </w:rPr>
              <w:t xml:space="preserve"> and recommendation </w:t>
            </w:r>
            <w:r w:rsidRPr="00365611">
              <w:rPr>
                <w:rFonts w:asciiTheme="majorHAnsi" w:hAnsiTheme="majorHAnsi" w:cstheme="majorHAnsi"/>
                <w:spacing w:val="-3"/>
              </w:rPr>
              <w:t xml:space="preserve">on how to </w:t>
            </w:r>
            <w:r w:rsidRPr="00365611">
              <w:rPr>
                <w:rFonts w:asciiTheme="majorHAnsi" w:hAnsiTheme="majorHAnsi" w:cstheme="majorHAnsi"/>
                <w:spacing w:val="-3"/>
              </w:rPr>
              <w:lastRenderedPageBreak/>
              <w:t>meet future compliance requirements</w:t>
            </w:r>
            <w:r>
              <w:rPr>
                <w:rFonts w:asciiTheme="majorHAnsi" w:hAnsiTheme="majorHAnsi" w:cstheme="majorHAnsi"/>
                <w:spacing w:val="-3"/>
              </w:rPr>
              <w:t>.</w:t>
            </w:r>
          </w:p>
        </w:tc>
        <w:tc>
          <w:tcPr>
            <w:tcW w:w="3196" w:type="dxa"/>
          </w:tcPr>
          <w:p w:rsidR="00453CF5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453CF5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453CF5" w:rsidTr="00BC3E55">
        <w:tc>
          <w:tcPr>
            <w:tcW w:w="3240" w:type="dxa"/>
          </w:tcPr>
          <w:p w:rsidR="00453CF5" w:rsidRDefault="00365611" w:rsidP="00241F2C">
            <w:pPr>
              <w:rPr>
                <w:rFonts w:asciiTheme="majorHAnsi" w:hAnsiTheme="majorHAnsi" w:cstheme="majorHAnsi"/>
                <w:spacing w:val="-3"/>
              </w:rPr>
            </w:pPr>
            <w:r w:rsidRPr="00365611">
              <w:rPr>
                <w:rFonts w:asciiTheme="majorHAnsi" w:hAnsiTheme="majorHAnsi" w:cstheme="majorHAnsi"/>
                <w:spacing w:val="-3"/>
              </w:rPr>
              <w:t xml:space="preserve">Non-compliance related maintenance and testing </w:t>
            </w:r>
            <w:r w:rsidRPr="00C5594D">
              <w:rPr>
                <w:rFonts w:asciiTheme="majorHAnsi" w:hAnsiTheme="majorHAnsi" w:cstheme="majorHAnsi"/>
                <w:i/>
                <w:spacing w:val="-3"/>
              </w:rPr>
              <w:t>recommended</w:t>
            </w:r>
            <w:r w:rsidRPr="00365611">
              <w:rPr>
                <w:rFonts w:asciiTheme="majorHAnsi" w:hAnsiTheme="majorHAnsi" w:cstheme="majorHAnsi"/>
                <w:spacing w:val="-3"/>
              </w:rPr>
              <w:t xml:space="preserve"> for USTs</w:t>
            </w:r>
            <w:r w:rsidR="00C5594D">
              <w:rPr>
                <w:rFonts w:asciiTheme="majorHAnsi" w:hAnsiTheme="majorHAnsi" w:cstheme="majorHAnsi"/>
                <w:spacing w:val="-3"/>
              </w:rPr>
              <w:t>.</w:t>
            </w:r>
          </w:p>
        </w:tc>
        <w:tc>
          <w:tcPr>
            <w:tcW w:w="3196" w:type="dxa"/>
          </w:tcPr>
          <w:p w:rsidR="00453CF5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453CF5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453CF5" w:rsidTr="00BC3E55">
        <w:tc>
          <w:tcPr>
            <w:tcW w:w="3240" w:type="dxa"/>
          </w:tcPr>
          <w:p w:rsidR="00453CF5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196" w:type="dxa"/>
          </w:tcPr>
          <w:p w:rsidR="00453CF5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453CF5" w:rsidRDefault="00453CF5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</w:tbl>
    <w:p w:rsidR="00453CF5" w:rsidRDefault="00453CF5" w:rsidP="00241F2C">
      <w:pPr>
        <w:rPr>
          <w:rFonts w:asciiTheme="majorHAnsi" w:hAnsiTheme="majorHAnsi" w:cstheme="majorHAnsi"/>
          <w:spacing w:val="-3"/>
        </w:rPr>
      </w:pPr>
    </w:p>
    <w:p w:rsidR="00602DC3" w:rsidRPr="00376382" w:rsidRDefault="00602DC3" w:rsidP="00241F2C">
      <w:pPr>
        <w:rPr>
          <w:rFonts w:asciiTheme="majorHAnsi" w:hAnsiTheme="majorHAnsi" w:cstheme="majorHAnsi"/>
          <w:spacing w:val="-3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3642"/>
        <w:gridCol w:w="2794"/>
        <w:gridCol w:w="4454"/>
      </w:tblGrid>
      <w:tr w:rsidR="00602DC3" w:rsidRPr="00453CF5" w:rsidTr="00BC3E55">
        <w:trPr>
          <w:trHeight w:val="467"/>
        </w:trPr>
        <w:tc>
          <w:tcPr>
            <w:tcW w:w="10890" w:type="dxa"/>
            <w:gridSpan w:val="3"/>
            <w:shd w:val="clear" w:color="auto" w:fill="BFBFBF" w:themeFill="background1" w:themeFillShade="BF"/>
          </w:tcPr>
          <w:p w:rsidR="00602DC3" w:rsidRDefault="00602DC3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602DC3" w:rsidRDefault="00602DC3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Above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ground Storage Tank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(A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ST): 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Required 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Compliance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Activities</w:t>
            </w:r>
          </w:p>
          <w:p w:rsidR="00602DC3" w:rsidRPr="00365611" w:rsidRDefault="00602DC3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602DC3" w:rsidRPr="00365611" w:rsidTr="00BC3E55">
        <w:trPr>
          <w:trHeight w:val="431"/>
        </w:trPr>
        <w:tc>
          <w:tcPr>
            <w:tcW w:w="3642" w:type="dxa"/>
            <w:shd w:val="clear" w:color="auto" w:fill="D9D9D9" w:themeFill="background1" w:themeFillShade="D9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4454" w:type="dxa"/>
            <w:shd w:val="clear" w:color="auto" w:fill="D9D9D9" w:themeFill="background1" w:themeFillShade="D9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Reporting &amp; Documentation Deliverables (if applicable)</w:t>
            </w:r>
          </w:p>
        </w:tc>
      </w:tr>
      <w:tr w:rsidR="00602DC3" w:rsidTr="00BC3E55">
        <w:tc>
          <w:tcPr>
            <w:tcW w:w="3642" w:type="dxa"/>
          </w:tcPr>
          <w:p w:rsidR="00602DC3" w:rsidRPr="00365611" w:rsidRDefault="00512FC9" w:rsidP="00241F2C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Spill Prevention Control and Countermeasure Plan (SPCC)</w:t>
            </w:r>
          </w:p>
        </w:tc>
        <w:tc>
          <w:tcPr>
            <w:tcW w:w="2794" w:type="dxa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602DC3" w:rsidTr="00BC3E55">
        <w:tc>
          <w:tcPr>
            <w:tcW w:w="3642" w:type="dxa"/>
          </w:tcPr>
          <w:p w:rsidR="00602DC3" w:rsidRPr="00365611" w:rsidRDefault="00512FC9" w:rsidP="00241F2C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SPCC Annual Training</w:t>
            </w:r>
          </w:p>
        </w:tc>
        <w:tc>
          <w:tcPr>
            <w:tcW w:w="2794" w:type="dxa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602DC3" w:rsidTr="00BC3E55">
        <w:tc>
          <w:tcPr>
            <w:tcW w:w="3642" w:type="dxa"/>
          </w:tcPr>
          <w:p w:rsidR="00602DC3" w:rsidRPr="00365611" w:rsidRDefault="00512FC9" w:rsidP="00241F2C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SPCC Annual Inspection and Review</w:t>
            </w:r>
          </w:p>
        </w:tc>
        <w:tc>
          <w:tcPr>
            <w:tcW w:w="2794" w:type="dxa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602DC3" w:rsidTr="00BC3E55">
        <w:tc>
          <w:tcPr>
            <w:tcW w:w="3642" w:type="dxa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2794" w:type="dxa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602DC3" w:rsidRPr="00453CF5" w:rsidTr="00BC3E55">
        <w:trPr>
          <w:trHeight w:val="485"/>
        </w:trPr>
        <w:tc>
          <w:tcPr>
            <w:tcW w:w="10890" w:type="dxa"/>
            <w:gridSpan w:val="3"/>
            <w:shd w:val="clear" w:color="auto" w:fill="BFBFBF" w:themeFill="background1" w:themeFillShade="BF"/>
          </w:tcPr>
          <w:p w:rsidR="00602DC3" w:rsidRDefault="00602DC3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602DC3" w:rsidRDefault="00602DC3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Above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ground Storage Tank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(A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ST): Maintenance/On-Going Compliance</w:t>
            </w:r>
          </w:p>
          <w:p w:rsidR="00602DC3" w:rsidRPr="00453CF5" w:rsidRDefault="00602DC3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602DC3" w:rsidRPr="00365611" w:rsidTr="00BC3E55">
        <w:trPr>
          <w:trHeight w:val="440"/>
        </w:trPr>
        <w:tc>
          <w:tcPr>
            <w:tcW w:w="3642" w:type="dxa"/>
            <w:shd w:val="clear" w:color="auto" w:fill="D9D9D9" w:themeFill="background1" w:themeFillShade="D9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4454" w:type="dxa"/>
            <w:shd w:val="clear" w:color="auto" w:fill="D9D9D9" w:themeFill="background1" w:themeFillShade="D9"/>
          </w:tcPr>
          <w:p w:rsidR="00602DC3" w:rsidRPr="00365611" w:rsidRDefault="00602DC3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602DC3">
              <w:rPr>
                <w:rFonts w:asciiTheme="majorHAnsi" w:hAnsiTheme="majorHAnsi" w:cstheme="majorHAnsi"/>
                <w:b/>
                <w:spacing w:val="-3"/>
              </w:rPr>
              <w:t>Reporting &amp; Documentation Deliverables (if applicable)</w:t>
            </w:r>
          </w:p>
        </w:tc>
      </w:tr>
      <w:tr w:rsidR="00602DC3" w:rsidTr="00BC3E55">
        <w:tc>
          <w:tcPr>
            <w:tcW w:w="3642" w:type="dxa"/>
          </w:tcPr>
          <w:p w:rsidR="00602DC3" w:rsidRDefault="008267DB" w:rsidP="00241F2C">
            <w:pPr>
              <w:rPr>
                <w:rFonts w:asciiTheme="majorHAnsi" w:hAnsiTheme="majorHAnsi" w:cstheme="majorHAnsi"/>
                <w:spacing w:val="-3"/>
              </w:rPr>
            </w:pPr>
            <w:r w:rsidRPr="008267DB">
              <w:rPr>
                <w:rFonts w:asciiTheme="majorHAnsi" w:hAnsiTheme="majorHAnsi" w:cstheme="majorHAnsi"/>
                <w:spacing w:val="-3"/>
              </w:rPr>
              <w:t>Non-compliance related maintenan</w:t>
            </w:r>
            <w:r>
              <w:rPr>
                <w:rFonts w:asciiTheme="majorHAnsi" w:hAnsiTheme="majorHAnsi" w:cstheme="majorHAnsi"/>
                <w:spacing w:val="-3"/>
              </w:rPr>
              <w:t>ce and testing recommended for A</w:t>
            </w:r>
            <w:r w:rsidRPr="008267DB">
              <w:rPr>
                <w:rFonts w:asciiTheme="majorHAnsi" w:hAnsiTheme="majorHAnsi" w:cstheme="majorHAnsi"/>
                <w:spacing w:val="-3"/>
              </w:rPr>
              <w:t>STs.</w:t>
            </w:r>
          </w:p>
        </w:tc>
        <w:tc>
          <w:tcPr>
            <w:tcW w:w="2794" w:type="dxa"/>
          </w:tcPr>
          <w:p w:rsidR="00602DC3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602DC3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602DC3" w:rsidTr="00BC3E55">
        <w:tc>
          <w:tcPr>
            <w:tcW w:w="3642" w:type="dxa"/>
          </w:tcPr>
          <w:p w:rsidR="00602DC3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2794" w:type="dxa"/>
          </w:tcPr>
          <w:p w:rsidR="00602DC3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602DC3" w:rsidRDefault="00602DC3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</w:tbl>
    <w:p w:rsidR="00453CF5" w:rsidRDefault="00453CF5" w:rsidP="00241F2C">
      <w:pPr>
        <w:rPr>
          <w:rFonts w:asciiTheme="majorHAnsi" w:hAnsiTheme="majorHAnsi" w:cstheme="majorHAnsi"/>
          <w:spacing w:val="-3"/>
        </w:rPr>
      </w:pPr>
    </w:p>
    <w:p w:rsidR="00BA10AD" w:rsidRDefault="00BA10AD" w:rsidP="00241F2C">
      <w:pPr>
        <w:rPr>
          <w:rFonts w:asciiTheme="majorHAnsi" w:hAnsiTheme="majorHAnsi" w:cstheme="majorHAnsi"/>
          <w:spacing w:val="-3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3796"/>
        <w:gridCol w:w="2709"/>
        <w:gridCol w:w="4385"/>
      </w:tblGrid>
      <w:tr w:rsidR="00BA10AD" w:rsidRPr="00453CF5" w:rsidTr="00BC3E55">
        <w:trPr>
          <w:trHeight w:val="467"/>
        </w:trPr>
        <w:tc>
          <w:tcPr>
            <w:tcW w:w="10890" w:type="dxa"/>
            <w:gridSpan w:val="3"/>
            <w:shd w:val="clear" w:color="auto" w:fill="BFBFBF" w:themeFill="background1" w:themeFillShade="BF"/>
          </w:tcPr>
          <w:p w:rsidR="00BA10AD" w:rsidRDefault="00BA10AD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BA10AD" w:rsidRDefault="00BA10AD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Hazardous Material Management (HAZMAT)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Required 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Compliance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Activities</w:t>
            </w:r>
          </w:p>
          <w:p w:rsidR="00BA10AD" w:rsidRPr="00365611" w:rsidRDefault="00BA10AD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BA10AD" w:rsidRPr="00365611" w:rsidTr="00BC3E55">
        <w:trPr>
          <w:trHeight w:val="431"/>
        </w:trPr>
        <w:tc>
          <w:tcPr>
            <w:tcW w:w="3796" w:type="dxa"/>
            <w:shd w:val="clear" w:color="auto" w:fill="D9D9D9" w:themeFill="background1" w:themeFillShade="D9"/>
          </w:tcPr>
          <w:p w:rsidR="00BA10AD" w:rsidRPr="00365611" w:rsidRDefault="00BA10AD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:rsidR="00BA10AD" w:rsidRPr="00365611" w:rsidRDefault="00BA10AD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4385" w:type="dxa"/>
            <w:shd w:val="clear" w:color="auto" w:fill="D9D9D9" w:themeFill="background1" w:themeFillShade="D9"/>
          </w:tcPr>
          <w:p w:rsidR="00BA10AD" w:rsidRPr="00365611" w:rsidRDefault="00BA10AD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Reporting &amp; Documentation Deliverables (if applicable)</w:t>
            </w:r>
          </w:p>
        </w:tc>
      </w:tr>
      <w:tr w:rsidR="00BA10AD" w:rsidTr="00BC3E55">
        <w:tc>
          <w:tcPr>
            <w:tcW w:w="3796" w:type="dxa"/>
          </w:tcPr>
          <w:p w:rsidR="00BA10AD" w:rsidRPr="00365611" w:rsidRDefault="00241F2C" w:rsidP="00241F2C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 xml:space="preserve">Develop or Update facility-specific </w:t>
            </w:r>
            <w:r w:rsidR="00BA10AD">
              <w:rPr>
                <w:rFonts w:asciiTheme="majorHAnsi" w:hAnsiTheme="majorHAnsi" w:cstheme="majorHAnsi"/>
                <w:spacing w:val="-3"/>
              </w:rPr>
              <w:t>Hazardous Material Business Plan</w:t>
            </w:r>
          </w:p>
        </w:tc>
        <w:tc>
          <w:tcPr>
            <w:tcW w:w="2709" w:type="dxa"/>
          </w:tcPr>
          <w:p w:rsidR="00BA10AD" w:rsidRPr="00365611" w:rsidRDefault="00BA10AD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385" w:type="dxa"/>
          </w:tcPr>
          <w:p w:rsidR="00BA10AD" w:rsidRPr="00365611" w:rsidRDefault="00BA10AD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BA10AD" w:rsidTr="00BC3E55">
        <w:tc>
          <w:tcPr>
            <w:tcW w:w="3796" w:type="dxa"/>
          </w:tcPr>
          <w:p w:rsidR="00BA10AD" w:rsidRPr="00365611" w:rsidRDefault="00BA10AD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2709" w:type="dxa"/>
          </w:tcPr>
          <w:p w:rsidR="00BA10AD" w:rsidRPr="00365611" w:rsidRDefault="00BA10AD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385" w:type="dxa"/>
          </w:tcPr>
          <w:p w:rsidR="00BA10AD" w:rsidRPr="00365611" w:rsidRDefault="00BA10AD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BA10AD" w:rsidRPr="00453CF5" w:rsidTr="00BC3E55">
        <w:trPr>
          <w:trHeight w:val="485"/>
        </w:trPr>
        <w:tc>
          <w:tcPr>
            <w:tcW w:w="10890" w:type="dxa"/>
            <w:gridSpan w:val="3"/>
            <w:shd w:val="clear" w:color="auto" w:fill="BFBFBF" w:themeFill="background1" w:themeFillShade="BF"/>
          </w:tcPr>
          <w:p w:rsidR="00BA10AD" w:rsidRDefault="00BA10AD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BA10AD" w:rsidRDefault="000F100B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0F100B">
              <w:rPr>
                <w:rFonts w:asciiTheme="majorHAnsi" w:hAnsiTheme="majorHAnsi" w:cstheme="majorHAnsi"/>
                <w:b/>
                <w:spacing w:val="-3"/>
              </w:rPr>
              <w:t xml:space="preserve">Hazardous Material Management (HAZMAT): </w:t>
            </w:r>
            <w:r w:rsidR="00BA10AD" w:rsidRPr="00365611">
              <w:rPr>
                <w:rFonts w:asciiTheme="majorHAnsi" w:hAnsiTheme="majorHAnsi" w:cstheme="majorHAnsi"/>
                <w:b/>
                <w:spacing w:val="-3"/>
              </w:rPr>
              <w:t>Maintenance/On-Going Compliance</w:t>
            </w:r>
          </w:p>
          <w:p w:rsidR="00BA10AD" w:rsidRPr="00453CF5" w:rsidRDefault="00BA10AD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BA10AD" w:rsidRPr="00365611" w:rsidTr="00BC3E55">
        <w:trPr>
          <w:trHeight w:val="440"/>
        </w:trPr>
        <w:tc>
          <w:tcPr>
            <w:tcW w:w="3796" w:type="dxa"/>
            <w:shd w:val="clear" w:color="auto" w:fill="D9D9D9" w:themeFill="background1" w:themeFillShade="D9"/>
          </w:tcPr>
          <w:p w:rsidR="00BA10AD" w:rsidRPr="00365611" w:rsidRDefault="00BA10AD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:rsidR="00BA10AD" w:rsidRPr="00365611" w:rsidRDefault="00BA10AD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4385" w:type="dxa"/>
            <w:shd w:val="clear" w:color="auto" w:fill="D9D9D9" w:themeFill="background1" w:themeFillShade="D9"/>
          </w:tcPr>
          <w:p w:rsidR="00BA10AD" w:rsidRPr="00365611" w:rsidRDefault="00BA10AD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602DC3">
              <w:rPr>
                <w:rFonts w:asciiTheme="majorHAnsi" w:hAnsiTheme="majorHAnsi" w:cstheme="majorHAnsi"/>
                <w:b/>
                <w:spacing w:val="-3"/>
              </w:rPr>
              <w:t>Reporting &amp; Documentation Deliverables (if applicable)</w:t>
            </w:r>
          </w:p>
        </w:tc>
      </w:tr>
      <w:tr w:rsidR="0097348E" w:rsidTr="00BC3E55">
        <w:tc>
          <w:tcPr>
            <w:tcW w:w="3796" w:type="dxa"/>
          </w:tcPr>
          <w:p w:rsidR="0097348E" w:rsidRPr="000F100B" w:rsidRDefault="0097348E" w:rsidP="00241F2C">
            <w:pPr>
              <w:autoSpaceDN w:val="0"/>
              <w:rPr>
                <w:rFonts w:asciiTheme="majorHAnsi" w:hAnsiTheme="majorHAnsi" w:cs="Arial"/>
                <w:spacing w:val="-3"/>
              </w:rPr>
            </w:pPr>
            <w:r>
              <w:rPr>
                <w:rFonts w:asciiTheme="majorHAnsi" w:hAnsiTheme="majorHAnsi" w:cs="Arial"/>
                <w:spacing w:val="-3"/>
              </w:rPr>
              <w:t>Review of existing Hazardous Material Business Plans.</w:t>
            </w:r>
          </w:p>
        </w:tc>
        <w:tc>
          <w:tcPr>
            <w:tcW w:w="2709" w:type="dxa"/>
          </w:tcPr>
          <w:p w:rsidR="0097348E" w:rsidRDefault="0097348E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385" w:type="dxa"/>
          </w:tcPr>
          <w:p w:rsidR="0097348E" w:rsidRDefault="0097348E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Tr="00BC3E55">
        <w:tc>
          <w:tcPr>
            <w:tcW w:w="3796" w:type="dxa"/>
          </w:tcPr>
          <w:p w:rsidR="000F100B" w:rsidRPr="000F100B" w:rsidRDefault="000F100B" w:rsidP="00241F2C">
            <w:pPr>
              <w:autoSpaceDN w:val="0"/>
              <w:rPr>
                <w:rFonts w:asciiTheme="majorHAnsi" w:hAnsiTheme="majorHAnsi" w:cstheme="majorHAnsi"/>
                <w:spacing w:val="-3"/>
              </w:rPr>
            </w:pPr>
            <w:r w:rsidRPr="000F100B">
              <w:rPr>
                <w:rFonts w:asciiTheme="majorHAnsi" w:hAnsiTheme="majorHAnsi" w:cs="Arial"/>
                <w:spacing w:val="-3"/>
              </w:rPr>
              <w:t>Review of existing hazardou</w:t>
            </w:r>
            <w:r w:rsidR="0097348E">
              <w:rPr>
                <w:rFonts w:asciiTheme="majorHAnsi" w:hAnsiTheme="majorHAnsi" w:cs="Arial"/>
                <w:spacing w:val="-3"/>
              </w:rPr>
              <w:t xml:space="preserve">s material management practices (including </w:t>
            </w:r>
            <w:r w:rsidRPr="000F100B">
              <w:rPr>
                <w:rFonts w:asciiTheme="majorHAnsi" w:hAnsiTheme="majorHAnsi" w:cs="Arial"/>
                <w:spacing w:val="-3"/>
              </w:rPr>
              <w:lastRenderedPageBreak/>
              <w:t>storage and labeling practices, training requirements</w:t>
            </w:r>
            <w:r w:rsidR="0097348E">
              <w:rPr>
                <w:rFonts w:asciiTheme="majorHAnsi" w:hAnsiTheme="majorHAnsi" w:cs="Arial"/>
                <w:spacing w:val="-3"/>
              </w:rPr>
              <w:t>, record keeping, and reporting).</w:t>
            </w:r>
          </w:p>
        </w:tc>
        <w:tc>
          <w:tcPr>
            <w:tcW w:w="2709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385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BA10AD" w:rsidTr="00BC3E55">
        <w:tc>
          <w:tcPr>
            <w:tcW w:w="3796" w:type="dxa"/>
          </w:tcPr>
          <w:p w:rsidR="00BA10AD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Standardization of HAZMAT reporting documents</w:t>
            </w:r>
            <w:r w:rsidR="0097348E">
              <w:rPr>
                <w:rFonts w:asciiTheme="majorHAnsi" w:hAnsiTheme="majorHAnsi" w:cstheme="majorHAnsi"/>
                <w:spacing w:val="-3"/>
              </w:rPr>
              <w:t>.</w:t>
            </w:r>
          </w:p>
        </w:tc>
        <w:tc>
          <w:tcPr>
            <w:tcW w:w="2709" w:type="dxa"/>
          </w:tcPr>
          <w:p w:rsidR="00BA10AD" w:rsidRDefault="00BA10AD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385" w:type="dxa"/>
          </w:tcPr>
          <w:p w:rsidR="00BA10AD" w:rsidRDefault="00BA10AD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BA10AD" w:rsidTr="00BC3E55">
        <w:tc>
          <w:tcPr>
            <w:tcW w:w="3796" w:type="dxa"/>
          </w:tcPr>
          <w:p w:rsidR="00BA10AD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On-Site HAZMAT audit</w:t>
            </w:r>
            <w:r w:rsidR="0097348E">
              <w:rPr>
                <w:rFonts w:asciiTheme="majorHAnsi" w:hAnsiTheme="majorHAnsi" w:cstheme="majorHAnsi"/>
                <w:spacing w:val="-3"/>
              </w:rPr>
              <w:t>.</w:t>
            </w:r>
          </w:p>
        </w:tc>
        <w:tc>
          <w:tcPr>
            <w:tcW w:w="2709" w:type="dxa"/>
          </w:tcPr>
          <w:p w:rsidR="00BA10AD" w:rsidRDefault="00BA10AD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385" w:type="dxa"/>
          </w:tcPr>
          <w:p w:rsidR="00BA10AD" w:rsidRDefault="00BA10AD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Tr="00BC3E55">
        <w:tc>
          <w:tcPr>
            <w:tcW w:w="3796" w:type="dxa"/>
          </w:tcPr>
          <w:p w:rsidR="000F100B" w:rsidRPr="000F100B" w:rsidRDefault="000F100B" w:rsidP="00241F2C">
            <w:pPr>
              <w:autoSpaceDN w:val="0"/>
              <w:rPr>
                <w:rFonts w:asciiTheme="majorHAnsi" w:hAnsiTheme="majorHAnsi" w:cstheme="majorHAnsi"/>
                <w:spacing w:val="-3"/>
              </w:rPr>
            </w:pPr>
            <w:r w:rsidRPr="000F100B">
              <w:rPr>
                <w:rFonts w:asciiTheme="majorHAnsi" w:hAnsiTheme="majorHAnsi" w:cs="Arial"/>
                <w:spacing w:val="-3"/>
              </w:rPr>
              <w:t xml:space="preserve">Development and delivery of training scenarios, including </w:t>
            </w:r>
            <w:r w:rsidR="0097348E">
              <w:rPr>
                <w:rFonts w:asciiTheme="majorHAnsi" w:hAnsiTheme="majorHAnsi" w:cs="Arial"/>
                <w:spacing w:val="-3"/>
              </w:rPr>
              <w:t xml:space="preserve">preparing for </w:t>
            </w:r>
            <w:r w:rsidRPr="000F100B">
              <w:rPr>
                <w:rFonts w:asciiTheme="majorHAnsi" w:hAnsiTheme="majorHAnsi" w:cs="Arial"/>
                <w:spacing w:val="-3"/>
              </w:rPr>
              <w:t>inspections</w:t>
            </w:r>
            <w:r w:rsidR="0097348E">
              <w:rPr>
                <w:rFonts w:asciiTheme="majorHAnsi" w:hAnsiTheme="majorHAnsi" w:cs="Arial"/>
                <w:spacing w:val="-3"/>
              </w:rPr>
              <w:t>.</w:t>
            </w:r>
          </w:p>
        </w:tc>
        <w:tc>
          <w:tcPr>
            <w:tcW w:w="2709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385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8E5718" w:rsidTr="00BC3E55">
        <w:tc>
          <w:tcPr>
            <w:tcW w:w="3796" w:type="dxa"/>
          </w:tcPr>
          <w:p w:rsidR="008E5718" w:rsidRPr="000F100B" w:rsidRDefault="008E5718" w:rsidP="00241F2C">
            <w:pPr>
              <w:autoSpaceDN w:val="0"/>
              <w:rPr>
                <w:rFonts w:asciiTheme="majorHAnsi" w:hAnsiTheme="majorHAnsi" w:cs="Arial"/>
                <w:spacing w:val="-3"/>
              </w:rPr>
            </w:pPr>
          </w:p>
        </w:tc>
        <w:tc>
          <w:tcPr>
            <w:tcW w:w="2709" w:type="dxa"/>
          </w:tcPr>
          <w:p w:rsidR="008E5718" w:rsidRDefault="008E5718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385" w:type="dxa"/>
          </w:tcPr>
          <w:p w:rsidR="008E5718" w:rsidRDefault="008E5718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</w:tbl>
    <w:p w:rsidR="00BA10AD" w:rsidRDefault="00BA10AD" w:rsidP="00241F2C">
      <w:pPr>
        <w:rPr>
          <w:rFonts w:asciiTheme="majorHAnsi" w:hAnsiTheme="majorHAnsi" w:cstheme="majorHAnsi"/>
          <w:spacing w:val="-3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3642"/>
        <w:gridCol w:w="2794"/>
        <w:gridCol w:w="4454"/>
      </w:tblGrid>
      <w:tr w:rsidR="000F100B" w:rsidRPr="00453CF5" w:rsidTr="00BC3E55">
        <w:trPr>
          <w:trHeight w:val="467"/>
        </w:trPr>
        <w:tc>
          <w:tcPr>
            <w:tcW w:w="10890" w:type="dxa"/>
            <w:gridSpan w:val="3"/>
            <w:shd w:val="clear" w:color="auto" w:fill="BFBFBF" w:themeFill="background1" w:themeFillShade="BF"/>
          </w:tcPr>
          <w:p w:rsidR="000F100B" w:rsidRDefault="000F100B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0F100B" w:rsidRDefault="000F100B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Hazardous Waste Management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Required 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Compliance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Activities</w:t>
            </w:r>
          </w:p>
          <w:p w:rsidR="000F100B" w:rsidRPr="00365611" w:rsidRDefault="000F100B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0F100B" w:rsidRPr="00365611" w:rsidTr="00BC3E55">
        <w:trPr>
          <w:trHeight w:val="431"/>
        </w:trPr>
        <w:tc>
          <w:tcPr>
            <w:tcW w:w="3642" w:type="dxa"/>
            <w:shd w:val="clear" w:color="auto" w:fill="D9D9D9" w:themeFill="background1" w:themeFillShade="D9"/>
          </w:tcPr>
          <w:p w:rsidR="000F100B" w:rsidRPr="00365611" w:rsidRDefault="000F100B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0F100B" w:rsidRPr="00365611" w:rsidRDefault="000F100B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4454" w:type="dxa"/>
            <w:shd w:val="clear" w:color="auto" w:fill="D9D9D9" w:themeFill="background1" w:themeFillShade="D9"/>
          </w:tcPr>
          <w:p w:rsidR="000F100B" w:rsidRPr="00365611" w:rsidRDefault="000F100B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Reporting &amp; Documentation Deliverables (if applicable)</w:t>
            </w:r>
          </w:p>
        </w:tc>
      </w:tr>
      <w:tr w:rsidR="000F100B" w:rsidTr="00BC3E55">
        <w:tc>
          <w:tcPr>
            <w:tcW w:w="3642" w:type="dxa"/>
          </w:tcPr>
          <w:p w:rsidR="000F100B" w:rsidRPr="00365611" w:rsidRDefault="0097348E" w:rsidP="00241F2C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Review of manifest tracking and management program.</w:t>
            </w:r>
          </w:p>
        </w:tc>
        <w:tc>
          <w:tcPr>
            <w:tcW w:w="2794" w:type="dxa"/>
          </w:tcPr>
          <w:p w:rsidR="000F100B" w:rsidRPr="00365611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0F100B" w:rsidRPr="00365611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Tr="00BC3E55">
        <w:tc>
          <w:tcPr>
            <w:tcW w:w="3642" w:type="dxa"/>
          </w:tcPr>
          <w:p w:rsidR="000F100B" w:rsidRPr="00365611" w:rsidRDefault="0097348E" w:rsidP="00241F2C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Provision of 24-hour emergency hotline for hazardous waste emergencies.</w:t>
            </w:r>
          </w:p>
        </w:tc>
        <w:tc>
          <w:tcPr>
            <w:tcW w:w="2794" w:type="dxa"/>
          </w:tcPr>
          <w:p w:rsidR="000F100B" w:rsidRPr="00365611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0F100B" w:rsidRPr="00365611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Tr="00BC3E55">
        <w:tc>
          <w:tcPr>
            <w:tcW w:w="3642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2794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RPr="00453CF5" w:rsidTr="00BC3E55">
        <w:trPr>
          <w:trHeight w:val="485"/>
        </w:trPr>
        <w:tc>
          <w:tcPr>
            <w:tcW w:w="10890" w:type="dxa"/>
            <w:gridSpan w:val="3"/>
            <w:shd w:val="clear" w:color="auto" w:fill="BFBFBF" w:themeFill="background1" w:themeFillShade="BF"/>
          </w:tcPr>
          <w:p w:rsidR="000F100B" w:rsidRDefault="000F100B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0F100B" w:rsidRDefault="000F100B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0F100B">
              <w:rPr>
                <w:rFonts w:asciiTheme="majorHAnsi" w:hAnsiTheme="majorHAnsi" w:cstheme="majorHAnsi"/>
                <w:b/>
                <w:spacing w:val="-3"/>
              </w:rPr>
              <w:t xml:space="preserve">Hazardous </w:t>
            </w:r>
            <w:r>
              <w:rPr>
                <w:rFonts w:asciiTheme="majorHAnsi" w:hAnsiTheme="majorHAnsi" w:cstheme="majorHAnsi"/>
                <w:b/>
                <w:spacing w:val="-3"/>
              </w:rPr>
              <w:t>Waste Management</w:t>
            </w:r>
            <w:r w:rsidRPr="000F100B">
              <w:rPr>
                <w:rFonts w:asciiTheme="majorHAnsi" w:hAnsiTheme="majorHAnsi" w:cstheme="majorHAnsi"/>
                <w:b/>
                <w:spacing w:val="-3"/>
              </w:rPr>
              <w:t xml:space="preserve">: 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Maintenance/On-Going Compliance</w:t>
            </w:r>
          </w:p>
          <w:p w:rsidR="000F100B" w:rsidRPr="00453CF5" w:rsidRDefault="000F100B" w:rsidP="00241F2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0F100B" w:rsidRPr="00365611" w:rsidTr="00BC3E55">
        <w:trPr>
          <w:trHeight w:val="440"/>
        </w:trPr>
        <w:tc>
          <w:tcPr>
            <w:tcW w:w="3642" w:type="dxa"/>
            <w:shd w:val="clear" w:color="auto" w:fill="D9D9D9" w:themeFill="background1" w:themeFillShade="D9"/>
          </w:tcPr>
          <w:p w:rsidR="000F100B" w:rsidRPr="00365611" w:rsidRDefault="000F100B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0F100B" w:rsidRPr="00365611" w:rsidRDefault="000F100B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4454" w:type="dxa"/>
            <w:shd w:val="clear" w:color="auto" w:fill="D9D9D9" w:themeFill="background1" w:themeFillShade="D9"/>
          </w:tcPr>
          <w:p w:rsidR="000F100B" w:rsidRPr="00365611" w:rsidRDefault="000F100B" w:rsidP="00241F2C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602DC3">
              <w:rPr>
                <w:rFonts w:asciiTheme="majorHAnsi" w:hAnsiTheme="majorHAnsi" w:cstheme="majorHAnsi"/>
                <w:b/>
                <w:spacing w:val="-3"/>
              </w:rPr>
              <w:t>Reporting &amp; Documentation Deliverables (if applicable)</w:t>
            </w:r>
          </w:p>
        </w:tc>
      </w:tr>
      <w:tr w:rsidR="000F100B" w:rsidTr="00BC3E55">
        <w:tc>
          <w:tcPr>
            <w:tcW w:w="3642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  <w:r w:rsidRPr="000F100B">
              <w:rPr>
                <w:rFonts w:asciiTheme="majorHAnsi" w:hAnsiTheme="majorHAnsi" w:cstheme="majorHAnsi"/>
                <w:spacing w:val="-3"/>
              </w:rPr>
              <w:t>On-call technical services related to hazardous waste disposal and emergencies.</w:t>
            </w:r>
          </w:p>
        </w:tc>
        <w:tc>
          <w:tcPr>
            <w:tcW w:w="2794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Tr="00BC3E55">
        <w:tc>
          <w:tcPr>
            <w:tcW w:w="3642" w:type="dxa"/>
          </w:tcPr>
          <w:p w:rsidR="000F100B" w:rsidRPr="000F100B" w:rsidRDefault="000F100B" w:rsidP="00241F2C">
            <w:pPr>
              <w:autoSpaceDN w:val="0"/>
              <w:rPr>
                <w:rFonts w:asciiTheme="majorHAnsi" w:hAnsiTheme="majorHAnsi" w:cstheme="majorHAnsi"/>
                <w:spacing w:val="-3"/>
              </w:rPr>
            </w:pPr>
            <w:r w:rsidRPr="000F100B">
              <w:rPr>
                <w:rFonts w:asciiTheme="majorHAnsi" w:hAnsiTheme="majorHAnsi" w:cs="Arial"/>
                <w:spacing w:val="-3"/>
              </w:rPr>
              <w:t>Development and delivery of training scenarios, including responding to a hazardous waste scenario.</w:t>
            </w:r>
          </w:p>
        </w:tc>
        <w:tc>
          <w:tcPr>
            <w:tcW w:w="2794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0F100B" w:rsidRDefault="000F100B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8E5718" w:rsidTr="00BC3E55">
        <w:tc>
          <w:tcPr>
            <w:tcW w:w="3642" w:type="dxa"/>
          </w:tcPr>
          <w:p w:rsidR="008E5718" w:rsidRPr="000F100B" w:rsidRDefault="008E5718" w:rsidP="00241F2C">
            <w:pPr>
              <w:autoSpaceDN w:val="0"/>
              <w:rPr>
                <w:rFonts w:asciiTheme="majorHAnsi" w:hAnsiTheme="majorHAnsi" w:cs="Arial"/>
                <w:spacing w:val="-3"/>
              </w:rPr>
            </w:pPr>
          </w:p>
        </w:tc>
        <w:tc>
          <w:tcPr>
            <w:tcW w:w="2794" w:type="dxa"/>
          </w:tcPr>
          <w:p w:rsidR="008E5718" w:rsidRDefault="008E5718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4454" w:type="dxa"/>
          </w:tcPr>
          <w:p w:rsidR="008E5718" w:rsidRDefault="008E5718" w:rsidP="00241F2C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</w:tbl>
    <w:p w:rsidR="000F100B" w:rsidRDefault="000F100B" w:rsidP="00241F2C">
      <w:pPr>
        <w:rPr>
          <w:rFonts w:asciiTheme="majorHAnsi" w:hAnsiTheme="majorHAnsi" w:cstheme="majorHAnsi"/>
          <w:spacing w:val="-3"/>
        </w:rPr>
      </w:pPr>
    </w:p>
    <w:sectPr w:rsidR="000F100B" w:rsidSect="00241F2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8FD" w:rsidRDefault="008718FD" w:rsidP="008718FD">
      <w:r>
        <w:separator/>
      </w:r>
    </w:p>
  </w:endnote>
  <w:endnote w:type="continuationSeparator" w:id="0">
    <w:p w:rsidR="008718FD" w:rsidRDefault="008718FD" w:rsidP="0087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FD" w:rsidRPr="008718FD" w:rsidRDefault="008718FD">
    <w:pPr>
      <w:pStyle w:val="Footer"/>
      <w:jc w:val="center"/>
    </w:pPr>
    <w:r w:rsidRPr="008718FD">
      <w:t xml:space="preserve">Page </w:t>
    </w:r>
    <w:r w:rsidRPr="008718FD">
      <w:fldChar w:fldCharType="begin"/>
    </w:r>
    <w:r w:rsidRPr="008718FD">
      <w:instrText xml:space="preserve"> PAGE  \* Arabic  \* MERGEFORMAT </w:instrText>
    </w:r>
    <w:r w:rsidRPr="008718FD">
      <w:fldChar w:fldCharType="separate"/>
    </w:r>
    <w:r w:rsidR="005573A2">
      <w:rPr>
        <w:noProof/>
      </w:rPr>
      <w:t>3</w:t>
    </w:r>
    <w:r w:rsidRPr="008718FD">
      <w:fldChar w:fldCharType="end"/>
    </w:r>
    <w:r w:rsidRPr="008718FD">
      <w:t xml:space="preserve"> of </w:t>
    </w:r>
    <w:fldSimple w:instr=" NUMPAGES  \* Arabic  \* MERGEFORMAT ">
      <w:r w:rsidR="005573A2">
        <w:rPr>
          <w:noProof/>
        </w:rPr>
        <w:t>3</w:t>
      </w:r>
    </w:fldSimple>
  </w:p>
  <w:p w:rsidR="008718FD" w:rsidRDefault="008718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8FD" w:rsidRDefault="008718FD" w:rsidP="008718FD">
      <w:r>
        <w:separator/>
      </w:r>
    </w:p>
  </w:footnote>
  <w:footnote w:type="continuationSeparator" w:id="0">
    <w:p w:rsidR="008718FD" w:rsidRDefault="008718FD" w:rsidP="0087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24D5"/>
    <w:multiLevelType w:val="hybridMultilevel"/>
    <w:tmpl w:val="ECFE8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F3704"/>
    <w:multiLevelType w:val="hybridMultilevel"/>
    <w:tmpl w:val="8E20D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D55571"/>
    <w:multiLevelType w:val="hybridMultilevel"/>
    <w:tmpl w:val="9DE25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43677"/>
    <w:multiLevelType w:val="hybridMultilevel"/>
    <w:tmpl w:val="F7C4E6FC"/>
    <w:lvl w:ilvl="0" w:tplc="BB344178">
      <w:start w:val="1"/>
      <w:numFmt w:val="low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A65352B"/>
    <w:multiLevelType w:val="hybridMultilevel"/>
    <w:tmpl w:val="D3060E04"/>
    <w:lvl w:ilvl="0" w:tplc="BB34417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F5"/>
    <w:rsid w:val="000F100B"/>
    <w:rsid w:val="001A00BA"/>
    <w:rsid w:val="00241F2C"/>
    <w:rsid w:val="00365611"/>
    <w:rsid w:val="003B4F2C"/>
    <w:rsid w:val="00453CF5"/>
    <w:rsid w:val="00512FC9"/>
    <w:rsid w:val="005573A2"/>
    <w:rsid w:val="00602DC3"/>
    <w:rsid w:val="007176E4"/>
    <w:rsid w:val="008267DB"/>
    <w:rsid w:val="008718FD"/>
    <w:rsid w:val="008E5718"/>
    <w:rsid w:val="0097348E"/>
    <w:rsid w:val="00A15D8F"/>
    <w:rsid w:val="00A626E2"/>
    <w:rsid w:val="00AE2E85"/>
    <w:rsid w:val="00BA10AD"/>
    <w:rsid w:val="00BC3E55"/>
    <w:rsid w:val="00C5594D"/>
    <w:rsid w:val="00DE5CC3"/>
    <w:rsid w:val="00E42B97"/>
    <w:rsid w:val="00F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06C80-6426-4D40-8AB5-D61A2B20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3CF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53CF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CF5"/>
    <w:pPr>
      <w:ind w:left="720"/>
    </w:pPr>
  </w:style>
  <w:style w:type="table" w:styleId="TableGrid">
    <w:name w:val="Table Grid"/>
    <w:basedOn w:val="TableNormal"/>
    <w:uiPriority w:val="39"/>
    <w:rsid w:val="0045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8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1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8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Sainz, Laura</dc:creator>
  <cp:keywords/>
  <dc:description/>
  <cp:lastModifiedBy>Parker, Robin</cp:lastModifiedBy>
  <cp:revision>4</cp:revision>
  <dcterms:created xsi:type="dcterms:W3CDTF">2016-11-03T20:22:00Z</dcterms:created>
  <dcterms:modified xsi:type="dcterms:W3CDTF">2016-11-16T00:42:00Z</dcterms:modified>
</cp:coreProperties>
</file>