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3B" w:rsidRPr="00AE2797" w:rsidRDefault="0070742F" w:rsidP="0070742F">
      <w:pPr>
        <w:pStyle w:val="BodyText"/>
        <w:jc w:val="center"/>
        <w:outlineLvl w:val="0"/>
        <w:rPr>
          <w:b/>
        </w:rPr>
      </w:pPr>
      <w:r>
        <w:rPr>
          <w:b/>
        </w:rPr>
        <w:t>REAL ESTATE APPRAISAL SERVICES</w:t>
      </w:r>
    </w:p>
    <w:p w:rsidR="003B103B" w:rsidRPr="00AE2797" w:rsidRDefault="003B103B" w:rsidP="003B103B">
      <w:pPr>
        <w:pStyle w:val="BodyText"/>
        <w:jc w:val="center"/>
        <w:rPr>
          <w:b/>
        </w:rPr>
      </w:pPr>
    </w:p>
    <w:p w:rsidR="003B103B" w:rsidRDefault="0070742F" w:rsidP="003B103B">
      <w:pPr>
        <w:pStyle w:val="BodyText"/>
        <w:jc w:val="center"/>
        <w:outlineLvl w:val="0"/>
        <w:rPr>
          <w:b/>
        </w:rPr>
      </w:pPr>
      <w:r>
        <w:rPr>
          <w:b/>
        </w:rPr>
        <w:t>RFP#OREFM-2013-06-CC</w:t>
      </w:r>
    </w:p>
    <w:p w:rsidR="003B103B" w:rsidRPr="00AE2797" w:rsidRDefault="003B103B" w:rsidP="003B103B">
      <w:pPr>
        <w:pStyle w:val="BodyText"/>
        <w:jc w:val="center"/>
        <w:rPr>
          <w:b/>
        </w:rPr>
      </w:pPr>
    </w:p>
    <w:p w:rsidR="003B103B" w:rsidRPr="0034608F" w:rsidRDefault="0070742F" w:rsidP="003B103B">
      <w:pPr>
        <w:pStyle w:val="BodyText"/>
        <w:jc w:val="center"/>
        <w:rPr>
          <w:b/>
        </w:rPr>
      </w:pPr>
      <w:r>
        <w:rPr>
          <w:b/>
        </w:rPr>
        <w:t>March 28, 2014</w:t>
      </w:r>
    </w:p>
    <w:p w:rsidR="003B103B" w:rsidRDefault="003B103B" w:rsidP="003B103B">
      <w:pPr>
        <w:pStyle w:val="BodyText"/>
        <w:jc w:val="center"/>
      </w:pPr>
    </w:p>
    <w:p w:rsidR="003B103B" w:rsidRDefault="003B103B" w:rsidP="003B103B">
      <w:pPr>
        <w:pStyle w:val="BodyText"/>
        <w:jc w:val="center"/>
      </w:pPr>
    </w:p>
    <w:p w:rsidR="003B103B" w:rsidRDefault="003B103B" w:rsidP="003B103B">
      <w:pPr>
        <w:pStyle w:val="BodyText"/>
      </w:pPr>
      <w:r>
        <w:t xml:space="preserve">It is the intent of the Administrative Office of the </w:t>
      </w:r>
      <w:r w:rsidR="00F61B10">
        <w:t>Courts, Office of Real Estate and Facilities Management</w:t>
      </w:r>
      <w:r w:rsidR="00B41B11">
        <w:t xml:space="preserve">, to enter into </w:t>
      </w:r>
      <w:r>
        <w:t>contract</w:t>
      </w:r>
      <w:r w:rsidR="00B41B11">
        <w:t>s</w:t>
      </w:r>
      <w:r>
        <w:t xml:space="preserve"> with the following firms for services as set forth in the Request for Proposals. </w:t>
      </w:r>
    </w:p>
    <w:p w:rsidR="003B103B" w:rsidRDefault="003B103B" w:rsidP="003B103B">
      <w:pPr>
        <w:pStyle w:val="BodyText"/>
      </w:pPr>
    </w:p>
    <w:tbl>
      <w:tblPr>
        <w:tblStyle w:val="TableWeb1"/>
        <w:tblW w:w="10333" w:type="dxa"/>
        <w:tblLook w:val="04A0"/>
      </w:tblPr>
      <w:tblGrid>
        <w:gridCol w:w="3685"/>
        <w:gridCol w:w="2780"/>
        <w:gridCol w:w="2518"/>
        <w:gridCol w:w="1350"/>
      </w:tblGrid>
      <w:tr w:rsidR="003B103B" w:rsidTr="00B2017C">
        <w:trPr>
          <w:cnfStyle w:val="100000000000"/>
        </w:trPr>
        <w:tc>
          <w:tcPr>
            <w:tcW w:w="3625" w:type="dxa"/>
          </w:tcPr>
          <w:p w:rsidR="003B103B" w:rsidRPr="00077E28" w:rsidRDefault="00077E28" w:rsidP="00077E28">
            <w:pPr>
              <w:rPr>
                <w:b/>
                <w:i/>
              </w:rPr>
            </w:pPr>
            <w:r w:rsidRPr="00077E28">
              <w:rPr>
                <w:b/>
                <w:i/>
              </w:rPr>
              <w:t>Firm Name</w:t>
            </w:r>
          </w:p>
        </w:tc>
        <w:tc>
          <w:tcPr>
            <w:tcW w:w="2740" w:type="dxa"/>
          </w:tcPr>
          <w:p w:rsidR="003B103B" w:rsidRPr="00077E28" w:rsidRDefault="003B103B" w:rsidP="0070742F">
            <w:pPr>
              <w:pStyle w:val="BodyText"/>
              <w:rPr>
                <w:b/>
                <w:i/>
              </w:rPr>
            </w:pPr>
            <w:r w:rsidRPr="00077E28">
              <w:rPr>
                <w:b/>
                <w:i/>
              </w:rPr>
              <w:t>Address</w:t>
            </w:r>
          </w:p>
        </w:tc>
        <w:tc>
          <w:tcPr>
            <w:tcW w:w="2478" w:type="dxa"/>
          </w:tcPr>
          <w:p w:rsidR="003B103B" w:rsidRPr="00077E28" w:rsidRDefault="003B103B" w:rsidP="0070742F">
            <w:pPr>
              <w:pStyle w:val="BodyText"/>
              <w:rPr>
                <w:b/>
                <w:i/>
              </w:rPr>
            </w:pPr>
            <w:r w:rsidRPr="00077E28">
              <w:rPr>
                <w:b/>
                <w:i/>
              </w:rPr>
              <w:t>City, State</w:t>
            </w:r>
          </w:p>
        </w:tc>
        <w:tc>
          <w:tcPr>
            <w:tcW w:w="1290" w:type="dxa"/>
          </w:tcPr>
          <w:p w:rsidR="003B103B" w:rsidRPr="00077E28" w:rsidRDefault="003B103B" w:rsidP="0070742F">
            <w:pPr>
              <w:pStyle w:val="BodyText"/>
              <w:rPr>
                <w:b/>
                <w:i/>
              </w:rPr>
            </w:pPr>
            <w:r w:rsidRPr="00077E28">
              <w:rPr>
                <w:b/>
                <w:i/>
              </w:rPr>
              <w:t>Zip Code</w:t>
            </w:r>
          </w:p>
        </w:tc>
      </w:tr>
      <w:tr w:rsidR="003B103B" w:rsidTr="00B2017C">
        <w:tc>
          <w:tcPr>
            <w:tcW w:w="3625" w:type="dxa"/>
          </w:tcPr>
          <w:p w:rsidR="003B103B" w:rsidRDefault="00077E28" w:rsidP="0070742F">
            <w:pPr>
              <w:pStyle w:val="BodyText"/>
            </w:pPr>
            <w:r>
              <w:t>Bender Rosenthal, Inc.</w:t>
            </w:r>
          </w:p>
        </w:tc>
        <w:tc>
          <w:tcPr>
            <w:tcW w:w="2740" w:type="dxa"/>
          </w:tcPr>
          <w:p w:rsidR="003B103B" w:rsidRDefault="00077E28" w:rsidP="0070742F">
            <w:pPr>
              <w:pStyle w:val="BodyText"/>
            </w:pPr>
            <w:r>
              <w:t>4400 Auburn Blvd.</w:t>
            </w:r>
          </w:p>
        </w:tc>
        <w:tc>
          <w:tcPr>
            <w:tcW w:w="2478" w:type="dxa"/>
          </w:tcPr>
          <w:p w:rsidR="003B103B" w:rsidRDefault="00077E28" w:rsidP="0070742F">
            <w:pPr>
              <w:pStyle w:val="BodyText"/>
            </w:pPr>
            <w:r>
              <w:t>Sacramento, CA</w:t>
            </w:r>
          </w:p>
        </w:tc>
        <w:tc>
          <w:tcPr>
            <w:tcW w:w="1290" w:type="dxa"/>
          </w:tcPr>
          <w:p w:rsidR="003B103B" w:rsidRDefault="00077E28" w:rsidP="0070742F">
            <w:pPr>
              <w:pStyle w:val="BodyText"/>
            </w:pPr>
            <w:r>
              <w:t>95841</w:t>
            </w:r>
          </w:p>
        </w:tc>
      </w:tr>
      <w:tr w:rsidR="003B103B" w:rsidTr="00B2017C">
        <w:tc>
          <w:tcPr>
            <w:tcW w:w="3625" w:type="dxa"/>
          </w:tcPr>
          <w:p w:rsidR="003B103B" w:rsidRDefault="00077E28" w:rsidP="0070742F">
            <w:pPr>
              <w:pStyle w:val="BodyText"/>
            </w:pPr>
            <w:r>
              <w:t>Colliers International</w:t>
            </w:r>
          </w:p>
        </w:tc>
        <w:tc>
          <w:tcPr>
            <w:tcW w:w="2740" w:type="dxa"/>
          </w:tcPr>
          <w:p w:rsidR="003B103B" w:rsidRDefault="00077E28" w:rsidP="0070742F">
            <w:pPr>
              <w:pStyle w:val="BodyText"/>
            </w:pPr>
            <w:r>
              <w:t>865 S. Figueroa St.</w:t>
            </w:r>
          </w:p>
        </w:tc>
        <w:tc>
          <w:tcPr>
            <w:tcW w:w="2478" w:type="dxa"/>
          </w:tcPr>
          <w:p w:rsidR="003B103B" w:rsidRDefault="00077E28" w:rsidP="0070742F">
            <w:pPr>
              <w:pStyle w:val="BodyText"/>
            </w:pPr>
            <w:r>
              <w:t>Los Angeles, CA</w:t>
            </w:r>
          </w:p>
        </w:tc>
        <w:tc>
          <w:tcPr>
            <w:tcW w:w="1290" w:type="dxa"/>
          </w:tcPr>
          <w:p w:rsidR="003B103B" w:rsidRDefault="00077E28" w:rsidP="0070742F">
            <w:pPr>
              <w:pStyle w:val="BodyText"/>
            </w:pPr>
            <w:r>
              <w:t>90017</w:t>
            </w:r>
          </w:p>
        </w:tc>
      </w:tr>
      <w:tr w:rsidR="003B103B" w:rsidTr="00B2017C">
        <w:tc>
          <w:tcPr>
            <w:tcW w:w="3625" w:type="dxa"/>
          </w:tcPr>
          <w:p w:rsidR="003B103B" w:rsidRDefault="00077E28" w:rsidP="0070742F">
            <w:pPr>
              <w:pStyle w:val="BodyText"/>
            </w:pPr>
            <w:r>
              <w:t>Duff &amp; Phelps, Inc.</w:t>
            </w:r>
          </w:p>
        </w:tc>
        <w:tc>
          <w:tcPr>
            <w:tcW w:w="2740" w:type="dxa"/>
          </w:tcPr>
          <w:p w:rsidR="003B103B" w:rsidRDefault="00077E28" w:rsidP="0070742F">
            <w:pPr>
              <w:pStyle w:val="BodyText"/>
            </w:pPr>
            <w:r>
              <w:t>345 California St.</w:t>
            </w:r>
          </w:p>
        </w:tc>
        <w:tc>
          <w:tcPr>
            <w:tcW w:w="2478" w:type="dxa"/>
          </w:tcPr>
          <w:p w:rsidR="003B103B" w:rsidRDefault="00077E28" w:rsidP="0070742F">
            <w:pPr>
              <w:pStyle w:val="BodyText"/>
            </w:pPr>
            <w:r>
              <w:t>San Francisco</w:t>
            </w:r>
          </w:p>
        </w:tc>
        <w:tc>
          <w:tcPr>
            <w:tcW w:w="1290" w:type="dxa"/>
          </w:tcPr>
          <w:p w:rsidR="003B103B" w:rsidRDefault="00E379B7" w:rsidP="0070742F">
            <w:pPr>
              <w:pStyle w:val="BodyText"/>
            </w:pPr>
            <w:r>
              <w:t>94104</w:t>
            </w:r>
          </w:p>
        </w:tc>
      </w:tr>
      <w:tr w:rsidR="003B103B" w:rsidTr="00B2017C">
        <w:tc>
          <w:tcPr>
            <w:tcW w:w="3625" w:type="dxa"/>
          </w:tcPr>
          <w:p w:rsidR="003B103B" w:rsidRDefault="00077E28" w:rsidP="0070742F">
            <w:pPr>
              <w:pStyle w:val="BodyText"/>
            </w:pPr>
            <w:r>
              <w:t>Integra Realty Resources</w:t>
            </w:r>
          </w:p>
        </w:tc>
        <w:tc>
          <w:tcPr>
            <w:tcW w:w="2740" w:type="dxa"/>
          </w:tcPr>
          <w:p w:rsidR="003B103B" w:rsidRDefault="00077E28" w:rsidP="0070742F">
            <w:pPr>
              <w:pStyle w:val="BodyText"/>
            </w:pPr>
            <w:r>
              <w:t>150 S. Los Robles Ave.</w:t>
            </w:r>
          </w:p>
        </w:tc>
        <w:tc>
          <w:tcPr>
            <w:tcW w:w="2478" w:type="dxa"/>
          </w:tcPr>
          <w:p w:rsidR="003B103B" w:rsidRDefault="00E379B7" w:rsidP="0070742F">
            <w:pPr>
              <w:pStyle w:val="BodyText"/>
            </w:pPr>
            <w:r>
              <w:t>Pasadena, CA</w:t>
            </w:r>
          </w:p>
        </w:tc>
        <w:tc>
          <w:tcPr>
            <w:tcW w:w="1290" w:type="dxa"/>
          </w:tcPr>
          <w:p w:rsidR="003B103B" w:rsidRDefault="00F61B10" w:rsidP="0070742F">
            <w:pPr>
              <w:pStyle w:val="BodyText"/>
            </w:pPr>
            <w:r>
              <w:t>9</w:t>
            </w:r>
            <w:r w:rsidR="00E379B7">
              <w:t>1101</w:t>
            </w:r>
          </w:p>
        </w:tc>
      </w:tr>
      <w:tr w:rsidR="003B103B" w:rsidTr="00B2017C">
        <w:tc>
          <w:tcPr>
            <w:tcW w:w="3625" w:type="dxa"/>
          </w:tcPr>
          <w:p w:rsidR="003B103B" w:rsidRDefault="00E379B7" w:rsidP="0070742F">
            <w:pPr>
              <w:pStyle w:val="BodyText"/>
            </w:pPr>
            <w:r>
              <w:t>Marshall &amp; Stevens, Inc.</w:t>
            </w:r>
          </w:p>
        </w:tc>
        <w:tc>
          <w:tcPr>
            <w:tcW w:w="2740" w:type="dxa"/>
          </w:tcPr>
          <w:p w:rsidR="003B103B" w:rsidRDefault="00E379B7" w:rsidP="0070742F">
            <w:pPr>
              <w:pStyle w:val="BodyText"/>
            </w:pPr>
            <w:r>
              <w:t>355 S. Grand Ave.</w:t>
            </w:r>
          </w:p>
        </w:tc>
        <w:tc>
          <w:tcPr>
            <w:tcW w:w="2478" w:type="dxa"/>
          </w:tcPr>
          <w:p w:rsidR="003B103B" w:rsidRDefault="00E379B7" w:rsidP="0070742F">
            <w:pPr>
              <w:pStyle w:val="BodyText"/>
            </w:pPr>
            <w:r>
              <w:t>Los Angeles, CA</w:t>
            </w:r>
          </w:p>
        </w:tc>
        <w:tc>
          <w:tcPr>
            <w:tcW w:w="1290" w:type="dxa"/>
          </w:tcPr>
          <w:p w:rsidR="003B103B" w:rsidRDefault="00E379B7" w:rsidP="0070742F">
            <w:pPr>
              <w:pStyle w:val="BodyText"/>
            </w:pPr>
            <w:r>
              <w:t>90071</w:t>
            </w:r>
          </w:p>
        </w:tc>
      </w:tr>
      <w:tr w:rsidR="003B103B" w:rsidTr="00B2017C">
        <w:tc>
          <w:tcPr>
            <w:tcW w:w="3625" w:type="dxa"/>
          </w:tcPr>
          <w:p w:rsidR="003B103B" w:rsidRDefault="00E379B7" w:rsidP="0070742F">
            <w:pPr>
              <w:pStyle w:val="BodyText"/>
            </w:pPr>
            <w:r>
              <w:t>Overland, Pacific  &amp; Cutler, Inc.</w:t>
            </w:r>
          </w:p>
        </w:tc>
        <w:tc>
          <w:tcPr>
            <w:tcW w:w="2740" w:type="dxa"/>
          </w:tcPr>
          <w:p w:rsidR="003B103B" w:rsidRDefault="00E379B7" w:rsidP="0070742F">
            <w:pPr>
              <w:pStyle w:val="BodyText"/>
            </w:pPr>
            <w:r>
              <w:t>1 Jenner</w:t>
            </w:r>
          </w:p>
        </w:tc>
        <w:tc>
          <w:tcPr>
            <w:tcW w:w="2478" w:type="dxa"/>
          </w:tcPr>
          <w:p w:rsidR="003B103B" w:rsidRDefault="00E379B7" w:rsidP="0070742F">
            <w:pPr>
              <w:pStyle w:val="BodyText"/>
            </w:pPr>
            <w:r>
              <w:t>Irvine, CA</w:t>
            </w:r>
          </w:p>
        </w:tc>
        <w:tc>
          <w:tcPr>
            <w:tcW w:w="1290" w:type="dxa"/>
          </w:tcPr>
          <w:p w:rsidR="003B103B" w:rsidRDefault="00E379B7" w:rsidP="0070742F">
            <w:pPr>
              <w:pStyle w:val="BodyText"/>
            </w:pPr>
            <w:r>
              <w:t>92618</w:t>
            </w:r>
          </w:p>
        </w:tc>
      </w:tr>
      <w:tr w:rsidR="003B103B" w:rsidTr="00B2017C">
        <w:tc>
          <w:tcPr>
            <w:tcW w:w="3625" w:type="dxa"/>
          </w:tcPr>
          <w:p w:rsidR="003B103B" w:rsidRDefault="00E379B7" w:rsidP="0070742F">
            <w:pPr>
              <w:pStyle w:val="BodyText"/>
            </w:pPr>
            <w:proofErr w:type="spellStart"/>
            <w:r>
              <w:t>Seevers</w:t>
            </w:r>
            <w:proofErr w:type="spellEnd"/>
            <w:r>
              <w:t xml:space="preserve"> Jordan </w:t>
            </w:r>
            <w:proofErr w:type="spellStart"/>
            <w:r>
              <w:t>Ziegenmeyer</w:t>
            </w:r>
            <w:proofErr w:type="spellEnd"/>
          </w:p>
        </w:tc>
        <w:tc>
          <w:tcPr>
            <w:tcW w:w="2740" w:type="dxa"/>
          </w:tcPr>
          <w:p w:rsidR="003B103B" w:rsidRDefault="00E379B7" w:rsidP="0070742F">
            <w:pPr>
              <w:pStyle w:val="BodyText"/>
            </w:pPr>
            <w:r>
              <w:t>3825 Atherton Road</w:t>
            </w:r>
          </w:p>
        </w:tc>
        <w:tc>
          <w:tcPr>
            <w:tcW w:w="2478" w:type="dxa"/>
          </w:tcPr>
          <w:p w:rsidR="003B103B" w:rsidRDefault="00E379B7" w:rsidP="0070742F">
            <w:pPr>
              <w:pStyle w:val="BodyText"/>
            </w:pPr>
            <w:r>
              <w:t>Rocklin, CA</w:t>
            </w:r>
          </w:p>
        </w:tc>
        <w:tc>
          <w:tcPr>
            <w:tcW w:w="1290" w:type="dxa"/>
          </w:tcPr>
          <w:p w:rsidR="003B103B" w:rsidRDefault="00E379B7" w:rsidP="0070742F">
            <w:pPr>
              <w:pStyle w:val="BodyText"/>
            </w:pPr>
            <w:r>
              <w:t>95765</w:t>
            </w:r>
          </w:p>
        </w:tc>
      </w:tr>
      <w:tr w:rsidR="003B103B" w:rsidTr="00B2017C">
        <w:tc>
          <w:tcPr>
            <w:tcW w:w="3625" w:type="dxa"/>
          </w:tcPr>
          <w:p w:rsidR="003B103B" w:rsidRDefault="009631C8" w:rsidP="0070742F">
            <w:pPr>
              <w:pStyle w:val="BodyText"/>
            </w:pPr>
            <w:r>
              <w:t>Robert H. Shaw Inc.</w:t>
            </w:r>
          </w:p>
        </w:tc>
        <w:tc>
          <w:tcPr>
            <w:tcW w:w="2740" w:type="dxa"/>
          </w:tcPr>
          <w:p w:rsidR="003B103B" w:rsidRDefault="009631C8" w:rsidP="0070742F">
            <w:pPr>
              <w:pStyle w:val="BodyText"/>
            </w:pPr>
            <w:r>
              <w:t xml:space="preserve">280 </w:t>
            </w:r>
            <w:proofErr w:type="spellStart"/>
            <w:r>
              <w:t>Hemsted</w:t>
            </w:r>
            <w:proofErr w:type="spellEnd"/>
            <w:r>
              <w:t xml:space="preserve"> Dr.</w:t>
            </w:r>
          </w:p>
        </w:tc>
        <w:tc>
          <w:tcPr>
            <w:tcW w:w="2478" w:type="dxa"/>
          </w:tcPr>
          <w:p w:rsidR="003B103B" w:rsidRDefault="009631C8" w:rsidP="0070742F">
            <w:pPr>
              <w:pStyle w:val="BodyText"/>
            </w:pPr>
            <w:r>
              <w:t>Redding, CA</w:t>
            </w:r>
          </w:p>
        </w:tc>
        <w:tc>
          <w:tcPr>
            <w:tcW w:w="1290" w:type="dxa"/>
          </w:tcPr>
          <w:p w:rsidR="003B103B" w:rsidRDefault="009631C8" w:rsidP="0070742F">
            <w:pPr>
              <w:pStyle w:val="BodyText"/>
            </w:pPr>
            <w:r>
              <w:t>96002</w:t>
            </w:r>
          </w:p>
        </w:tc>
      </w:tr>
      <w:tr w:rsidR="009631C8" w:rsidTr="00B2017C">
        <w:tc>
          <w:tcPr>
            <w:tcW w:w="3625" w:type="dxa"/>
          </w:tcPr>
          <w:p w:rsidR="009631C8" w:rsidRDefault="009631C8" w:rsidP="0070742F">
            <w:pPr>
              <w:pStyle w:val="BodyText"/>
            </w:pPr>
            <w:r>
              <w:t>The Dore Group, Inc.</w:t>
            </w:r>
          </w:p>
        </w:tc>
        <w:tc>
          <w:tcPr>
            <w:tcW w:w="2740" w:type="dxa"/>
          </w:tcPr>
          <w:p w:rsidR="009631C8" w:rsidRDefault="009631C8" w:rsidP="0070742F">
            <w:pPr>
              <w:pStyle w:val="BodyText"/>
            </w:pPr>
            <w:r>
              <w:t xml:space="preserve">415 West </w:t>
            </w:r>
            <w:r w:rsidR="00F61B10">
              <w:t>G Street</w:t>
            </w:r>
          </w:p>
        </w:tc>
        <w:tc>
          <w:tcPr>
            <w:tcW w:w="2478" w:type="dxa"/>
          </w:tcPr>
          <w:p w:rsidR="009631C8" w:rsidRDefault="00F61B10" w:rsidP="0070742F">
            <w:pPr>
              <w:pStyle w:val="BodyText"/>
            </w:pPr>
            <w:r>
              <w:t>San Diego, CA</w:t>
            </w:r>
          </w:p>
        </w:tc>
        <w:tc>
          <w:tcPr>
            <w:tcW w:w="1290" w:type="dxa"/>
          </w:tcPr>
          <w:p w:rsidR="009631C8" w:rsidRDefault="00F61B10" w:rsidP="0070742F">
            <w:pPr>
              <w:pStyle w:val="BodyText"/>
            </w:pPr>
            <w:r>
              <w:t>92101</w:t>
            </w:r>
          </w:p>
        </w:tc>
      </w:tr>
      <w:tr w:rsidR="009631C8" w:rsidTr="00B2017C">
        <w:tc>
          <w:tcPr>
            <w:tcW w:w="3625" w:type="dxa"/>
          </w:tcPr>
          <w:p w:rsidR="009631C8" w:rsidRDefault="00F61B10" w:rsidP="0070742F">
            <w:pPr>
              <w:pStyle w:val="BodyText"/>
            </w:pPr>
            <w:r>
              <w:t>Villegas Appraisal Company</w:t>
            </w:r>
          </w:p>
        </w:tc>
        <w:tc>
          <w:tcPr>
            <w:tcW w:w="2740" w:type="dxa"/>
          </w:tcPr>
          <w:p w:rsidR="009631C8" w:rsidRDefault="00F61B10" w:rsidP="0070742F">
            <w:pPr>
              <w:pStyle w:val="BodyText"/>
            </w:pPr>
            <w:r>
              <w:t>732 N. Mountain Ave.</w:t>
            </w:r>
          </w:p>
        </w:tc>
        <w:tc>
          <w:tcPr>
            <w:tcW w:w="2478" w:type="dxa"/>
          </w:tcPr>
          <w:p w:rsidR="009631C8" w:rsidRDefault="00F61B10" w:rsidP="0070742F">
            <w:pPr>
              <w:pStyle w:val="BodyText"/>
            </w:pPr>
            <w:r>
              <w:t>Upland, CA</w:t>
            </w:r>
          </w:p>
        </w:tc>
        <w:tc>
          <w:tcPr>
            <w:tcW w:w="1290" w:type="dxa"/>
          </w:tcPr>
          <w:p w:rsidR="009631C8" w:rsidRDefault="00F61B10" w:rsidP="0070742F">
            <w:pPr>
              <w:pStyle w:val="BodyText"/>
            </w:pPr>
            <w:r>
              <w:t>91786</w:t>
            </w:r>
          </w:p>
        </w:tc>
      </w:tr>
    </w:tbl>
    <w:p w:rsidR="003B103B" w:rsidRDefault="003B103B" w:rsidP="003B103B">
      <w:pPr>
        <w:pStyle w:val="BodyText"/>
      </w:pPr>
    </w:p>
    <w:p w:rsidR="003422A1" w:rsidRPr="003B103B" w:rsidRDefault="003B103B" w:rsidP="003B103B">
      <w:pPr>
        <w:pStyle w:val="BodyText"/>
        <w:rPr>
          <w:szCs w:val="24"/>
        </w:rPr>
      </w:pPr>
      <w:r w:rsidRPr="006A1BE3">
        <w:rPr>
          <w:szCs w:val="24"/>
        </w:rPr>
        <w:t>Agai</w:t>
      </w:r>
      <w:r>
        <w:rPr>
          <w:szCs w:val="24"/>
        </w:rPr>
        <w:t xml:space="preserve">n, we extend our sincere thank you </w:t>
      </w:r>
      <w:r w:rsidRPr="006A1BE3">
        <w:rPr>
          <w:szCs w:val="24"/>
        </w:rPr>
        <w:t>for the participation of all the submitting teams</w:t>
      </w:r>
      <w:r>
        <w:rPr>
          <w:szCs w:val="24"/>
        </w:rPr>
        <w:t>.</w:t>
      </w:r>
      <w:bookmarkStart w:id="0" w:name="bmStart"/>
      <w:bookmarkEnd w:id="0"/>
    </w:p>
    <w:sectPr w:rsidR="003422A1" w:rsidRPr="003B103B" w:rsidSect="003B103B">
      <w:headerReference w:type="default" r:id="rId7"/>
      <w:headerReference w:type="first" r:id="rId8"/>
      <w:pgSz w:w="12240" w:h="15840" w:code="1"/>
      <w:pgMar w:top="720" w:right="1440" w:bottom="72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C8" w:rsidRDefault="009631C8">
      <w:r>
        <w:separator/>
      </w:r>
    </w:p>
  </w:endnote>
  <w:endnote w:type="continuationSeparator" w:id="0">
    <w:p w:rsidR="009631C8" w:rsidRDefault="00963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C8" w:rsidRDefault="009631C8">
      <w:r>
        <w:separator/>
      </w:r>
    </w:p>
  </w:footnote>
  <w:footnote w:type="continuationSeparator" w:id="0">
    <w:p w:rsidR="009631C8" w:rsidRDefault="00963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C8" w:rsidRDefault="009631C8">
    <w:pPr>
      <w:pStyle w:val="Header"/>
    </w:pPr>
    <w:r>
      <w:t>February 5, 2014</w:t>
    </w:r>
  </w:p>
  <w:p w:rsidR="009631C8" w:rsidRDefault="009631C8" w:rsidP="002760EA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9631C8">
      <w:tc>
        <w:tcPr>
          <w:tcW w:w="9360" w:type="dxa"/>
        </w:tcPr>
        <w:p w:rsidR="009631C8" w:rsidRDefault="009631C8">
          <w:pPr>
            <w:jc w:val="center"/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>
                <wp:extent cx="2590800" cy="1013857"/>
                <wp:effectExtent l="0" t="0" r="0" b="0"/>
                <wp:docPr id="1" name="Picture 1" descr="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1013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631C8" w:rsidRPr="003422A1" w:rsidRDefault="009631C8" w:rsidP="002618D1">
          <w:pPr>
            <w:pStyle w:val="JCCAddress1stline"/>
            <w:spacing w:before="120" w:line="220" w:lineRule="exact"/>
            <w:rPr>
              <w:spacing w:val="20"/>
            </w:rPr>
          </w:pPr>
          <w:bookmarkStart w:id="1" w:name="bmDivision"/>
          <w:bookmarkEnd w:id="1"/>
          <w:r>
            <w:rPr>
              <w:spacing w:val="20"/>
            </w:rPr>
            <w:t>JUDICIAL AND COURT ADMINISTRATIVE SERVICES DIVISION</w:t>
          </w:r>
        </w:p>
        <w:p w:rsidR="009631C8" w:rsidRDefault="009631C8" w:rsidP="002618D1">
          <w:pPr>
            <w:pStyle w:val="JCCAddress1stline"/>
            <w:spacing w:before="0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San Francisco, California 94102-3688</w:t>
          </w:r>
        </w:p>
        <w:p w:rsidR="009631C8" w:rsidRDefault="009631C8" w:rsidP="00BB1148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9631C8" w:rsidRDefault="009631C8">
          <w:pPr>
            <w:jc w:val="center"/>
          </w:pPr>
        </w:p>
      </w:tc>
    </w:tr>
    <w:tr w:rsidR="009631C8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9631C8" w:rsidRDefault="009631C8">
          <w:pPr>
            <w:jc w:val="center"/>
            <w:rPr>
              <w:sz w:val="12"/>
            </w:rPr>
          </w:pPr>
        </w:p>
        <w:p w:rsidR="009631C8" w:rsidRDefault="009631C8">
          <w:pPr>
            <w:pStyle w:val="MemoTitle"/>
          </w:pPr>
          <w:r>
            <w:t>notice of intent to award</w:t>
          </w:r>
        </w:p>
        <w:p w:rsidR="009631C8" w:rsidRDefault="009631C8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9631C8" w:rsidRDefault="009631C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B103B"/>
    <w:rsid w:val="000133A7"/>
    <w:rsid w:val="00075397"/>
    <w:rsid w:val="00077E28"/>
    <w:rsid w:val="000F5F25"/>
    <w:rsid w:val="00103A53"/>
    <w:rsid w:val="00121A8B"/>
    <w:rsid w:val="001247BD"/>
    <w:rsid w:val="00170644"/>
    <w:rsid w:val="001C1A75"/>
    <w:rsid w:val="001C3AAF"/>
    <w:rsid w:val="001C6997"/>
    <w:rsid w:val="002618D1"/>
    <w:rsid w:val="002760EA"/>
    <w:rsid w:val="002C27B8"/>
    <w:rsid w:val="0031440D"/>
    <w:rsid w:val="003422A1"/>
    <w:rsid w:val="0038207F"/>
    <w:rsid w:val="003B103B"/>
    <w:rsid w:val="003F0B12"/>
    <w:rsid w:val="00495077"/>
    <w:rsid w:val="004B5C5E"/>
    <w:rsid w:val="004D6478"/>
    <w:rsid w:val="005F7F16"/>
    <w:rsid w:val="00635392"/>
    <w:rsid w:val="0066769E"/>
    <w:rsid w:val="00671C44"/>
    <w:rsid w:val="00676D87"/>
    <w:rsid w:val="0070724E"/>
    <w:rsid w:val="0070742F"/>
    <w:rsid w:val="007473E0"/>
    <w:rsid w:val="00795AD7"/>
    <w:rsid w:val="007A4B64"/>
    <w:rsid w:val="007B0E88"/>
    <w:rsid w:val="007C6542"/>
    <w:rsid w:val="00820573"/>
    <w:rsid w:val="00855132"/>
    <w:rsid w:val="00890773"/>
    <w:rsid w:val="009367D5"/>
    <w:rsid w:val="009631C8"/>
    <w:rsid w:val="009C2C56"/>
    <w:rsid w:val="00A23761"/>
    <w:rsid w:val="00B2017C"/>
    <w:rsid w:val="00B41B11"/>
    <w:rsid w:val="00B64357"/>
    <w:rsid w:val="00BB1148"/>
    <w:rsid w:val="00C20EE5"/>
    <w:rsid w:val="00C55F4F"/>
    <w:rsid w:val="00C82063"/>
    <w:rsid w:val="00D1052B"/>
    <w:rsid w:val="00D205B8"/>
    <w:rsid w:val="00E353EE"/>
    <w:rsid w:val="00E379B7"/>
    <w:rsid w:val="00EB312C"/>
    <w:rsid w:val="00EE341A"/>
    <w:rsid w:val="00F61B10"/>
    <w:rsid w:val="00F86335"/>
    <w:rsid w:val="00FA0007"/>
    <w:rsid w:val="00FB0A2D"/>
    <w:rsid w:val="00FE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B103B"/>
    <w:pPr>
      <w:spacing w:line="300" w:lineRule="atLeast"/>
    </w:pPr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795AD7"/>
    <w:pPr>
      <w:keepNext/>
      <w:spacing w:before="480" w:after="120" w:line="240" w:lineRule="auto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795AD7"/>
    <w:pPr>
      <w:keepNext/>
      <w:spacing w:before="360" w:line="240" w:lineRule="auto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795AD7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795AD7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95AD7"/>
    <w:pPr>
      <w:tabs>
        <w:tab w:val="left" w:pos="360"/>
      </w:tabs>
    </w:pPr>
  </w:style>
  <w:style w:type="paragraph" w:customStyle="1" w:styleId="JCCAddress2ndline">
    <w:name w:val="JCC Address 2nd line"/>
    <w:basedOn w:val="JCCAddress1stline"/>
    <w:rsid w:val="00795AD7"/>
    <w:pPr>
      <w:spacing w:before="0"/>
    </w:pPr>
  </w:style>
  <w:style w:type="paragraph" w:customStyle="1" w:styleId="JCCAddress1stline">
    <w:name w:val="JCC Address 1st line"/>
    <w:basedOn w:val="Normal"/>
    <w:rsid w:val="00795AD7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rsid w:val="00795AD7"/>
    <w:pPr>
      <w:tabs>
        <w:tab w:val="center" w:pos="4320"/>
        <w:tab w:val="right" w:pos="8640"/>
      </w:tabs>
      <w:spacing w:line="240" w:lineRule="auto"/>
    </w:pPr>
    <w:rPr>
      <w:sz w:val="16"/>
    </w:rPr>
  </w:style>
  <w:style w:type="paragraph" w:customStyle="1" w:styleId="HeaderPageNumber">
    <w:name w:val="Header Page Number"/>
    <w:basedOn w:val="Normal"/>
    <w:rsid w:val="00795AD7"/>
    <w:pPr>
      <w:tabs>
        <w:tab w:val="center" w:pos="4320"/>
        <w:tab w:val="right" w:pos="8640"/>
      </w:tabs>
      <w:spacing w:after="600" w:line="240" w:lineRule="auto"/>
    </w:pPr>
  </w:style>
  <w:style w:type="paragraph" w:customStyle="1" w:styleId="MemoTitle">
    <w:name w:val="Memo Title"/>
    <w:next w:val="BodyText"/>
    <w:rsid w:val="00795AD7"/>
    <w:pPr>
      <w:jc w:val="center"/>
    </w:pPr>
    <w:rPr>
      <w:rFonts w:ascii="Goudy Old Style" w:hAnsi="Goudy Old Style"/>
      <w:caps/>
      <w:spacing w:val="80"/>
      <w:sz w:val="36"/>
    </w:rPr>
  </w:style>
  <w:style w:type="paragraph" w:styleId="FootnoteText">
    <w:name w:val="footnote text"/>
    <w:basedOn w:val="Normal"/>
    <w:semiHidden/>
    <w:rsid w:val="00795AD7"/>
    <w:pPr>
      <w:spacing w:line="240" w:lineRule="auto"/>
    </w:pPr>
    <w:rPr>
      <w:sz w:val="20"/>
    </w:rPr>
  </w:style>
  <w:style w:type="paragraph" w:customStyle="1" w:styleId="JCCAddressblock">
    <w:name w:val="JCC Address block"/>
    <w:basedOn w:val="Normal"/>
    <w:rsid w:val="00795AD7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MemoHeaderText">
    <w:name w:val="Memo Header Text"/>
    <w:basedOn w:val="BodyText"/>
    <w:rsid w:val="00795AD7"/>
    <w:pPr>
      <w:ind w:left="-86"/>
    </w:pPr>
  </w:style>
  <w:style w:type="paragraph" w:customStyle="1" w:styleId="MemoSubhead">
    <w:name w:val="Memo Subhead"/>
    <w:next w:val="MemoHeaderText"/>
    <w:rsid w:val="00795AD7"/>
    <w:pPr>
      <w:ind w:left="-86"/>
    </w:pPr>
    <w:rPr>
      <w:rFonts w:ascii="Arial Black" w:hAnsi="Arial Black"/>
      <w:sz w:val="17"/>
    </w:rPr>
  </w:style>
  <w:style w:type="paragraph" w:styleId="Header">
    <w:name w:val="header"/>
    <w:basedOn w:val="Normal"/>
    <w:rsid w:val="00C20EE5"/>
    <w:pPr>
      <w:tabs>
        <w:tab w:val="center" w:pos="4320"/>
        <w:tab w:val="right" w:pos="8640"/>
      </w:tabs>
      <w:spacing w:line="240" w:lineRule="auto"/>
    </w:pPr>
  </w:style>
  <w:style w:type="paragraph" w:styleId="BalloonText">
    <w:name w:val="Balloon Text"/>
    <w:basedOn w:val="Normal"/>
    <w:link w:val="BalloonTextChar"/>
    <w:rsid w:val="00124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47BD"/>
    <w:rPr>
      <w:rFonts w:ascii="Tahoma" w:eastAsia="Times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B103B"/>
    <w:rPr>
      <w:rFonts w:eastAsia="Times"/>
      <w:sz w:val="24"/>
    </w:rPr>
  </w:style>
  <w:style w:type="table" w:styleId="MediumGrid1-Accent5">
    <w:name w:val="Medium Grid 1 Accent 5"/>
    <w:basedOn w:val="TableNormal"/>
    <w:uiPriority w:val="67"/>
    <w:rsid w:val="003B103B"/>
    <w:rPr>
      <w:rFonts w:ascii="Courier" w:eastAsia="Times" w:hAnsi="Courie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3B103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List3">
    <w:name w:val="Table List 3"/>
    <w:basedOn w:val="TableNormal"/>
    <w:rsid w:val="0070742F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70742F"/>
    <w:pPr>
      <w:spacing w:line="30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077E2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077E2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077E2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Web1">
    <w:name w:val="Table Web 1"/>
    <w:basedOn w:val="TableNormal"/>
    <w:rsid w:val="00077E28"/>
    <w:pPr>
      <w:spacing w:line="30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-s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09A03-2590-47F8-BFD9-5C301E63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memo-sf</Template>
  <TotalTime>48</TotalTime>
  <Pages>1</Pages>
  <Words>169</Words>
  <Characters>880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dc:description>2850 Gateway Oaks Drive</dc:description>
  <cp:lastModifiedBy>Barbara Robinson</cp:lastModifiedBy>
  <cp:revision>4</cp:revision>
  <cp:lastPrinted>2003-06-16T23:51:00Z</cp:lastPrinted>
  <dcterms:created xsi:type="dcterms:W3CDTF">2014-03-28T16:59:00Z</dcterms:created>
  <dcterms:modified xsi:type="dcterms:W3CDTF">2014-03-28T18:14:00Z</dcterms:modified>
</cp:coreProperties>
</file>