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D1" w:rsidRDefault="005150D1" w:rsidP="001B1497">
      <w:pPr>
        <w:pStyle w:val="Header"/>
        <w:rPr>
          <w:rFonts w:ascii="Arial" w:hAnsi="Arial" w:cs="Arial"/>
          <w:b/>
        </w:rPr>
      </w:pPr>
    </w:p>
    <w:p w:rsidR="001B1497" w:rsidRPr="00D8749F" w:rsidRDefault="005150D1" w:rsidP="001B1497">
      <w:pPr>
        <w:pStyle w:val="Header"/>
        <w:rPr>
          <w:rFonts w:ascii="Times New Roman Bold" w:hAnsi="Times New Roman Bold"/>
          <w:b/>
          <w:caps/>
          <w:color w:val="FF0000"/>
        </w:rPr>
      </w:pPr>
      <w:r>
        <w:rPr>
          <w:rFonts w:ascii="Arial" w:hAnsi="Arial" w:cs="Arial"/>
          <w:b/>
        </w:rPr>
        <w:tab/>
        <w:t xml:space="preserve">   </w:t>
      </w:r>
      <w:r w:rsidR="00DF6021">
        <w:rPr>
          <w:rFonts w:ascii="Arial" w:hAnsi="Arial" w:cs="Arial"/>
          <w:b/>
        </w:rPr>
        <w:t xml:space="preserve">   </w:t>
      </w:r>
      <w:r w:rsidR="001B1497" w:rsidRPr="00D8749F">
        <w:rPr>
          <w:rFonts w:ascii="Times New Roman Bold" w:hAnsi="Times New Roman Bold"/>
          <w:b/>
          <w:caps/>
          <w:color w:val="FF0000"/>
        </w:rPr>
        <w:t>Attachment F</w:t>
      </w:r>
      <w:r w:rsidR="00D8749F" w:rsidRPr="00D8749F">
        <w:rPr>
          <w:rFonts w:ascii="Times New Roman Bold" w:hAnsi="Times New Roman Bold"/>
          <w:b/>
          <w:caps/>
          <w:color w:val="FF0000"/>
        </w:rPr>
        <w:t xml:space="preserve"> – revision 1</w:t>
      </w:r>
    </w:p>
    <w:p w:rsidR="001B1497" w:rsidRPr="00545A0B" w:rsidRDefault="001B1497" w:rsidP="001B1497">
      <w:pPr>
        <w:pStyle w:val="Header"/>
        <w:rPr>
          <w:rFonts w:ascii="Times New Roman Bold" w:hAnsi="Times New Roman Bold"/>
          <w:b/>
          <w:caps/>
        </w:rPr>
      </w:pPr>
    </w:p>
    <w:p w:rsidR="001B1497" w:rsidRPr="00545A0B" w:rsidRDefault="001B1497" w:rsidP="001B1497">
      <w:pPr>
        <w:pStyle w:val="Header"/>
        <w:tabs>
          <w:tab w:val="center" w:pos="3240"/>
        </w:tabs>
        <w:rPr>
          <w:rFonts w:ascii="Times New Roman Bold" w:hAnsi="Times New Roman Bold"/>
          <w:b/>
          <w:caps/>
        </w:rPr>
      </w:pPr>
      <w:r w:rsidRPr="00545A0B">
        <w:rPr>
          <w:rFonts w:ascii="Times New Roman Bold" w:hAnsi="Times New Roman Bold"/>
          <w:b/>
          <w:caps/>
        </w:rPr>
        <w:tab/>
        <w:t xml:space="preserve">                             </w:t>
      </w:r>
      <w:r w:rsidR="003D719E">
        <w:rPr>
          <w:rFonts w:ascii="Times New Roman Bold" w:hAnsi="Times New Roman Bold"/>
          <w:b/>
          <w:caps/>
        </w:rPr>
        <w:t xml:space="preserve"> </w:t>
      </w:r>
      <w:r w:rsidR="00DF6021">
        <w:rPr>
          <w:rFonts w:ascii="Times New Roman Bold" w:hAnsi="Times New Roman Bold"/>
          <w:b/>
          <w:caps/>
        </w:rPr>
        <w:t xml:space="preserve">   </w:t>
      </w:r>
      <w:r w:rsidRPr="00545A0B">
        <w:rPr>
          <w:rFonts w:ascii="Times New Roman Bold" w:hAnsi="Times New Roman Bold"/>
          <w:b/>
          <w:caps/>
        </w:rPr>
        <w:t>Submission Form for Technical Proposal</w:t>
      </w:r>
    </w:p>
    <w:p w:rsidR="001B1497" w:rsidRPr="00545A0B" w:rsidRDefault="001B1497" w:rsidP="001B1497">
      <w:pPr>
        <w:tabs>
          <w:tab w:val="left" w:pos="1530"/>
        </w:tabs>
        <w:rPr>
          <w:rFonts w:ascii="Times New Roman Bold" w:hAnsi="Times New Roman Bold"/>
          <w:caps/>
        </w:rPr>
      </w:pPr>
    </w:p>
    <w:p w:rsidR="001B1497" w:rsidRDefault="001B1497" w:rsidP="001B1497">
      <w:pPr>
        <w:tabs>
          <w:tab w:val="left" w:pos="1530"/>
        </w:tabs>
      </w:pPr>
    </w:p>
    <w:tbl>
      <w:tblPr>
        <w:tblStyle w:val="TableGrid"/>
        <w:tblW w:w="0" w:type="auto"/>
        <w:tblInd w:w="378" w:type="dxa"/>
        <w:tblLook w:val="04A0"/>
      </w:tblPr>
      <w:tblGrid>
        <w:gridCol w:w="2160"/>
        <w:gridCol w:w="7038"/>
      </w:tblGrid>
      <w:tr w:rsidR="001B1497" w:rsidTr="00B3575E">
        <w:tc>
          <w:tcPr>
            <w:tcW w:w="2160" w:type="dxa"/>
          </w:tcPr>
          <w:p w:rsidR="001B1497" w:rsidRDefault="001B1497" w:rsidP="009A60F2">
            <w:pPr>
              <w:tabs>
                <w:tab w:val="left" w:pos="1530"/>
              </w:tabs>
            </w:pPr>
            <w:r>
              <w:t>Firm (Legal Name):</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Address:</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Address Line 2:</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2458AD">
            <w:pPr>
              <w:tabs>
                <w:tab w:val="left" w:pos="1530"/>
              </w:tabs>
            </w:pPr>
            <w:r>
              <w:t>City, State,  Zip</w:t>
            </w:r>
            <w:r w:rsidR="002458AD">
              <w:t xml:space="preserve"> C</w:t>
            </w:r>
            <w:r>
              <w:t>ode</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Contact:</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Title:</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Phone Number:</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Fax Number:</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Email Address:</w:t>
            </w:r>
          </w:p>
        </w:tc>
        <w:tc>
          <w:tcPr>
            <w:tcW w:w="7038" w:type="dxa"/>
          </w:tcPr>
          <w:p w:rsidR="001B1497" w:rsidRDefault="001B1497" w:rsidP="009A60F2">
            <w:pPr>
              <w:tabs>
                <w:tab w:val="left" w:pos="1530"/>
              </w:tabs>
            </w:pPr>
          </w:p>
          <w:p w:rsidR="001B1497" w:rsidRDefault="001B1497" w:rsidP="009A60F2">
            <w:pPr>
              <w:tabs>
                <w:tab w:val="left" w:pos="1530"/>
              </w:tabs>
            </w:pPr>
          </w:p>
        </w:tc>
      </w:tr>
      <w:tr w:rsidR="001B1497" w:rsidTr="00B3575E">
        <w:tc>
          <w:tcPr>
            <w:tcW w:w="2160" w:type="dxa"/>
          </w:tcPr>
          <w:p w:rsidR="001B1497" w:rsidRDefault="001B1497" w:rsidP="009A60F2">
            <w:pPr>
              <w:tabs>
                <w:tab w:val="left" w:pos="1530"/>
              </w:tabs>
            </w:pPr>
            <w:r>
              <w:t>Federal Tax ID Number:</w:t>
            </w:r>
          </w:p>
        </w:tc>
        <w:tc>
          <w:tcPr>
            <w:tcW w:w="7038" w:type="dxa"/>
          </w:tcPr>
          <w:p w:rsidR="001B1497" w:rsidRDefault="001B1497" w:rsidP="009A60F2">
            <w:pPr>
              <w:tabs>
                <w:tab w:val="left" w:pos="1530"/>
              </w:tabs>
            </w:pPr>
          </w:p>
          <w:p w:rsidR="001B1497" w:rsidRDefault="001B1497" w:rsidP="009A60F2">
            <w:pPr>
              <w:tabs>
                <w:tab w:val="left" w:pos="1530"/>
              </w:tabs>
            </w:pPr>
          </w:p>
        </w:tc>
      </w:tr>
    </w:tbl>
    <w:p w:rsidR="008D6AC6" w:rsidRDefault="008D6AC6" w:rsidP="008D6AC6">
      <w:pPr>
        <w:spacing w:after="240"/>
        <w:jc w:val="both"/>
      </w:pPr>
    </w:p>
    <w:p w:rsidR="008D6AC6" w:rsidRDefault="008D6AC6" w:rsidP="00C54F57">
      <w:pPr>
        <w:ind w:left="270"/>
        <w:jc w:val="both"/>
      </w:pPr>
      <w:r>
        <w:t xml:space="preserve">In order for a proposal to be considered responsive and acceptable for evaluation by the AOC, the </w:t>
      </w:r>
    </w:p>
    <w:p w:rsidR="006C2864" w:rsidRDefault="008D6AC6" w:rsidP="00C54F57">
      <w:pPr>
        <w:ind w:left="270"/>
        <w:jc w:val="both"/>
      </w:pPr>
      <w:r>
        <w:t>proposal must contain the following information and be submitted according to the following</w:t>
      </w:r>
    </w:p>
    <w:p w:rsidR="008D6AC6" w:rsidRDefault="008D6AC6" w:rsidP="00C54F57">
      <w:pPr>
        <w:ind w:left="270"/>
        <w:jc w:val="both"/>
      </w:pPr>
      <w:r>
        <w:t>guidelines.</w:t>
      </w:r>
    </w:p>
    <w:p w:rsidR="000958AF" w:rsidRDefault="000958AF" w:rsidP="00C54F57">
      <w:pPr>
        <w:ind w:left="270"/>
        <w:jc w:val="both"/>
      </w:pPr>
    </w:p>
    <w:p w:rsidR="008D6AC6" w:rsidRDefault="008D6AC6" w:rsidP="00C54F57">
      <w:pPr>
        <w:spacing w:after="120"/>
        <w:ind w:left="270"/>
      </w:pPr>
      <w:r>
        <w:tab/>
        <w:t>Proposal format must be as follows:</w:t>
      </w:r>
    </w:p>
    <w:p w:rsidR="008D6AC6" w:rsidRDefault="008D6AC6" w:rsidP="00C54F57">
      <w:pPr>
        <w:numPr>
          <w:ilvl w:val="0"/>
          <w:numId w:val="17"/>
        </w:numPr>
        <w:spacing w:after="120"/>
        <w:ind w:left="270" w:firstLine="720"/>
      </w:pPr>
      <w:r>
        <w:t>Number your responses exactly as numbered below and in the same sequential order.</w:t>
      </w:r>
    </w:p>
    <w:p w:rsidR="008D6AC6" w:rsidRDefault="008D6AC6" w:rsidP="00C54F57">
      <w:pPr>
        <w:numPr>
          <w:ilvl w:val="0"/>
          <w:numId w:val="17"/>
        </w:numPr>
        <w:spacing w:after="120"/>
        <w:ind w:left="270" w:firstLine="720"/>
      </w:pPr>
      <w:r>
        <w:t>Restate the AOC’s question or required information.</w:t>
      </w:r>
    </w:p>
    <w:p w:rsidR="008D6AC6" w:rsidRDefault="008D6AC6" w:rsidP="00573D0A">
      <w:pPr>
        <w:numPr>
          <w:ilvl w:val="0"/>
          <w:numId w:val="17"/>
        </w:numPr>
        <w:spacing w:after="120"/>
        <w:ind w:left="990" w:firstLine="0"/>
      </w:pPr>
      <w:r>
        <w:t>Provide your response.</w:t>
      </w:r>
    </w:p>
    <w:p w:rsidR="008D6AC6" w:rsidRDefault="008D6AC6" w:rsidP="00C54F57">
      <w:pPr>
        <w:ind w:left="270"/>
        <w:rPr>
          <w:b/>
          <w:bCs/>
        </w:rPr>
      </w:pPr>
      <w:r>
        <w:t>Responsive proposals should provide straightforward, conc</w:t>
      </w:r>
      <w:r w:rsidR="000958AF">
        <w:t xml:space="preserve">ise information addressing the </w:t>
      </w:r>
      <w:r>
        <w:t>requirements.  Expensive bindings and color displays, for example, are neither necessary, nor desired.  Emphasis should be placed on providing responses and materials that conform to the AOC’s instructions and are clear and complete responses.</w:t>
      </w:r>
    </w:p>
    <w:p w:rsidR="006706CA" w:rsidRDefault="006706CA" w:rsidP="006706CA">
      <w:pPr>
        <w:spacing w:after="240"/>
        <w:ind w:left="270"/>
        <w:rPr>
          <w:b/>
          <w:u w:val="single"/>
        </w:rPr>
      </w:pPr>
    </w:p>
    <w:p w:rsidR="006706CA" w:rsidRDefault="006706CA" w:rsidP="006706CA">
      <w:pPr>
        <w:spacing w:after="240"/>
        <w:ind w:left="270"/>
        <w:rPr>
          <w:b/>
          <w:u w:val="single"/>
        </w:rPr>
      </w:pPr>
    </w:p>
    <w:p w:rsidR="00150A20" w:rsidRDefault="001B1497" w:rsidP="006706CA">
      <w:pPr>
        <w:numPr>
          <w:ilvl w:val="0"/>
          <w:numId w:val="66"/>
        </w:numPr>
        <w:spacing w:after="240"/>
        <w:ind w:left="270" w:firstLine="0"/>
        <w:rPr>
          <w:b/>
          <w:u w:val="single"/>
        </w:rPr>
      </w:pPr>
      <w:r w:rsidRPr="003A24A1">
        <w:rPr>
          <w:b/>
          <w:u w:val="single"/>
        </w:rPr>
        <w:t>TEAM AND SERVICE AREAS</w:t>
      </w:r>
    </w:p>
    <w:p w:rsidR="001B1497" w:rsidRPr="00EB6AA9" w:rsidRDefault="001B1497" w:rsidP="00457F7E">
      <w:pPr>
        <w:numPr>
          <w:ilvl w:val="1"/>
          <w:numId w:val="66"/>
        </w:numPr>
        <w:spacing w:after="240"/>
        <w:ind w:left="270" w:firstLine="0"/>
      </w:pPr>
      <w:r w:rsidRPr="00EB6AA9">
        <w:t xml:space="preserve">Describe the team you propose to assemble to manage the AOC account, perform the </w:t>
      </w:r>
      <w:r>
        <w:t>appraisal</w:t>
      </w:r>
      <w:r w:rsidRPr="00EB6AA9">
        <w:t xml:space="preserve"> work, and handle the daily order processing/tracking, invoicing and related contract administration.</w:t>
      </w:r>
    </w:p>
    <w:p w:rsidR="001B1497" w:rsidRDefault="001B1497" w:rsidP="00457F7E">
      <w:pPr>
        <w:numPr>
          <w:ilvl w:val="1"/>
          <w:numId w:val="66"/>
        </w:numPr>
        <w:spacing w:after="240"/>
        <w:ind w:left="270" w:firstLine="0"/>
      </w:pPr>
      <w:r>
        <w:t>Provide résumés describing the background and experience of the key staff you intend to assign for the performance of the work, describing each individual’s ability and experience in conducting the proposed activities.</w:t>
      </w:r>
    </w:p>
    <w:p w:rsidR="001B1497" w:rsidRDefault="001B1497" w:rsidP="00457F7E">
      <w:pPr>
        <w:spacing w:after="240"/>
        <w:ind w:left="270"/>
      </w:pPr>
      <w:r>
        <w:t>3.</w:t>
      </w:r>
      <w:r>
        <w:tab/>
      </w:r>
      <w:r w:rsidRPr="00807894">
        <w:t xml:space="preserve">For each of the </w:t>
      </w:r>
      <w:r>
        <w:t xml:space="preserve">fifty-eight (58) </w:t>
      </w:r>
      <w:r w:rsidRPr="00807894">
        <w:t xml:space="preserve">counties </w:t>
      </w:r>
      <w:r>
        <w:t>in the State</w:t>
      </w:r>
      <w:r w:rsidRPr="00807894">
        <w:t xml:space="preserve">, indicate if your firm is, or is not, able to provide the required services outlined in </w:t>
      </w:r>
      <w:r w:rsidRPr="00807894">
        <w:rPr>
          <w:b/>
        </w:rPr>
        <w:t>Attachment A Scope of Services</w:t>
      </w:r>
      <w:r w:rsidRPr="00807894">
        <w:t xml:space="preserve">.  For each county, indicate if your firm is able to meet the AOC’s requirement for the use of a local appraiser and, if so, whether this would be accomplished directly or through the use of subcontractors.  If use of subcontractors would be required, include further details about the use of subcontractors.  If you have a currently-existing relationship with a subcontractor, please provide a resume or statement of qualifications for that subcontractor.  </w:t>
      </w:r>
    </w:p>
    <w:p w:rsidR="00BA6F2F" w:rsidRDefault="00BA6F2F" w:rsidP="00C54F57">
      <w:pPr>
        <w:pStyle w:val="Header"/>
        <w:ind w:left="270"/>
      </w:pPr>
      <w:r>
        <w:t xml:space="preserve">                              COUNTY BY COUNTY SERVICE LIST</w:t>
      </w:r>
    </w:p>
    <w:p w:rsidR="00BA6F2F" w:rsidRDefault="00BA6F2F" w:rsidP="00C54F57">
      <w:pPr>
        <w:pStyle w:val="Header"/>
        <w:ind w:left="270"/>
      </w:pPr>
    </w:p>
    <w:tbl>
      <w:tblPr>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094"/>
        <w:gridCol w:w="2748"/>
        <w:gridCol w:w="2520"/>
      </w:tblGrid>
      <w:tr w:rsidR="00BA6F2F" w:rsidRPr="007C17EE" w:rsidTr="00B46E1E">
        <w:trPr>
          <w:trHeight w:val="255"/>
          <w:tblHeader/>
        </w:trPr>
        <w:tc>
          <w:tcPr>
            <w:tcW w:w="1728" w:type="dxa"/>
            <w:noWrap/>
            <w:hideMark/>
          </w:tcPr>
          <w:p w:rsidR="00BA6F2F" w:rsidRPr="007C17EE" w:rsidRDefault="00BA6F2F" w:rsidP="00C54F57">
            <w:pPr>
              <w:ind w:left="270"/>
              <w:rPr>
                <w:rFonts w:ascii="Arial" w:hAnsi="Arial" w:cs="Arial"/>
                <w:b/>
                <w:color w:val="000000"/>
                <w:sz w:val="18"/>
                <w:szCs w:val="18"/>
              </w:rPr>
            </w:pPr>
          </w:p>
        </w:tc>
        <w:tc>
          <w:tcPr>
            <w:tcW w:w="2094" w:type="dxa"/>
            <w:noWrap/>
            <w:hideMark/>
          </w:tcPr>
          <w:p w:rsidR="00BA6F2F" w:rsidRPr="007C17EE" w:rsidRDefault="00BA6F2F" w:rsidP="00C54F57">
            <w:pPr>
              <w:ind w:left="270"/>
              <w:jc w:val="center"/>
              <w:rPr>
                <w:rFonts w:ascii="Arial" w:hAnsi="Arial" w:cs="Arial"/>
                <w:b/>
                <w:color w:val="000000"/>
                <w:sz w:val="18"/>
                <w:szCs w:val="18"/>
              </w:rPr>
            </w:pPr>
          </w:p>
        </w:tc>
        <w:tc>
          <w:tcPr>
            <w:tcW w:w="5268" w:type="dxa"/>
            <w:gridSpan w:val="2"/>
            <w:noWrap/>
            <w:hideMark/>
          </w:tcPr>
          <w:p w:rsidR="00BA6F2F" w:rsidRPr="007C17EE" w:rsidRDefault="00BA6F2F" w:rsidP="00C54F57">
            <w:pPr>
              <w:ind w:left="270"/>
              <w:rPr>
                <w:rFonts w:ascii="Arial" w:hAnsi="Arial" w:cs="Arial"/>
                <w:b/>
                <w:color w:val="000000"/>
                <w:sz w:val="18"/>
                <w:szCs w:val="18"/>
              </w:rPr>
            </w:pPr>
            <w:r w:rsidRPr="007C17EE">
              <w:rPr>
                <w:rFonts w:ascii="Arial" w:hAnsi="Arial" w:cs="Arial"/>
                <w:b/>
                <w:color w:val="000000"/>
                <w:sz w:val="18"/>
                <w:szCs w:val="18"/>
              </w:rPr>
              <w:t>If services provided in last 12 mos., indicate if directly or through subcontractor</w:t>
            </w:r>
          </w:p>
        </w:tc>
      </w:tr>
      <w:tr w:rsidR="00BA6F2F" w:rsidRPr="007C17EE" w:rsidTr="00B46E1E">
        <w:trPr>
          <w:trHeight w:val="255"/>
          <w:tblHeader/>
        </w:trPr>
        <w:tc>
          <w:tcPr>
            <w:tcW w:w="1728" w:type="dxa"/>
            <w:noWrap/>
            <w:hideMark/>
          </w:tcPr>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r w:rsidRPr="007C17EE">
              <w:rPr>
                <w:rFonts w:ascii="Arial" w:hAnsi="Arial" w:cs="Arial"/>
                <w:b/>
                <w:color w:val="000000"/>
                <w:sz w:val="18"/>
                <w:szCs w:val="18"/>
              </w:rPr>
              <w:t>County</w:t>
            </w:r>
          </w:p>
        </w:tc>
        <w:tc>
          <w:tcPr>
            <w:tcW w:w="2094" w:type="dxa"/>
            <w:noWrap/>
            <w:hideMark/>
          </w:tcPr>
          <w:p w:rsidR="00BA6F2F" w:rsidRPr="007C17EE" w:rsidRDefault="00BA6F2F" w:rsidP="00C54F57">
            <w:pPr>
              <w:ind w:left="270"/>
              <w:jc w:val="center"/>
              <w:rPr>
                <w:rFonts w:ascii="Arial" w:hAnsi="Arial" w:cs="Arial"/>
                <w:b/>
                <w:color w:val="000000"/>
                <w:sz w:val="18"/>
                <w:szCs w:val="18"/>
              </w:rPr>
            </w:pPr>
            <w:r w:rsidRPr="007C17EE">
              <w:rPr>
                <w:rFonts w:ascii="Arial" w:hAnsi="Arial" w:cs="Arial"/>
                <w:b/>
                <w:color w:val="000000"/>
                <w:sz w:val="18"/>
                <w:szCs w:val="18"/>
              </w:rPr>
              <w:t>S</w:t>
            </w:r>
            <w:r>
              <w:rPr>
                <w:rFonts w:ascii="Arial" w:hAnsi="Arial" w:cs="Arial"/>
                <w:b/>
                <w:color w:val="000000"/>
                <w:sz w:val="18"/>
                <w:szCs w:val="18"/>
              </w:rPr>
              <w:t>ervices Provided in Last 12 Mos?</w:t>
            </w:r>
            <w:r w:rsidRPr="007C17EE">
              <w:rPr>
                <w:rFonts w:ascii="Arial" w:hAnsi="Arial" w:cs="Arial"/>
                <w:b/>
                <w:color w:val="000000"/>
                <w:sz w:val="18"/>
                <w:szCs w:val="18"/>
              </w:rPr>
              <w:t xml:space="preserve"> (YES/NO)</w:t>
            </w:r>
          </w:p>
        </w:tc>
        <w:tc>
          <w:tcPr>
            <w:tcW w:w="2748" w:type="dxa"/>
            <w:noWrap/>
            <w:hideMark/>
          </w:tcPr>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r w:rsidRPr="007C17EE">
              <w:rPr>
                <w:rFonts w:ascii="Arial" w:hAnsi="Arial" w:cs="Arial"/>
                <w:b/>
                <w:color w:val="000000"/>
                <w:sz w:val="18"/>
                <w:szCs w:val="18"/>
              </w:rPr>
              <w:t>Direct</w:t>
            </w:r>
          </w:p>
        </w:tc>
        <w:tc>
          <w:tcPr>
            <w:tcW w:w="2520" w:type="dxa"/>
            <w:noWrap/>
            <w:hideMark/>
          </w:tcPr>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p>
          <w:p w:rsidR="00BA6F2F" w:rsidRPr="007C17EE" w:rsidRDefault="00BA6F2F" w:rsidP="00C54F57">
            <w:pPr>
              <w:ind w:left="270"/>
              <w:rPr>
                <w:rFonts w:ascii="Arial" w:hAnsi="Arial" w:cs="Arial"/>
                <w:b/>
                <w:color w:val="000000"/>
                <w:sz w:val="18"/>
                <w:szCs w:val="18"/>
              </w:rPr>
            </w:pPr>
            <w:r w:rsidRPr="007C17EE">
              <w:rPr>
                <w:rFonts w:ascii="Arial" w:hAnsi="Arial" w:cs="Arial"/>
                <w:b/>
                <w:color w:val="000000"/>
                <w:sz w:val="18"/>
                <w:szCs w:val="18"/>
              </w:rPr>
              <w:t>Subcontracted</w:t>
            </w: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  Alameda</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  Alpine</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  Amador</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  Butte</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  Calaveras</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(6)  Colusa</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(7)  Contra Costa</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(8)  Del Norte</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(9)  El Dorado</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(10) Fresno</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(11) Glenn</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(12) Humboldt</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(13) Imperial</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(14) Inyo</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hideMark/>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(15) Kern</w:t>
            </w:r>
          </w:p>
        </w:tc>
        <w:tc>
          <w:tcPr>
            <w:tcW w:w="2094" w:type="dxa"/>
            <w:noWrap/>
            <w:hideMark/>
          </w:tcPr>
          <w:p w:rsidR="00BA6F2F" w:rsidRPr="007C17EE" w:rsidRDefault="00BA6F2F" w:rsidP="00C54F57">
            <w:pPr>
              <w:ind w:left="270"/>
              <w:rPr>
                <w:rFonts w:asciiTheme="majorHAnsi" w:hAnsiTheme="majorHAnsi" w:cstheme="majorHAnsi"/>
                <w:color w:val="000000"/>
                <w:sz w:val="18"/>
                <w:szCs w:val="18"/>
              </w:rPr>
            </w:pPr>
          </w:p>
        </w:tc>
        <w:tc>
          <w:tcPr>
            <w:tcW w:w="2748" w:type="dxa"/>
            <w:noWrap/>
            <w:hideMark/>
          </w:tcPr>
          <w:p w:rsidR="00BA6F2F" w:rsidRPr="007C17EE" w:rsidRDefault="00BA6F2F" w:rsidP="00C54F57">
            <w:pPr>
              <w:ind w:left="270"/>
              <w:rPr>
                <w:rFonts w:asciiTheme="majorHAnsi" w:hAnsiTheme="majorHAnsi" w:cstheme="majorHAnsi"/>
                <w:color w:val="000000"/>
                <w:sz w:val="18"/>
                <w:szCs w:val="18"/>
              </w:rPr>
            </w:pPr>
          </w:p>
        </w:tc>
        <w:tc>
          <w:tcPr>
            <w:tcW w:w="2520" w:type="dxa"/>
            <w:noWrap/>
            <w:hideMark/>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(16) Kings</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(17) Lake</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(18) Lassen</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(19) Los Angeles</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lastRenderedPageBreak/>
              <w:t>(20) Madera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(21) Marin</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(22) Mariposa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(23) Mendocino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(24) Merced</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(25) Modoc</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(26) Mono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(27) Monterey</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(28) Napa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(29) Nevada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(30) Orange</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(31) Placer</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(32) Plumas</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(33) Riverside</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(34) Sacramento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(35) San Benito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(36) San Bernardino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(37) San Diego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(38) San Francisco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(39) San Joaquin</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(40) San Luis Obispo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(41) San Mateo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(42) Santa Barbara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(43) Santa Clara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(44) Santa Cruz</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(45) Shasta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(46) Sierra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(47) Siskiyou</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(48) Solano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(49) Sonoma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(50) Stanislaus</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(51) Sutter</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(52) Tehama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(53) Trinity</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(54) Tulare</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(55) Tuolumne</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(56) Ventura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(57) Yolo</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r w:rsidR="00BA6F2F" w:rsidRPr="007C17EE" w:rsidTr="00B46E1E">
        <w:trPr>
          <w:trHeight w:val="255"/>
          <w:tblHeader/>
        </w:trPr>
        <w:tc>
          <w:tcPr>
            <w:tcW w:w="1728" w:type="dxa"/>
            <w:noWrap/>
          </w:tcPr>
          <w:p w:rsidR="00BA6F2F" w:rsidRPr="007C17EE" w:rsidRDefault="00BA6F2F" w:rsidP="00C54F57">
            <w:pPr>
              <w:ind w:left="270"/>
              <w:rPr>
                <w:rFonts w:asciiTheme="majorHAnsi" w:hAnsiTheme="majorHAnsi" w:cstheme="majorHAnsi"/>
                <w:color w:val="000000"/>
                <w:sz w:val="18"/>
                <w:szCs w:val="18"/>
              </w:rPr>
            </w:pPr>
            <w:r w:rsidRPr="007C17EE">
              <w:rPr>
                <w:rFonts w:asciiTheme="majorHAnsi" w:hAnsiTheme="majorHAnsi" w:cstheme="majorHAnsi"/>
                <w:color w:val="000000"/>
                <w:sz w:val="18"/>
                <w:szCs w:val="18"/>
              </w:rPr>
              <w:t>(58) Yuba</w:t>
            </w:r>
          </w:p>
        </w:tc>
        <w:tc>
          <w:tcPr>
            <w:tcW w:w="2094" w:type="dxa"/>
            <w:noWrap/>
          </w:tcPr>
          <w:p w:rsidR="00BA6F2F" w:rsidRPr="007C17EE" w:rsidRDefault="00BA6F2F" w:rsidP="00C54F57">
            <w:pPr>
              <w:ind w:left="270"/>
              <w:rPr>
                <w:rFonts w:asciiTheme="majorHAnsi" w:hAnsiTheme="majorHAnsi" w:cstheme="majorHAnsi"/>
                <w:color w:val="000000"/>
                <w:sz w:val="18"/>
                <w:szCs w:val="18"/>
              </w:rPr>
            </w:pPr>
          </w:p>
        </w:tc>
        <w:tc>
          <w:tcPr>
            <w:tcW w:w="2748" w:type="dxa"/>
            <w:noWrap/>
          </w:tcPr>
          <w:p w:rsidR="00BA6F2F" w:rsidRPr="007C17EE" w:rsidRDefault="00BA6F2F" w:rsidP="00C54F57">
            <w:pPr>
              <w:ind w:left="270"/>
              <w:rPr>
                <w:rFonts w:asciiTheme="majorHAnsi" w:hAnsiTheme="majorHAnsi" w:cstheme="majorHAnsi"/>
                <w:color w:val="000000"/>
                <w:sz w:val="18"/>
                <w:szCs w:val="18"/>
              </w:rPr>
            </w:pPr>
          </w:p>
        </w:tc>
        <w:tc>
          <w:tcPr>
            <w:tcW w:w="2520" w:type="dxa"/>
            <w:noWrap/>
          </w:tcPr>
          <w:p w:rsidR="00BA6F2F" w:rsidRPr="007C17EE" w:rsidRDefault="00BA6F2F" w:rsidP="00C54F57">
            <w:pPr>
              <w:ind w:left="270"/>
              <w:rPr>
                <w:rFonts w:asciiTheme="majorHAnsi" w:hAnsiTheme="majorHAnsi" w:cstheme="majorHAnsi"/>
                <w:color w:val="000000"/>
                <w:sz w:val="18"/>
                <w:szCs w:val="18"/>
              </w:rPr>
            </w:pPr>
          </w:p>
        </w:tc>
      </w:tr>
    </w:tbl>
    <w:p w:rsidR="00BA6F2F" w:rsidRDefault="00BA6F2F" w:rsidP="00C54F57">
      <w:pPr>
        <w:spacing w:after="240"/>
        <w:ind w:left="270" w:firstLine="720"/>
      </w:pPr>
    </w:p>
    <w:p w:rsidR="00D93A3B" w:rsidRDefault="00D93A3B" w:rsidP="00C54F57">
      <w:pPr>
        <w:spacing w:after="240"/>
        <w:ind w:left="270" w:firstLine="720"/>
      </w:pPr>
    </w:p>
    <w:p w:rsidR="00D93A3B" w:rsidRDefault="00D93A3B" w:rsidP="00C54F57">
      <w:pPr>
        <w:spacing w:after="240"/>
        <w:ind w:left="270" w:firstLine="720"/>
      </w:pPr>
    </w:p>
    <w:p w:rsidR="00D93A3B" w:rsidRDefault="00D93A3B" w:rsidP="00C54F57">
      <w:pPr>
        <w:spacing w:after="240"/>
        <w:ind w:left="270" w:firstLine="720"/>
      </w:pPr>
    </w:p>
    <w:p w:rsidR="00D93A3B" w:rsidRDefault="00D93A3B" w:rsidP="00C54F57">
      <w:pPr>
        <w:spacing w:after="240"/>
        <w:ind w:left="270" w:firstLine="720"/>
      </w:pPr>
    </w:p>
    <w:p w:rsidR="001B1497" w:rsidRPr="003A24A1" w:rsidRDefault="001B1497" w:rsidP="00C54F57">
      <w:pPr>
        <w:numPr>
          <w:ilvl w:val="0"/>
          <w:numId w:val="66"/>
        </w:numPr>
        <w:spacing w:after="240"/>
        <w:ind w:left="270" w:firstLine="0"/>
        <w:rPr>
          <w:b/>
          <w:u w:val="single"/>
        </w:rPr>
      </w:pPr>
      <w:r w:rsidRPr="003A24A1">
        <w:rPr>
          <w:b/>
          <w:u w:val="single"/>
        </w:rPr>
        <w:t>REQUIRED APPRAISAL SERVICES</w:t>
      </w:r>
    </w:p>
    <w:p w:rsidR="00150A20" w:rsidRDefault="001B1497" w:rsidP="00C54F57">
      <w:pPr>
        <w:spacing w:after="120"/>
        <w:ind w:left="270" w:firstLine="720"/>
      </w:pPr>
      <w:r>
        <w:t xml:space="preserve">The following questions relate back to </w:t>
      </w:r>
      <w:r w:rsidRPr="00922BED">
        <w:rPr>
          <w:b/>
        </w:rPr>
        <w:t>paragraph B</w:t>
      </w:r>
      <w:r>
        <w:t xml:space="preserve">. of </w:t>
      </w:r>
      <w:r w:rsidRPr="00922BED">
        <w:rPr>
          <w:b/>
        </w:rPr>
        <w:t xml:space="preserve">Attachment A – Scope of </w:t>
      </w:r>
      <w:r w:rsidR="00C96AA5">
        <w:rPr>
          <w:b/>
        </w:rPr>
        <w:t>S</w:t>
      </w:r>
      <w:r w:rsidRPr="00922BED">
        <w:rPr>
          <w:b/>
        </w:rPr>
        <w:t>ervices</w:t>
      </w:r>
      <w:r w:rsidRPr="00D07951">
        <w:t xml:space="preserve">. </w:t>
      </w:r>
      <w:r w:rsidRPr="00E3390D">
        <w:t xml:space="preserve"> </w:t>
      </w:r>
    </w:p>
    <w:p w:rsidR="00150A20" w:rsidRDefault="004E49C2" w:rsidP="00D93A3B">
      <w:pPr>
        <w:pStyle w:val="ListParagraph"/>
        <w:numPr>
          <w:ilvl w:val="1"/>
          <w:numId w:val="48"/>
        </w:numPr>
        <w:tabs>
          <w:tab w:val="clear" w:pos="1080"/>
        </w:tabs>
        <w:spacing w:after="120"/>
        <w:ind w:left="270" w:firstLine="0"/>
        <w:rPr>
          <w:b/>
        </w:rPr>
      </w:pPr>
      <w:r>
        <w:rPr>
          <w:rFonts w:eastAsia="Times"/>
          <w:b/>
          <w:szCs w:val="20"/>
        </w:rPr>
        <w:t>General Report Requirements</w:t>
      </w:r>
    </w:p>
    <w:p w:rsidR="001B1497" w:rsidRDefault="001B1497" w:rsidP="00D93A3B">
      <w:pPr>
        <w:spacing w:after="120"/>
        <w:ind w:left="270" w:firstLine="450"/>
      </w:pPr>
      <w:r w:rsidRPr="00702658">
        <w:t>Indicate if your firm can provide each of the types of appraisal reports</w:t>
      </w:r>
      <w:r>
        <w:t xml:space="preserve"> and services described below:</w:t>
      </w:r>
    </w:p>
    <w:p w:rsidR="00150A20" w:rsidRDefault="001B1497" w:rsidP="00D93A3B">
      <w:pPr>
        <w:pStyle w:val="ListParagraph"/>
        <w:numPr>
          <w:ilvl w:val="4"/>
          <w:numId w:val="47"/>
        </w:numPr>
        <w:tabs>
          <w:tab w:val="clear" w:pos="3240"/>
        </w:tabs>
        <w:spacing w:after="120"/>
        <w:ind w:left="360" w:firstLine="360"/>
      </w:pPr>
      <w:r w:rsidRPr="005643A1">
        <w:t xml:space="preserve">Types of </w:t>
      </w:r>
      <w:r w:rsidRPr="00922BED">
        <w:t>Properties</w:t>
      </w:r>
    </w:p>
    <w:p w:rsidR="001B1497" w:rsidRDefault="001B1497" w:rsidP="006F6E61">
      <w:pPr>
        <w:pStyle w:val="ListParagraph"/>
        <w:numPr>
          <w:ilvl w:val="3"/>
          <w:numId w:val="51"/>
        </w:numPr>
        <w:tabs>
          <w:tab w:val="clear" w:pos="2520"/>
        </w:tabs>
        <w:ind w:left="360" w:firstLine="1080"/>
      </w:pPr>
      <w:r w:rsidRPr="00922BED">
        <w:t>Land</w:t>
      </w:r>
    </w:p>
    <w:p w:rsidR="001B1497" w:rsidRDefault="001B1497" w:rsidP="006F6E61">
      <w:pPr>
        <w:pStyle w:val="ListParagraph"/>
        <w:numPr>
          <w:ilvl w:val="3"/>
          <w:numId w:val="51"/>
        </w:numPr>
        <w:tabs>
          <w:tab w:val="clear" w:pos="2520"/>
        </w:tabs>
        <w:ind w:left="360" w:firstLine="1080"/>
      </w:pPr>
      <w:r w:rsidRPr="00922BED">
        <w:t>Land + Improvements</w:t>
      </w:r>
      <w:r w:rsidRPr="005643A1">
        <w:t xml:space="preserve">  </w:t>
      </w:r>
      <w:r>
        <w:br/>
      </w:r>
      <w:r w:rsidRPr="005643A1">
        <w:t xml:space="preserve"> </w:t>
      </w:r>
    </w:p>
    <w:p w:rsidR="00150A20" w:rsidRDefault="001B1497" w:rsidP="006F6E61">
      <w:pPr>
        <w:pStyle w:val="ListParagraph"/>
        <w:numPr>
          <w:ilvl w:val="4"/>
          <w:numId w:val="47"/>
        </w:numPr>
        <w:tabs>
          <w:tab w:val="clear" w:pos="3240"/>
        </w:tabs>
        <w:spacing w:after="120"/>
        <w:ind w:left="360" w:firstLine="360"/>
      </w:pPr>
      <w:r>
        <w:t>Types</w:t>
      </w:r>
      <w:r w:rsidRPr="00A20571">
        <w:t xml:space="preserve"> </w:t>
      </w:r>
      <w:r>
        <w:t>of Reports</w:t>
      </w:r>
    </w:p>
    <w:p w:rsidR="00150A20" w:rsidRDefault="001B1497" w:rsidP="006F6E61">
      <w:pPr>
        <w:pStyle w:val="ListParagraph"/>
        <w:numPr>
          <w:ilvl w:val="2"/>
          <w:numId w:val="52"/>
        </w:numPr>
        <w:tabs>
          <w:tab w:val="clear" w:pos="1800"/>
        </w:tabs>
        <w:ind w:left="360" w:firstLine="1080"/>
      </w:pPr>
      <w:r w:rsidRPr="00CF00AF">
        <w:rPr>
          <w:color w:val="FF0000"/>
        </w:rPr>
        <w:t xml:space="preserve">Restricted </w:t>
      </w:r>
      <w:r w:rsidR="00CF00AF" w:rsidRPr="00CF00AF">
        <w:rPr>
          <w:color w:val="FF0000"/>
        </w:rPr>
        <w:t xml:space="preserve">Appraisal Report </w:t>
      </w:r>
      <w:r w:rsidRPr="00CF00AF">
        <w:rPr>
          <w:strike/>
          <w:color w:val="FF0000"/>
        </w:rPr>
        <w:t>Use</w:t>
      </w:r>
      <w:r w:rsidRPr="00A20571">
        <w:t>;</w:t>
      </w:r>
    </w:p>
    <w:p w:rsidR="00150A20" w:rsidRDefault="00CF00AF" w:rsidP="006F6E61">
      <w:pPr>
        <w:pStyle w:val="ListParagraph"/>
        <w:numPr>
          <w:ilvl w:val="2"/>
          <w:numId w:val="52"/>
        </w:numPr>
        <w:tabs>
          <w:tab w:val="clear" w:pos="1800"/>
        </w:tabs>
        <w:ind w:left="360" w:firstLine="1080"/>
      </w:pPr>
      <w:r w:rsidRPr="00CF00AF">
        <w:rPr>
          <w:color w:val="FF0000"/>
        </w:rPr>
        <w:t xml:space="preserve">Appraisal Report </w:t>
      </w:r>
      <w:r w:rsidR="001B1497" w:rsidRPr="00CF00AF">
        <w:rPr>
          <w:strike/>
          <w:color w:val="FF0000"/>
        </w:rPr>
        <w:t>Summary</w:t>
      </w:r>
      <w:r w:rsidR="001B1497" w:rsidRPr="00A20571">
        <w:t>;</w:t>
      </w:r>
    </w:p>
    <w:p w:rsidR="00150A20" w:rsidRPr="00CF00AF" w:rsidRDefault="001B1497" w:rsidP="006F6E61">
      <w:pPr>
        <w:pStyle w:val="ListParagraph"/>
        <w:numPr>
          <w:ilvl w:val="2"/>
          <w:numId w:val="52"/>
        </w:numPr>
        <w:tabs>
          <w:tab w:val="clear" w:pos="1800"/>
        </w:tabs>
        <w:ind w:left="360" w:firstLine="1080"/>
        <w:rPr>
          <w:strike/>
          <w:color w:val="FF0000"/>
        </w:rPr>
      </w:pPr>
      <w:r w:rsidRPr="00CF00AF">
        <w:rPr>
          <w:strike/>
          <w:color w:val="FF0000"/>
        </w:rPr>
        <w:t>Self-Contained; and</w:t>
      </w:r>
    </w:p>
    <w:p w:rsidR="00150A20" w:rsidRPr="00CF00AF" w:rsidRDefault="001B1497" w:rsidP="006F6E61">
      <w:pPr>
        <w:pStyle w:val="ListParagraph"/>
        <w:numPr>
          <w:ilvl w:val="2"/>
          <w:numId w:val="52"/>
        </w:numPr>
        <w:tabs>
          <w:tab w:val="clear" w:pos="1800"/>
        </w:tabs>
        <w:ind w:left="360" w:firstLine="1080"/>
        <w:rPr>
          <w:strike/>
          <w:color w:val="FF0000"/>
        </w:rPr>
      </w:pPr>
      <w:r w:rsidRPr="00CF00AF">
        <w:rPr>
          <w:strike/>
          <w:color w:val="FF0000"/>
        </w:rPr>
        <w:t>Commission</w:t>
      </w:r>
      <w:r w:rsidRPr="00CF00AF">
        <w:rPr>
          <w:strike/>
          <w:color w:val="FF0000"/>
        </w:rPr>
        <w:br/>
      </w:r>
    </w:p>
    <w:p w:rsidR="00150A20" w:rsidRDefault="001B1497" w:rsidP="00D93A3B">
      <w:pPr>
        <w:pStyle w:val="ListParagraph"/>
        <w:numPr>
          <w:ilvl w:val="4"/>
          <w:numId w:val="47"/>
        </w:numPr>
        <w:tabs>
          <w:tab w:val="clear" w:pos="3240"/>
        </w:tabs>
        <w:spacing w:after="120"/>
        <w:ind w:left="360" w:firstLine="360"/>
      </w:pPr>
      <w:r w:rsidRPr="00A20571">
        <w:t>Approaches required</w:t>
      </w:r>
      <w:r>
        <w:t>:</w:t>
      </w:r>
    </w:p>
    <w:p w:rsidR="001B1497" w:rsidRDefault="001B1497" w:rsidP="00EB3D37">
      <w:pPr>
        <w:pStyle w:val="ListParagraph"/>
        <w:numPr>
          <w:ilvl w:val="2"/>
          <w:numId w:val="53"/>
        </w:numPr>
        <w:tabs>
          <w:tab w:val="clear" w:pos="1800"/>
          <w:tab w:val="left" w:pos="1440"/>
        </w:tabs>
        <w:ind w:left="360" w:firstLine="1080"/>
      </w:pPr>
      <w:r w:rsidRPr="00A20571">
        <w:t>Cost Valuation</w:t>
      </w:r>
    </w:p>
    <w:p w:rsidR="001B1497" w:rsidRDefault="001B1497" w:rsidP="00EB3D37">
      <w:pPr>
        <w:pStyle w:val="ListParagraph"/>
        <w:numPr>
          <w:ilvl w:val="2"/>
          <w:numId w:val="53"/>
        </w:numPr>
        <w:tabs>
          <w:tab w:val="clear" w:pos="1800"/>
          <w:tab w:val="left" w:pos="1440"/>
        </w:tabs>
        <w:ind w:left="360" w:firstLine="1080"/>
      </w:pPr>
      <w:r w:rsidRPr="00A20571">
        <w:t>Income Capitalization</w:t>
      </w:r>
    </w:p>
    <w:p w:rsidR="001B1497" w:rsidRDefault="001B1497" w:rsidP="00EB3D37">
      <w:pPr>
        <w:pStyle w:val="ListParagraph"/>
        <w:numPr>
          <w:ilvl w:val="2"/>
          <w:numId w:val="53"/>
        </w:numPr>
        <w:tabs>
          <w:tab w:val="clear" w:pos="1800"/>
          <w:tab w:val="left" w:pos="1440"/>
        </w:tabs>
        <w:ind w:left="360" w:firstLine="1080"/>
      </w:pPr>
      <w:r w:rsidRPr="00A20571">
        <w:t>Sales Comparison</w:t>
      </w:r>
    </w:p>
    <w:p w:rsidR="00150A20" w:rsidRDefault="001B1497" w:rsidP="00EB3D37">
      <w:pPr>
        <w:pStyle w:val="ListParagraph"/>
        <w:numPr>
          <w:ilvl w:val="2"/>
          <w:numId w:val="53"/>
        </w:numPr>
        <w:tabs>
          <w:tab w:val="clear" w:pos="1800"/>
          <w:tab w:val="left" w:pos="1440"/>
        </w:tabs>
        <w:ind w:left="360" w:firstLine="1080"/>
      </w:pPr>
      <w:r>
        <w:t>Combination of abov</w:t>
      </w:r>
      <w:r w:rsidR="00BE1178">
        <w:t>e</w:t>
      </w:r>
    </w:p>
    <w:p w:rsidR="00150A20" w:rsidRDefault="001B1497" w:rsidP="00EB3D37">
      <w:pPr>
        <w:pStyle w:val="ListParagraph"/>
        <w:numPr>
          <w:ilvl w:val="2"/>
          <w:numId w:val="53"/>
        </w:numPr>
        <w:tabs>
          <w:tab w:val="clear" w:pos="1800"/>
          <w:tab w:val="left" w:pos="1440"/>
        </w:tabs>
        <w:ind w:left="360" w:firstLine="1080"/>
      </w:pPr>
      <w:r>
        <w:t>Alternative approach for Special Use properties</w:t>
      </w:r>
    </w:p>
    <w:p w:rsidR="001B1497" w:rsidRDefault="001B1497" w:rsidP="00EB3D37">
      <w:pPr>
        <w:pStyle w:val="ListParagraph"/>
        <w:numPr>
          <w:ilvl w:val="3"/>
          <w:numId w:val="63"/>
        </w:numPr>
        <w:tabs>
          <w:tab w:val="clear" w:pos="2520"/>
        </w:tabs>
        <w:ind w:left="360" w:firstLine="1800"/>
      </w:pPr>
      <w:r>
        <w:t>Use Value</w:t>
      </w:r>
    </w:p>
    <w:p w:rsidR="001B1497" w:rsidRDefault="001B1497" w:rsidP="00EB3D37">
      <w:pPr>
        <w:pStyle w:val="ListParagraph"/>
        <w:numPr>
          <w:ilvl w:val="3"/>
          <w:numId w:val="63"/>
        </w:numPr>
        <w:tabs>
          <w:tab w:val="clear" w:pos="2520"/>
        </w:tabs>
        <w:ind w:left="360" w:firstLine="1800"/>
      </w:pPr>
      <w:r>
        <w:t>Going Concern Value</w:t>
      </w:r>
      <w:r w:rsidRPr="00A20571">
        <w:t xml:space="preserve"> </w:t>
      </w:r>
    </w:p>
    <w:p w:rsidR="00150A20" w:rsidRDefault="001B1497" w:rsidP="00D819A9">
      <w:pPr>
        <w:pStyle w:val="ListParagraph"/>
        <w:numPr>
          <w:ilvl w:val="4"/>
          <w:numId w:val="47"/>
        </w:numPr>
        <w:tabs>
          <w:tab w:val="clear" w:pos="3240"/>
        </w:tabs>
        <w:spacing w:after="120"/>
        <w:ind w:left="720" w:firstLine="1440"/>
      </w:pPr>
      <w:r>
        <w:t>C</w:t>
      </w:r>
      <w:r w:rsidRPr="00A20571">
        <w:t>ombination of a</w:t>
      </w:r>
      <w:r>
        <w:t>bove</w:t>
      </w:r>
      <w:r w:rsidR="00BE1178">
        <w:br/>
      </w:r>
      <w:r w:rsidR="00D819A9">
        <w:t>d.</w:t>
      </w:r>
      <w:r w:rsidR="00EE4B7C">
        <w:tab/>
      </w:r>
      <w:r>
        <w:t>Types of Services</w:t>
      </w:r>
    </w:p>
    <w:p w:rsidR="00150A20" w:rsidRDefault="001B1497" w:rsidP="00BE19E8">
      <w:pPr>
        <w:pStyle w:val="ListParagraph"/>
        <w:numPr>
          <w:ilvl w:val="2"/>
          <w:numId w:val="54"/>
        </w:numPr>
        <w:tabs>
          <w:tab w:val="clear" w:pos="1800"/>
        </w:tabs>
        <w:spacing w:after="60"/>
        <w:ind w:left="2160" w:hanging="720"/>
      </w:pPr>
      <w:r w:rsidRPr="001F24CB">
        <w:t>New appraisal report</w:t>
      </w:r>
      <w:r>
        <w:t>.</w:t>
      </w:r>
    </w:p>
    <w:p w:rsidR="00150A20" w:rsidRDefault="001B1497" w:rsidP="00BE19E8">
      <w:pPr>
        <w:pStyle w:val="ListParagraph"/>
        <w:numPr>
          <w:ilvl w:val="2"/>
          <w:numId w:val="54"/>
        </w:numPr>
        <w:tabs>
          <w:tab w:val="clear" w:pos="1800"/>
        </w:tabs>
        <w:spacing w:after="60"/>
        <w:ind w:left="2160" w:hanging="720"/>
      </w:pPr>
      <w:r>
        <w:t>New appraisal report – AOC provides a recent appraisal report from another firm.</w:t>
      </w:r>
    </w:p>
    <w:p w:rsidR="00150A20" w:rsidRDefault="001B1497" w:rsidP="00BE19E8">
      <w:pPr>
        <w:pStyle w:val="ListParagraph"/>
        <w:numPr>
          <w:ilvl w:val="2"/>
          <w:numId w:val="54"/>
        </w:numPr>
        <w:tabs>
          <w:tab w:val="clear" w:pos="1800"/>
        </w:tabs>
        <w:spacing w:after="60"/>
        <w:ind w:left="2160" w:hanging="720"/>
      </w:pPr>
      <w:r>
        <w:t xml:space="preserve">Multiple new appraisal reports for properties in the same vicinity, being appraised </w:t>
      </w:r>
      <w:r>
        <w:tab/>
        <w:t>concurrently, thereby affording Service Provider certain economies of scale.</w:t>
      </w:r>
    </w:p>
    <w:p w:rsidR="00150A20" w:rsidRDefault="001B1497" w:rsidP="00BE19E8">
      <w:pPr>
        <w:pStyle w:val="ListParagraph"/>
        <w:numPr>
          <w:ilvl w:val="2"/>
          <w:numId w:val="54"/>
        </w:numPr>
        <w:tabs>
          <w:tab w:val="clear" w:pos="1800"/>
        </w:tabs>
        <w:spacing w:after="60"/>
        <w:ind w:left="2160" w:hanging="720"/>
      </w:pPr>
      <w:r>
        <w:lastRenderedPageBreak/>
        <w:t>Update of a previous Service Provider appraisal report, to reflect current market conditions.</w:t>
      </w:r>
    </w:p>
    <w:p w:rsidR="00150A20" w:rsidRDefault="001B1497" w:rsidP="00BE19E8">
      <w:pPr>
        <w:pStyle w:val="ListParagraph"/>
        <w:numPr>
          <w:ilvl w:val="2"/>
          <w:numId w:val="54"/>
        </w:numPr>
        <w:tabs>
          <w:tab w:val="clear" w:pos="1800"/>
        </w:tabs>
        <w:spacing w:after="60"/>
        <w:ind w:left="2160" w:hanging="720"/>
      </w:pPr>
      <w:r>
        <w:t>Update of a previous Service Provider appraisal report to reflect expanded scope.</w:t>
      </w:r>
    </w:p>
    <w:p w:rsidR="00150A20" w:rsidRDefault="001B1497" w:rsidP="00BE19E8">
      <w:pPr>
        <w:pStyle w:val="ListParagraph"/>
        <w:numPr>
          <w:ilvl w:val="2"/>
          <w:numId w:val="54"/>
        </w:numPr>
        <w:tabs>
          <w:tab w:val="clear" w:pos="1800"/>
        </w:tabs>
        <w:spacing w:after="60"/>
        <w:ind w:left="2160" w:hanging="720"/>
      </w:pPr>
      <w:r>
        <w:t>Update of a previous Service Provider appraisal report to reflect reduced scope.</w:t>
      </w:r>
    </w:p>
    <w:p w:rsidR="00150A20" w:rsidRDefault="001B1497" w:rsidP="00BE19E8">
      <w:pPr>
        <w:pStyle w:val="ListParagraph"/>
        <w:numPr>
          <w:ilvl w:val="2"/>
          <w:numId w:val="54"/>
        </w:numPr>
        <w:tabs>
          <w:tab w:val="clear" w:pos="1800"/>
        </w:tabs>
        <w:spacing w:after="60"/>
        <w:ind w:left="2160" w:hanging="720"/>
      </w:pPr>
      <w:r>
        <w:t>Update of a previous Service Provider appraisal report to change approach used.</w:t>
      </w:r>
    </w:p>
    <w:p w:rsidR="00150A20" w:rsidRDefault="001B1497" w:rsidP="00BE19E8">
      <w:pPr>
        <w:pStyle w:val="ListParagraph"/>
        <w:numPr>
          <w:ilvl w:val="2"/>
          <w:numId w:val="54"/>
        </w:numPr>
        <w:tabs>
          <w:tab w:val="clear" w:pos="1800"/>
        </w:tabs>
        <w:spacing w:after="120"/>
        <w:ind w:left="2160" w:hanging="720"/>
      </w:pPr>
      <w:r>
        <w:t xml:space="preserve"> </w:t>
      </w:r>
      <w:r w:rsidRPr="005C413C">
        <w:t>New Commission appraisal report to determine brokerage market commission rates</w:t>
      </w:r>
      <w:r w:rsidR="00BE1178">
        <w:t xml:space="preserve"> </w:t>
      </w:r>
      <w:r w:rsidRPr="005C413C">
        <w:t>where a broker represents the AOC to acquire a specific type of propert</w:t>
      </w:r>
      <w:r>
        <w:t>y.</w:t>
      </w:r>
    </w:p>
    <w:p w:rsidR="00C553C9" w:rsidRDefault="00C553C9" w:rsidP="00C553C9">
      <w:pPr>
        <w:pStyle w:val="ListParagraph"/>
        <w:spacing w:after="120"/>
        <w:ind w:left="2160"/>
      </w:pPr>
    </w:p>
    <w:p w:rsidR="00150A20" w:rsidRDefault="001B1497" w:rsidP="00C553C9">
      <w:pPr>
        <w:pStyle w:val="ListParagraph"/>
        <w:numPr>
          <w:ilvl w:val="1"/>
          <w:numId w:val="48"/>
        </w:numPr>
        <w:tabs>
          <w:tab w:val="clear" w:pos="1080"/>
        </w:tabs>
        <w:spacing w:after="120"/>
        <w:ind w:left="270" w:firstLine="0"/>
        <w:rPr>
          <w:b/>
        </w:rPr>
      </w:pPr>
      <w:r w:rsidRPr="00922BED">
        <w:rPr>
          <w:rFonts w:eastAsia="Times"/>
          <w:b/>
          <w:szCs w:val="20"/>
        </w:rPr>
        <w:t xml:space="preserve">State of California Department of General Services </w:t>
      </w:r>
      <w:r>
        <w:rPr>
          <w:rFonts w:eastAsia="Times"/>
          <w:b/>
          <w:szCs w:val="20"/>
        </w:rPr>
        <w:t xml:space="preserve">Report </w:t>
      </w:r>
      <w:r w:rsidRPr="00922BED">
        <w:rPr>
          <w:rFonts w:eastAsia="Times"/>
          <w:b/>
          <w:szCs w:val="20"/>
        </w:rPr>
        <w:t xml:space="preserve">Requirements  </w:t>
      </w:r>
    </w:p>
    <w:p w:rsidR="001B1497" w:rsidRDefault="001B1497" w:rsidP="00D4370E">
      <w:pPr>
        <w:pStyle w:val="ListParagraph"/>
        <w:numPr>
          <w:ilvl w:val="2"/>
          <w:numId w:val="49"/>
        </w:numPr>
        <w:tabs>
          <w:tab w:val="clear" w:pos="1800"/>
        </w:tabs>
        <w:spacing w:after="240"/>
        <w:ind w:left="720" w:firstLine="0"/>
        <w:jc w:val="both"/>
      </w:pPr>
      <w:r w:rsidRPr="00CB1643">
        <w:rPr>
          <w:u w:val="single"/>
        </w:rPr>
        <w:t>DGS Appraisal Specifications</w:t>
      </w:r>
      <w:r>
        <w:t>:  For</w:t>
      </w:r>
      <w:r w:rsidR="00CF00AF">
        <w:t xml:space="preserve"> </w:t>
      </w:r>
      <w:r w:rsidR="00CF00AF" w:rsidRPr="00CF00AF">
        <w:rPr>
          <w:color w:val="FF0000"/>
        </w:rPr>
        <w:t>Appraisal Reports</w:t>
      </w:r>
      <w:r>
        <w:t xml:space="preserve"> </w:t>
      </w:r>
      <w:r w:rsidRPr="00CF00AF">
        <w:rPr>
          <w:strike/>
          <w:color w:val="FF0000"/>
        </w:rPr>
        <w:t>self-contained appraisal reports</w:t>
      </w:r>
      <w:r>
        <w:t xml:space="preserve">, indicate if your firm can meet all requirements contained in the DGS Specifications as described in </w:t>
      </w:r>
      <w:r w:rsidRPr="00922BED">
        <w:rPr>
          <w:b/>
        </w:rPr>
        <w:t>Attachments A-1</w:t>
      </w:r>
      <w:r>
        <w:t>.  I</w:t>
      </w:r>
      <w:r w:rsidRPr="00D87F1F">
        <w:t>f you</w:t>
      </w:r>
      <w:r>
        <w:t>r firm</w:t>
      </w:r>
      <w:r w:rsidRPr="00D87F1F">
        <w:t xml:space="preserve"> </w:t>
      </w:r>
      <w:r>
        <w:t xml:space="preserve">is </w:t>
      </w:r>
      <w:r w:rsidRPr="00EA3C16">
        <w:t>not</w:t>
      </w:r>
      <w:r w:rsidRPr="00D87F1F">
        <w:t xml:space="preserve"> able to meet the requirement</w:t>
      </w:r>
      <w:r>
        <w:t>(s)</w:t>
      </w:r>
      <w:r w:rsidRPr="00D87F1F">
        <w:t>, briefly explain why, noting any concerns or issues we should be aware of</w:t>
      </w:r>
      <w:r>
        <w:t>. I</w:t>
      </w:r>
      <w:r w:rsidRPr="00D87F1F">
        <w:t>f you</w:t>
      </w:r>
      <w:r>
        <w:t xml:space="preserve">r firm is </w:t>
      </w:r>
      <w:r w:rsidRPr="00D87F1F">
        <w:t>able to meet the requirement</w:t>
      </w:r>
      <w:r>
        <w:t>s</w:t>
      </w:r>
      <w:r w:rsidRPr="00D87F1F">
        <w:t>, provide further details, as appropriate, on how you</w:t>
      </w:r>
      <w:r>
        <w:t>r firm</w:t>
      </w:r>
      <w:r w:rsidRPr="00D87F1F">
        <w:t xml:space="preserve"> plan</w:t>
      </w:r>
      <w:r>
        <w:t>s</w:t>
      </w:r>
      <w:r w:rsidRPr="00D87F1F">
        <w:t xml:space="preserve"> to do so, including use of subcontractors</w:t>
      </w:r>
      <w:r>
        <w:t>.</w:t>
      </w:r>
    </w:p>
    <w:p w:rsidR="001B1497" w:rsidRDefault="001B1497" w:rsidP="00D4370E">
      <w:pPr>
        <w:numPr>
          <w:ilvl w:val="2"/>
          <w:numId w:val="49"/>
        </w:numPr>
        <w:tabs>
          <w:tab w:val="clear" w:pos="1800"/>
        </w:tabs>
        <w:spacing w:after="240"/>
        <w:ind w:left="720" w:firstLine="0"/>
        <w:jc w:val="both"/>
      </w:pPr>
      <w:r w:rsidRPr="000A52FA">
        <w:rPr>
          <w:u w:val="single"/>
        </w:rPr>
        <w:t>DGS Implied Dedication</w:t>
      </w:r>
      <w:r>
        <w:t xml:space="preserve">:  For </w:t>
      </w:r>
      <w:r w:rsidR="00CF00AF" w:rsidRPr="00CF00AF">
        <w:rPr>
          <w:color w:val="FF0000"/>
        </w:rPr>
        <w:t>Appraisal Reports</w:t>
      </w:r>
      <w:r w:rsidR="00CF00AF">
        <w:t xml:space="preserve"> </w:t>
      </w:r>
      <w:r w:rsidR="00CF00AF" w:rsidRPr="00CF00AF">
        <w:rPr>
          <w:strike/>
          <w:color w:val="FF0000"/>
        </w:rPr>
        <w:t>self-contained appraisal reports</w:t>
      </w:r>
      <w:r>
        <w:t>, i</w:t>
      </w:r>
      <w:r w:rsidRPr="00D87F1F">
        <w:t>ndicate if you</w:t>
      </w:r>
      <w:r>
        <w:t>r firm</w:t>
      </w:r>
      <w:r w:rsidRPr="00D87F1F">
        <w:t xml:space="preserve"> can meet the</w:t>
      </w:r>
      <w:r>
        <w:t xml:space="preserve"> DGS Implied Dedication requirement as described in </w:t>
      </w:r>
      <w:r w:rsidRPr="00922BED">
        <w:rPr>
          <w:b/>
        </w:rPr>
        <w:t>Attachment A-2</w:t>
      </w:r>
      <w:r>
        <w:t>.  I</w:t>
      </w:r>
      <w:r w:rsidRPr="00D87F1F">
        <w:t>f you</w:t>
      </w:r>
      <w:r>
        <w:t>r firm</w:t>
      </w:r>
      <w:r w:rsidRPr="00D87F1F">
        <w:t xml:space="preserve"> </w:t>
      </w:r>
      <w:r>
        <w:t>is</w:t>
      </w:r>
      <w:r w:rsidRPr="00D87F1F">
        <w:t xml:space="preserve"> </w:t>
      </w:r>
      <w:r w:rsidRPr="00EA3C16">
        <w:t>not</w:t>
      </w:r>
      <w:r w:rsidRPr="00D87F1F">
        <w:t xml:space="preserve"> able to meet the requirement</w:t>
      </w:r>
      <w:r>
        <w:t>(s)</w:t>
      </w:r>
      <w:r w:rsidRPr="00D87F1F">
        <w:t>, briefly explain why, noting any concerns or issues we should be aware of</w:t>
      </w:r>
      <w:r>
        <w:t>. I</w:t>
      </w:r>
      <w:r w:rsidRPr="00D87F1F">
        <w:t>f you</w:t>
      </w:r>
      <w:r>
        <w:t>r firm</w:t>
      </w:r>
      <w:r w:rsidRPr="00D87F1F">
        <w:t xml:space="preserve"> </w:t>
      </w:r>
      <w:r>
        <w:t xml:space="preserve">is </w:t>
      </w:r>
      <w:r w:rsidRPr="00D87F1F">
        <w:t>able to meet the requirement, provide further details, as appropriate, on how you</w:t>
      </w:r>
      <w:r>
        <w:t>r firm</w:t>
      </w:r>
      <w:r w:rsidRPr="00D87F1F">
        <w:t xml:space="preserve"> plan</w:t>
      </w:r>
      <w:r>
        <w:t>s</w:t>
      </w:r>
      <w:r w:rsidRPr="00D87F1F">
        <w:t xml:space="preserve"> to do so, including use of subcontractors</w:t>
      </w:r>
      <w:r>
        <w:t>.</w:t>
      </w:r>
    </w:p>
    <w:p w:rsidR="00150A20" w:rsidRDefault="001B1497" w:rsidP="00FA7109">
      <w:pPr>
        <w:pStyle w:val="ListParagraph"/>
        <w:numPr>
          <w:ilvl w:val="1"/>
          <w:numId w:val="48"/>
        </w:numPr>
        <w:tabs>
          <w:tab w:val="clear" w:pos="1080"/>
        </w:tabs>
        <w:spacing w:after="120"/>
        <w:ind w:left="720" w:hanging="450"/>
        <w:rPr>
          <w:b/>
        </w:rPr>
      </w:pPr>
      <w:r>
        <w:rPr>
          <w:rFonts w:eastAsia="Times"/>
          <w:b/>
          <w:szCs w:val="20"/>
        </w:rPr>
        <w:t>Additional AOC Report Requirements</w:t>
      </w:r>
    </w:p>
    <w:p w:rsidR="001B1497" w:rsidRDefault="001B1497" w:rsidP="00D4370E">
      <w:pPr>
        <w:numPr>
          <w:ilvl w:val="1"/>
          <w:numId w:val="50"/>
        </w:numPr>
        <w:tabs>
          <w:tab w:val="clear" w:pos="1080"/>
        </w:tabs>
        <w:spacing w:after="240"/>
        <w:ind w:left="720" w:firstLine="0"/>
      </w:pPr>
      <w:r w:rsidRPr="00F06E4D">
        <w:rPr>
          <w:u w:val="single"/>
        </w:rPr>
        <w:t>Property Depiction</w:t>
      </w:r>
      <w:r w:rsidRPr="00F06E4D">
        <w:t xml:space="preserve">:  Indicate if your firm can meet this requirement as described in </w:t>
      </w:r>
      <w:r w:rsidRPr="00F06E4D">
        <w:rPr>
          <w:b/>
        </w:rPr>
        <w:t>Attachment A</w:t>
      </w:r>
      <w:r>
        <w:rPr>
          <w:b/>
        </w:rPr>
        <w:t xml:space="preserve"> Scope of Services</w:t>
      </w:r>
      <w:r w:rsidRPr="00F06E4D">
        <w:t>.</w:t>
      </w:r>
    </w:p>
    <w:p w:rsidR="001B1497" w:rsidRDefault="001B1497" w:rsidP="00D4370E">
      <w:pPr>
        <w:numPr>
          <w:ilvl w:val="1"/>
          <w:numId w:val="50"/>
        </w:numPr>
        <w:tabs>
          <w:tab w:val="clear" w:pos="1080"/>
        </w:tabs>
        <w:spacing w:after="240"/>
        <w:ind w:left="720" w:firstLine="0"/>
      </w:pPr>
      <w:r w:rsidRPr="00F06E4D">
        <w:rPr>
          <w:u w:val="single"/>
        </w:rPr>
        <w:t>DGS Preference for Local Appraisers</w:t>
      </w:r>
      <w:r w:rsidRPr="00F06E4D">
        <w:t xml:space="preserve">:  Indicate if your firm can meet the requirement described in </w:t>
      </w:r>
      <w:r w:rsidRPr="00F06E4D">
        <w:rPr>
          <w:b/>
        </w:rPr>
        <w:t>Attachment A</w:t>
      </w:r>
      <w:r>
        <w:rPr>
          <w:b/>
        </w:rPr>
        <w:t xml:space="preserve"> Scope of Services</w:t>
      </w:r>
      <w:r w:rsidRPr="00F06E4D">
        <w:t xml:space="preserve">.  Describe in detail how this requirement can be met.  </w:t>
      </w:r>
    </w:p>
    <w:p w:rsidR="001B1497" w:rsidRDefault="001B1497" w:rsidP="00D4370E">
      <w:pPr>
        <w:numPr>
          <w:ilvl w:val="1"/>
          <w:numId w:val="50"/>
        </w:numPr>
        <w:tabs>
          <w:tab w:val="clear" w:pos="1080"/>
        </w:tabs>
        <w:spacing w:after="240"/>
        <w:ind w:left="720" w:firstLine="0"/>
      </w:pPr>
      <w:r w:rsidRPr="00F06E4D">
        <w:rPr>
          <w:u w:val="single"/>
        </w:rPr>
        <w:t>Regional Area, neighborhood analyses (DGS Item 13)</w:t>
      </w:r>
      <w:r w:rsidRPr="00F06E4D">
        <w:t xml:space="preserve">:  </w:t>
      </w:r>
      <w:r>
        <w:t>I</w:t>
      </w:r>
      <w:r w:rsidRPr="00F06E4D">
        <w:t xml:space="preserve">ndicate if your firm can meet the requirement as described in </w:t>
      </w:r>
      <w:r w:rsidRPr="00F06E4D">
        <w:rPr>
          <w:b/>
        </w:rPr>
        <w:t>Attachment A</w:t>
      </w:r>
      <w:r>
        <w:rPr>
          <w:b/>
        </w:rPr>
        <w:t xml:space="preserve"> Scope of Services</w:t>
      </w:r>
      <w:r w:rsidRPr="00F06E4D">
        <w:t>.  Describe in detail how this requirement can be met.  If your firm cannot meet this requirement, please explain.</w:t>
      </w:r>
    </w:p>
    <w:p w:rsidR="001B1497" w:rsidRPr="0001395A" w:rsidRDefault="001B1497" w:rsidP="00D4370E">
      <w:pPr>
        <w:spacing w:after="240"/>
        <w:ind w:left="720"/>
        <w:rPr>
          <w:b/>
        </w:rPr>
      </w:pPr>
      <w:r w:rsidRPr="00750C46">
        <w:t>d.</w:t>
      </w:r>
      <w:r w:rsidRPr="00750C46">
        <w:tab/>
      </w:r>
      <w:r w:rsidRPr="00B058BC">
        <w:rPr>
          <w:u w:val="single"/>
        </w:rPr>
        <w:t>Real estate data and analyses (DGS Item 14)</w:t>
      </w:r>
      <w:r w:rsidRPr="00F06E4D">
        <w:t xml:space="preserve">:  </w:t>
      </w:r>
      <w:r>
        <w:t>I</w:t>
      </w:r>
      <w:r w:rsidRPr="00F06E4D">
        <w:t xml:space="preserve">ndicate if your firm can meet the requirement as described in </w:t>
      </w:r>
      <w:r w:rsidRPr="00B058BC">
        <w:rPr>
          <w:b/>
        </w:rPr>
        <w:t>Attachment A</w:t>
      </w:r>
      <w:r>
        <w:rPr>
          <w:b/>
        </w:rPr>
        <w:t xml:space="preserve"> Scope of Services</w:t>
      </w:r>
      <w:r w:rsidRPr="00F06E4D">
        <w:t>.  Describe in detail how this requirement can be met.  If your firm cannot meet this requirement, please explain.</w:t>
      </w:r>
      <w:r>
        <w:br/>
      </w:r>
    </w:p>
    <w:p w:rsidR="001B1497" w:rsidRPr="003A24A1" w:rsidRDefault="001B1497" w:rsidP="00C54F57">
      <w:pPr>
        <w:numPr>
          <w:ilvl w:val="0"/>
          <w:numId w:val="66"/>
        </w:numPr>
        <w:spacing w:after="240"/>
        <w:ind w:left="270" w:firstLine="0"/>
        <w:rPr>
          <w:b/>
          <w:u w:val="single"/>
        </w:rPr>
      </w:pPr>
      <w:r w:rsidRPr="003A24A1">
        <w:rPr>
          <w:b/>
          <w:u w:val="single"/>
        </w:rPr>
        <w:t>CONTRACT ADMINISTRATION REQUIREMENTS</w:t>
      </w:r>
    </w:p>
    <w:p w:rsidR="001B1497" w:rsidRPr="00BE1178" w:rsidRDefault="001B1497" w:rsidP="00ED6311">
      <w:pPr>
        <w:pStyle w:val="ListParagraph"/>
        <w:numPr>
          <w:ilvl w:val="0"/>
          <w:numId w:val="18"/>
        </w:numPr>
        <w:tabs>
          <w:tab w:val="clear" w:pos="360"/>
        </w:tabs>
        <w:spacing w:after="240"/>
        <w:ind w:left="270" w:firstLine="0"/>
        <w:rPr>
          <w:b/>
        </w:rPr>
      </w:pPr>
      <w:r w:rsidRPr="00AB2944">
        <w:rPr>
          <w:b/>
        </w:rPr>
        <w:lastRenderedPageBreak/>
        <w:t xml:space="preserve">Order/Price Quote Process:   </w:t>
      </w:r>
      <w:r w:rsidRPr="00903DAE">
        <w:t>Indicate if th</w:t>
      </w:r>
      <w:r>
        <w:t>e</w:t>
      </w:r>
      <w:r w:rsidRPr="00903DAE">
        <w:t xml:space="preserve"> process described in</w:t>
      </w:r>
      <w:r w:rsidRPr="00AB2944">
        <w:rPr>
          <w:b/>
        </w:rPr>
        <w:t xml:space="preserve"> Attachment A</w:t>
      </w:r>
      <w:r>
        <w:rPr>
          <w:b/>
        </w:rPr>
        <w:t xml:space="preserve"> Scope of Services</w:t>
      </w:r>
      <w:r w:rsidRPr="00AB2944">
        <w:rPr>
          <w:b/>
        </w:rPr>
        <w:t xml:space="preserve">, paragraph </w:t>
      </w:r>
      <w:r>
        <w:rPr>
          <w:b/>
        </w:rPr>
        <w:t>C</w:t>
      </w:r>
      <w:r w:rsidRPr="00AB2944">
        <w:rPr>
          <w:b/>
        </w:rPr>
        <w:t>.1.</w:t>
      </w:r>
      <w:r w:rsidRPr="00903DAE">
        <w:t xml:space="preserve"> is acceptable or not, and if not, provide an explanation.  </w:t>
      </w:r>
      <w:r w:rsidRPr="00716190">
        <w:t xml:space="preserve">Be sure to review the Travel / Living Expenses (refer to </w:t>
      </w:r>
      <w:r w:rsidRPr="00716190">
        <w:rPr>
          <w:b/>
        </w:rPr>
        <w:t>Attachment C, Exhibit C, Par. 2.E</w:t>
      </w:r>
      <w:r w:rsidRPr="00716190">
        <w:t>. for a description of allowed expenses).</w:t>
      </w:r>
    </w:p>
    <w:p w:rsidR="001B1497" w:rsidRPr="00BE1178" w:rsidRDefault="001B1497" w:rsidP="00ED6311">
      <w:pPr>
        <w:numPr>
          <w:ilvl w:val="0"/>
          <w:numId w:val="18"/>
        </w:numPr>
        <w:tabs>
          <w:tab w:val="clear" w:pos="360"/>
        </w:tabs>
        <w:spacing w:after="240"/>
        <w:ind w:left="270" w:firstLine="0"/>
        <w:rPr>
          <w:b/>
        </w:rPr>
      </w:pPr>
      <w:r w:rsidRPr="002535C1">
        <w:rPr>
          <w:b/>
        </w:rPr>
        <w:t>Delivery/Approval of reports by AOC</w:t>
      </w:r>
      <w:r w:rsidRPr="00903DAE">
        <w:t>:  Indicate if th</w:t>
      </w:r>
      <w:r>
        <w:t>e</w:t>
      </w:r>
      <w:r w:rsidRPr="00903DAE">
        <w:t xml:space="preserve"> process described in </w:t>
      </w:r>
      <w:r w:rsidRPr="00903DAE">
        <w:rPr>
          <w:b/>
        </w:rPr>
        <w:t>Attachment A</w:t>
      </w:r>
      <w:r>
        <w:rPr>
          <w:b/>
        </w:rPr>
        <w:t xml:space="preserve"> Scope of Services, paragraph C.2.</w:t>
      </w:r>
      <w:r w:rsidRPr="00903DAE">
        <w:t xml:space="preserve"> </w:t>
      </w:r>
      <w:r>
        <w:t xml:space="preserve">is acceptable or not, </w:t>
      </w:r>
      <w:r w:rsidRPr="00903DAE">
        <w:t>and if not, please explain</w:t>
      </w:r>
      <w:r w:rsidRPr="00AB2944">
        <w:t>.</w:t>
      </w:r>
      <w:r w:rsidRPr="00922BED">
        <w:t xml:space="preserve">  </w:t>
      </w:r>
    </w:p>
    <w:p w:rsidR="001B1497" w:rsidRPr="00BE1178" w:rsidRDefault="001B1497" w:rsidP="00ED6311">
      <w:pPr>
        <w:numPr>
          <w:ilvl w:val="0"/>
          <w:numId w:val="18"/>
        </w:numPr>
        <w:tabs>
          <w:tab w:val="clear" w:pos="360"/>
        </w:tabs>
        <w:spacing w:after="240"/>
        <w:ind w:left="270" w:firstLine="0"/>
        <w:rPr>
          <w:b/>
        </w:rPr>
      </w:pPr>
      <w:r w:rsidRPr="00BE1178">
        <w:rPr>
          <w:b/>
        </w:rPr>
        <w:t xml:space="preserve">Approval of </w:t>
      </w:r>
      <w:r w:rsidRPr="00CF00AF">
        <w:rPr>
          <w:b/>
          <w:strike/>
          <w:color w:val="FF0000"/>
        </w:rPr>
        <w:t>Self-Contained</w:t>
      </w:r>
      <w:r w:rsidRPr="00CF00AF">
        <w:rPr>
          <w:b/>
          <w:color w:val="FF0000"/>
        </w:rPr>
        <w:t xml:space="preserve"> </w:t>
      </w:r>
      <w:r w:rsidR="00CF00AF" w:rsidRPr="00CF00AF">
        <w:rPr>
          <w:b/>
          <w:color w:val="FF0000"/>
        </w:rPr>
        <w:t>Appraisal</w:t>
      </w:r>
      <w:r w:rsidR="00CF00AF">
        <w:rPr>
          <w:b/>
        </w:rPr>
        <w:t xml:space="preserve"> </w:t>
      </w:r>
      <w:r w:rsidRPr="00BE1178">
        <w:rPr>
          <w:b/>
        </w:rPr>
        <w:t>Reports by DGS</w:t>
      </w:r>
    </w:p>
    <w:p w:rsidR="001B1497" w:rsidRPr="006E0112" w:rsidRDefault="001B1497" w:rsidP="00FA7109">
      <w:pPr>
        <w:numPr>
          <w:ilvl w:val="1"/>
          <w:numId w:val="19"/>
        </w:numPr>
        <w:tabs>
          <w:tab w:val="clear" w:pos="1080"/>
        </w:tabs>
        <w:spacing w:after="240"/>
        <w:ind w:left="810" w:hanging="90"/>
      </w:pPr>
      <w:r w:rsidRPr="006E0112">
        <w:rPr>
          <w:u w:val="single"/>
        </w:rPr>
        <w:t>Report rejected by DGS for non-conformance to requirements</w:t>
      </w:r>
      <w:r w:rsidRPr="006E0112">
        <w:t xml:space="preserve">:  Indicate if the process described in </w:t>
      </w:r>
      <w:r w:rsidRPr="006E0112">
        <w:rPr>
          <w:b/>
        </w:rPr>
        <w:t>Attachment A</w:t>
      </w:r>
      <w:r>
        <w:rPr>
          <w:b/>
        </w:rPr>
        <w:t xml:space="preserve"> Scope of Services paragraph C.3.a.</w:t>
      </w:r>
      <w:r w:rsidRPr="006E0112">
        <w:t xml:space="preserve"> is acceptable and, if not, please explain.</w:t>
      </w:r>
    </w:p>
    <w:p w:rsidR="001B1497" w:rsidRPr="006E0112" w:rsidRDefault="001B1497" w:rsidP="00FA7109">
      <w:pPr>
        <w:numPr>
          <w:ilvl w:val="1"/>
          <w:numId w:val="19"/>
        </w:numPr>
        <w:tabs>
          <w:tab w:val="clear" w:pos="1080"/>
        </w:tabs>
        <w:spacing w:after="240"/>
        <w:ind w:left="810" w:hanging="90"/>
      </w:pPr>
      <w:r w:rsidRPr="006E0112">
        <w:rPr>
          <w:u w:val="single"/>
        </w:rPr>
        <w:t>Report rejected by DGS for other reasons</w:t>
      </w:r>
      <w:r w:rsidRPr="006E0112">
        <w:t xml:space="preserve">:  Indicate if the process described in </w:t>
      </w:r>
      <w:r>
        <w:tab/>
      </w:r>
      <w:r>
        <w:tab/>
      </w:r>
      <w:r w:rsidRPr="006E0112">
        <w:rPr>
          <w:b/>
        </w:rPr>
        <w:t>Attachment A</w:t>
      </w:r>
      <w:r>
        <w:rPr>
          <w:b/>
        </w:rPr>
        <w:t xml:space="preserve"> Scope of Services, paragraph C.3.b.</w:t>
      </w:r>
      <w:r w:rsidRPr="006E0112">
        <w:t xml:space="preserve"> is acceptable, and, if not, please explain objections and provide suggestions for our consideration that might better address this scenario.</w:t>
      </w:r>
    </w:p>
    <w:p w:rsidR="00150A20" w:rsidRDefault="001B1497" w:rsidP="00ED6311">
      <w:pPr>
        <w:numPr>
          <w:ilvl w:val="0"/>
          <w:numId w:val="18"/>
        </w:numPr>
        <w:tabs>
          <w:tab w:val="clear" w:pos="360"/>
        </w:tabs>
        <w:spacing w:after="240"/>
        <w:ind w:left="270" w:firstLine="0"/>
        <w:rPr>
          <w:b/>
        </w:rPr>
      </w:pPr>
      <w:r>
        <w:rPr>
          <w:b/>
        </w:rPr>
        <w:t>Administrative Services to be provided at no charge to AOC</w:t>
      </w:r>
    </w:p>
    <w:p w:rsidR="001B1497" w:rsidRDefault="001B1497" w:rsidP="00295ACF">
      <w:pPr>
        <w:numPr>
          <w:ilvl w:val="1"/>
          <w:numId w:val="20"/>
        </w:numPr>
        <w:tabs>
          <w:tab w:val="clear" w:pos="1080"/>
        </w:tabs>
        <w:spacing w:after="240"/>
        <w:ind w:left="720" w:firstLine="0"/>
        <w:jc w:val="both"/>
      </w:pPr>
      <w:r w:rsidRPr="00C74084">
        <w:rPr>
          <w:u w:val="single"/>
        </w:rPr>
        <w:t>Status Reports</w:t>
      </w:r>
      <w:r w:rsidRPr="00C74084">
        <w:t xml:space="preserve">:  If the AOC requests periodic order status reports, describe what details would be included on the reports, </w:t>
      </w:r>
      <w:r>
        <w:t xml:space="preserve">how the reports would be produced, </w:t>
      </w:r>
      <w:r w:rsidRPr="00C74084">
        <w:t xml:space="preserve">and </w:t>
      </w:r>
      <w:r>
        <w:t xml:space="preserve">indicate if </w:t>
      </w:r>
      <w:r w:rsidRPr="00C74084">
        <w:t>reports will be provided at no charge. Indicate who on your firm’s staff (name/title) would be creating, updating, and providing these to the AOC.</w:t>
      </w:r>
    </w:p>
    <w:p w:rsidR="001B1497" w:rsidRDefault="001B1497" w:rsidP="00295ACF">
      <w:pPr>
        <w:numPr>
          <w:ilvl w:val="1"/>
          <w:numId w:val="20"/>
        </w:numPr>
        <w:tabs>
          <w:tab w:val="clear" w:pos="1080"/>
        </w:tabs>
        <w:spacing w:after="240"/>
        <w:ind w:left="720" w:firstLine="0"/>
        <w:jc w:val="both"/>
      </w:pPr>
      <w:r w:rsidRPr="00C74084">
        <w:rPr>
          <w:u w:val="single"/>
        </w:rPr>
        <w:t>Copies of Reports/Delivery</w:t>
      </w:r>
      <w:r w:rsidRPr="00C74084">
        <w:t xml:space="preserve">:  Indicate if up to </w:t>
      </w:r>
      <w:r>
        <w:t>four (4)</w:t>
      </w:r>
      <w:r w:rsidRPr="00C74084">
        <w:t xml:space="preserve"> (specific number to be provided by AOC on each request) hard-copy bound reports </w:t>
      </w:r>
      <w:r>
        <w:t xml:space="preserve">with original signatures, </w:t>
      </w:r>
      <w:r w:rsidRPr="00C74084">
        <w:t>will be provided and sent to the AOC via courier service or USPS, at no charge.</w:t>
      </w:r>
    </w:p>
    <w:p w:rsidR="001B1497" w:rsidRPr="003A24A1" w:rsidRDefault="001B1497" w:rsidP="00C54F57">
      <w:pPr>
        <w:numPr>
          <w:ilvl w:val="0"/>
          <w:numId w:val="66"/>
        </w:numPr>
        <w:spacing w:after="120"/>
        <w:ind w:left="270" w:firstLine="0"/>
        <w:rPr>
          <w:b/>
          <w:u w:val="single"/>
        </w:rPr>
      </w:pPr>
      <w:r w:rsidRPr="003A24A1">
        <w:rPr>
          <w:b/>
          <w:u w:val="single"/>
        </w:rPr>
        <w:t>TURNAROUND TIMES</w:t>
      </w:r>
    </w:p>
    <w:p w:rsidR="00150A20" w:rsidRDefault="001B1497" w:rsidP="00050394">
      <w:pPr>
        <w:numPr>
          <w:ilvl w:val="0"/>
          <w:numId w:val="22"/>
        </w:numPr>
        <w:tabs>
          <w:tab w:val="clear" w:pos="360"/>
        </w:tabs>
        <w:spacing w:after="240"/>
        <w:ind w:left="270" w:firstLine="0"/>
      </w:pPr>
      <w:r w:rsidRPr="00AB2944">
        <w:t xml:space="preserve">For the scenarios described below, provide order completion turnaround times </w:t>
      </w:r>
      <w:r>
        <w:t xml:space="preserve">in </w:t>
      </w:r>
      <w:r w:rsidRPr="00922BED">
        <w:rPr>
          <w:b/>
        </w:rPr>
        <w:t>business days</w:t>
      </w:r>
      <w:r w:rsidRPr="00BB7DBE">
        <w:t xml:space="preserve"> </w:t>
      </w:r>
      <w:r w:rsidRPr="00BB7DBE">
        <w:rPr>
          <w:u w:val="single"/>
        </w:rPr>
        <w:t xml:space="preserve">for each type of service </w:t>
      </w:r>
      <w:r w:rsidRPr="00641A94">
        <w:t xml:space="preserve">listed </w:t>
      </w:r>
      <w:r>
        <w:t xml:space="preserve">above </w:t>
      </w:r>
      <w:r w:rsidRPr="00641A94">
        <w:t xml:space="preserve">in </w:t>
      </w:r>
      <w:r w:rsidRPr="00641A94">
        <w:rPr>
          <w:b/>
        </w:rPr>
        <w:t xml:space="preserve">paragraph </w:t>
      </w:r>
      <w:r>
        <w:rPr>
          <w:b/>
        </w:rPr>
        <w:t>B1</w:t>
      </w:r>
      <w:r w:rsidRPr="00641A94">
        <w:rPr>
          <w:b/>
        </w:rPr>
        <w:t>.</w:t>
      </w:r>
      <w:r>
        <w:rPr>
          <w:b/>
        </w:rPr>
        <w:t xml:space="preserve">  </w:t>
      </w:r>
      <w:r w:rsidRPr="00BB7DBE">
        <w:t>Be sure to note any circumstances, exceptions, conditions, etc. t</w:t>
      </w:r>
      <w:r>
        <w:t>hat may affect turnaround times.</w:t>
      </w:r>
    </w:p>
    <w:p w:rsidR="001B1497" w:rsidRPr="00BB7DBE" w:rsidRDefault="001B1497" w:rsidP="00050394">
      <w:pPr>
        <w:numPr>
          <w:ilvl w:val="1"/>
          <w:numId w:val="21"/>
        </w:numPr>
        <w:tabs>
          <w:tab w:val="clear" w:pos="1080"/>
        </w:tabs>
        <w:spacing w:after="240"/>
        <w:ind w:left="270" w:firstLine="450"/>
      </w:pPr>
      <w:r w:rsidRPr="00F276DF">
        <w:rPr>
          <w:u w:val="single"/>
        </w:rPr>
        <w:t>Level 1 Report</w:t>
      </w:r>
      <w:r>
        <w:t xml:space="preserve">: </w:t>
      </w:r>
      <w:r w:rsidRPr="00BB7DBE">
        <w:t>Appraisal report with no/few challenges (e.g., a single parcel located in an area with recent comparable sales)</w:t>
      </w:r>
    </w:p>
    <w:p w:rsidR="001B1497" w:rsidRPr="00BB7DBE" w:rsidRDefault="001B1497" w:rsidP="00050394">
      <w:pPr>
        <w:numPr>
          <w:ilvl w:val="1"/>
          <w:numId w:val="21"/>
        </w:numPr>
        <w:tabs>
          <w:tab w:val="clear" w:pos="1080"/>
        </w:tabs>
        <w:spacing w:after="240"/>
        <w:ind w:left="270" w:firstLine="450"/>
      </w:pPr>
      <w:r w:rsidRPr="00F276DF">
        <w:rPr>
          <w:u w:val="single"/>
        </w:rPr>
        <w:t>Level 2 Report</w:t>
      </w:r>
      <w:r>
        <w:t xml:space="preserve">: </w:t>
      </w:r>
      <w:r w:rsidRPr="00BB7DBE">
        <w:t>A moderately complex appraisal report with some challenges (e.g., a “carve-out” parcel which is currently part of a larger parcel – but for which no legal description is currently available)</w:t>
      </w:r>
    </w:p>
    <w:p w:rsidR="001B1497" w:rsidRDefault="001B1497" w:rsidP="00050394">
      <w:pPr>
        <w:numPr>
          <w:ilvl w:val="1"/>
          <w:numId w:val="21"/>
        </w:numPr>
        <w:tabs>
          <w:tab w:val="clear" w:pos="1080"/>
        </w:tabs>
        <w:spacing w:after="240"/>
        <w:ind w:left="270" w:firstLine="450"/>
      </w:pPr>
      <w:r w:rsidRPr="00F276DF">
        <w:rPr>
          <w:u w:val="single"/>
        </w:rPr>
        <w:t>Level 3 Report</w:t>
      </w:r>
      <w:r>
        <w:t xml:space="preserve">: </w:t>
      </w:r>
      <w:r w:rsidRPr="00BB7DBE">
        <w:t>A complex report with multiple challenges (e.g., a “carve-out” parcel which is currently part of a larger parcel – but for which no legal description is currently available, and which is located in an area with no recent comparable sales)</w:t>
      </w:r>
      <w:r>
        <w:t>.</w:t>
      </w:r>
      <w:r w:rsidRPr="00BB7DBE">
        <w:t xml:space="preserve">  </w:t>
      </w:r>
    </w:p>
    <w:p w:rsidR="00150A20" w:rsidRDefault="004E49C2" w:rsidP="00C54F57">
      <w:pPr>
        <w:spacing w:after="240"/>
        <w:ind w:left="270"/>
        <w:rPr>
          <w:b/>
        </w:rPr>
      </w:pPr>
      <w:r w:rsidRPr="004E49C2">
        <w:rPr>
          <w:b/>
        </w:rPr>
        <w:lastRenderedPageBreak/>
        <w:t xml:space="preserve">RESPONSES MUST BE NUMBERED EXACTLY AS NUMBERED IN </w:t>
      </w:r>
      <w:r w:rsidR="001B1497" w:rsidRPr="00B20A69">
        <w:rPr>
          <w:b/>
        </w:rPr>
        <w:t>paragraph B.1</w:t>
      </w:r>
      <w:r w:rsidRPr="004E49C2">
        <w:rPr>
          <w:b/>
        </w:rPr>
        <w:t>. above.</w:t>
      </w:r>
    </w:p>
    <w:p w:rsidR="00150A20" w:rsidRDefault="001B1497" w:rsidP="00050394">
      <w:pPr>
        <w:spacing w:after="240"/>
        <w:ind w:left="270"/>
        <w:jc w:val="both"/>
      </w:pPr>
      <w:r>
        <w:t xml:space="preserve">PLEASE NOTE:  Our Standard Agreement (see RFP Attachment C, </w:t>
      </w:r>
      <w:r w:rsidRPr="003E7DBF">
        <w:t>Exhibit C, paragraph 8)</w:t>
      </w:r>
      <w:r>
        <w:t xml:space="preserve"> includes this provision:  </w:t>
      </w:r>
      <w:r w:rsidRPr="00BB7DBE">
        <w:t xml:space="preserve">Failure to meet the agreed-upon delivery date may result in penalties that can include a reduction in payment of 25%, a cancellation of the order with no financial liability to the AOC and no financial obligation of the AOC to the service provider.   </w:t>
      </w:r>
    </w:p>
    <w:p w:rsidR="001B1497" w:rsidRPr="00C1777C" w:rsidRDefault="001B1497" w:rsidP="00C54F57">
      <w:pPr>
        <w:spacing w:after="240"/>
        <w:ind w:left="270"/>
        <w:rPr>
          <w:b/>
          <w:u w:val="single"/>
        </w:rPr>
      </w:pPr>
      <w:r w:rsidRPr="003A24A1">
        <w:rPr>
          <w:b/>
        </w:rPr>
        <w:t>E.</w:t>
      </w:r>
      <w:r w:rsidRPr="003A24A1">
        <w:rPr>
          <w:b/>
        </w:rPr>
        <w:tab/>
      </w:r>
      <w:r w:rsidRPr="00C1777C">
        <w:rPr>
          <w:b/>
          <w:u w:val="single"/>
        </w:rPr>
        <w:t>SERVICE PROVIDER INFORMATION</w:t>
      </w:r>
    </w:p>
    <w:p w:rsidR="001B1497" w:rsidRDefault="001B1497" w:rsidP="00AE5655">
      <w:pPr>
        <w:numPr>
          <w:ilvl w:val="0"/>
          <w:numId w:val="67"/>
        </w:numPr>
        <w:tabs>
          <w:tab w:val="clear" w:pos="360"/>
        </w:tabs>
        <w:spacing w:after="240"/>
        <w:ind w:left="270" w:firstLine="0"/>
      </w:pPr>
      <w:r>
        <w:t>Provide a general o</w:t>
      </w:r>
      <w:r w:rsidRPr="00425F70">
        <w:t xml:space="preserve">verview </w:t>
      </w:r>
      <w:r>
        <w:t>of your firm.</w:t>
      </w:r>
    </w:p>
    <w:p w:rsidR="001B1497" w:rsidRDefault="001B1497" w:rsidP="00AE5655">
      <w:pPr>
        <w:numPr>
          <w:ilvl w:val="0"/>
          <w:numId w:val="67"/>
        </w:numPr>
        <w:tabs>
          <w:tab w:val="clear" w:pos="360"/>
        </w:tabs>
        <w:spacing w:after="240"/>
        <w:ind w:left="270" w:firstLine="0"/>
      </w:pPr>
      <w:r>
        <w:t xml:space="preserve">Provide a </w:t>
      </w:r>
      <w:r w:rsidRPr="00524310">
        <w:rPr>
          <w:u w:val="single"/>
        </w:rPr>
        <w:t>list of any institutional or governmental agency clients</w:t>
      </w:r>
      <w:r>
        <w:t xml:space="preserve"> with whom your firm has worked </w:t>
      </w:r>
      <w:r w:rsidRPr="00FC01A7">
        <w:rPr>
          <w:u w:val="single"/>
        </w:rPr>
        <w:t>during the past 12 months</w:t>
      </w:r>
      <w:r>
        <w:t xml:space="preserve"> and the scope and type of services provided.  Indicate if your firm has previous experience with the State of California Department of General Services Appraisal Review Unit and, if so, describe.</w:t>
      </w:r>
    </w:p>
    <w:p w:rsidR="001B1497" w:rsidRDefault="001B1497" w:rsidP="00AE5655">
      <w:pPr>
        <w:numPr>
          <w:ilvl w:val="0"/>
          <w:numId w:val="67"/>
        </w:numPr>
        <w:tabs>
          <w:tab w:val="clear" w:pos="360"/>
        </w:tabs>
        <w:spacing w:after="240"/>
        <w:ind w:left="270" w:firstLine="0"/>
      </w:pPr>
      <w:r w:rsidRPr="00D87F1F">
        <w:t xml:space="preserve">Provide the names, addresses, and telephone numbers of </w:t>
      </w:r>
      <w:r w:rsidRPr="00524310">
        <w:rPr>
          <w:u w:val="single"/>
        </w:rPr>
        <w:t>five (5) client references</w:t>
      </w:r>
      <w:r w:rsidRPr="00D87F1F">
        <w:t xml:space="preserve"> for whom your firm has provided similar services (</w:t>
      </w:r>
      <w:r>
        <w:t>i.e. services as described</w:t>
      </w:r>
      <w:r w:rsidRPr="00D87F1F">
        <w:t xml:space="preserve"> in RFP </w:t>
      </w:r>
      <w:r w:rsidRPr="006D5004">
        <w:rPr>
          <w:b/>
        </w:rPr>
        <w:t>Attachment</w:t>
      </w:r>
      <w:r w:rsidRPr="00D87F1F">
        <w:t xml:space="preserve"> </w:t>
      </w:r>
      <w:r w:rsidRPr="006D5004">
        <w:rPr>
          <w:rFonts w:eastAsia="Times New Roman"/>
          <w:b/>
        </w:rPr>
        <w:t>A</w:t>
      </w:r>
      <w:r>
        <w:t>-</w:t>
      </w:r>
      <w:r w:rsidRPr="00811F80">
        <w:rPr>
          <w:b/>
        </w:rPr>
        <w:t>Scope</w:t>
      </w:r>
      <w:r>
        <w:rPr>
          <w:b/>
        </w:rPr>
        <w:t xml:space="preserve"> </w:t>
      </w:r>
      <w:r w:rsidRPr="00381BA2">
        <w:t xml:space="preserve">of </w:t>
      </w:r>
      <w:r w:rsidRPr="00811F80">
        <w:rPr>
          <w:b/>
        </w:rPr>
        <w:t>Services</w:t>
      </w:r>
      <w:r>
        <w:t>)</w:t>
      </w:r>
      <w:r w:rsidRPr="00D87F1F">
        <w:t xml:space="preserve"> at some point </w:t>
      </w:r>
      <w:r w:rsidRPr="00FC01A7">
        <w:rPr>
          <w:u w:val="single"/>
        </w:rPr>
        <w:t>in the last 12 months</w:t>
      </w:r>
      <w:r w:rsidRPr="00D87F1F">
        <w:t>.  The AOC may contact these references as part of the evaluation process.  By virtue of submitting these client names as references, your firm releases the AOC and the client references from any liability for any and all claims of harm caused to your firm’s reputation by virtue of any discussion between the AOC and the client</w:t>
      </w:r>
      <w:r>
        <w:t xml:space="preserve"> </w:t>
      </w:r>
      <w:r w:rsidRPr="00D87F1F">
        <w:t>reference.</w:t>
      </w:r>
      <w:r w:rsidR="00B45E92">
        <w:t xml:space="preserve"> </w:t>
      </w:r>
    </w:p>
    <w:p w:rsidR="005C3029" w:rsidRPr="00D87F1F" w:rsidRDefault="005C3029" w:rsidP="00AE5655">
      <w:pPr>
        <w:numPr>
          <w:ilvl w:val="0"/>
          <w:numId w:val="67"/>
        </w:numPr>
        <w:tabs>
          <w:tab w:val="clear" w:pos="360"/>
          <w:tab w:val="num" w:pos="0"/>
        </w:tabs>
        <w:spacing w:after="240"/>
        <w:ind w:left="270" w:firstLine="0"/>
      </w:pPr>
      <w:r>
        <w:t xml:space="preserve">Provide a </w:t>
      </w:r>
      <w:r>
        <w:rPr>
          <w:u w:val="single"/>
        </w:rPr>
        <w:t>list of counties</w:t>
      </w:r>
      <w:r>
        <w:t xml:space="preserve"> in the State of California in which your firm has provided similar services (i.e. services as described in RFP </w:t>
      </w:r>
      <w:r>
        <w:rPr>
          <w:b/>
          <w:bCs/>
        </w:rPr>
        <w:t>Attachment</w:t>
      </w:r>
      <w:r>
        <w:t xml:space="preserve"> </w:t>
      </w:r>
      <w:r>
        <w:rPr>
          <w:b/>
          <w:bCs/>
        </w:rPr>
        <w:t>A-Scope of Services</w:t>
      </w:r>
      <w:r>
        <w:t xml:space="preserve">) </w:t>
      </w:r>
      <w:r>
        <w:rPr>
          <w:u w:val="single"/>
        </w:rPr>
        <w:t>over the last 12 months</w:t>
      </w:r>
      <w:r>
        <w:t>.   Indicate for each county whether the services were provided by your company directly, or through an agent or subcontractor.</w:t>
      </w:r>
    </w:p>
    <w:p w:rsidR="001B1497" w:rsidRDefault="001B1497" w:rsidP="00AE5655">
      <w:pPr>
        <w:numPr>
          <w:ilvl w:val="0"/>
          <w:numId w:val="67"/>
        </w:numPr>
        <w:tabs>
          <w:tab w:val="clear" w:pos="360"/>
        </w:tabs>
        <w:spacing w:after="240"/>
        <w:ind w:left="270" w:firstLine="0"/>
      </w:pPr>
      <w:r>
        <w:t>Describe experience your firm has with respect to appraising special purpose properties within the past 24 months where there may be no relevant market, such as schools, churches, cemeteries, parks, utilities and similar properties as described in the Law Revision Commission Comment to Code of Civil Procedure Section 1263.320.</w:t>
      </w:r>
    </w:p>
    <w:p w:rsidR="001B1497" w:rsidRDefault="004502AE" w:rsidP="00C54F57">
      <w:pPr>
        <w:spacing w:after="120"/>
        <w:ind w:left="270" w:hanging="360"/>
        <w:rPr>
          <w:b/>
        </w:rPr>
      </w:pPr>
      <w:r>
        <w:rPr>
          <w:b/>
        </w:rPr>
        <w:tab/>
      </w:r>
      <w:r w:rsidR="001B1497">
        <w:rPr>
          <w:b/>
        </w:rPr>
        <w:t>F.</w:t>
      </w:r>
      <w:r w:rsidR="001B1497">
        <w:rPr>
          <w:b/>
        </w:rPr>
        <w:tab/>
      </w:r>
      <w:r w:rsidR="001B1497" w:rsidRPr="00C74084">
        <w:rPr>
          <w:b/>
        </w:rPr>
        <w:t>QUALITY ASSURANCE</w:t>
      </w:r>
    </w:p>
    <w:p w:rsidR="00150A20" w:rsidRDefault="001B1497" w:rsidP="00C54F57">
      <w:pPr>
        <w:spacing w:after="240"/>
        <w:ind w:left="270" w:firstLine="720"/>
        <w:jc w:val="both"/>
        <w:rPr>
          <w:b/>
        </w:rPr>
      </w:pPr>
      <w:r>
        <w:t xml:space="preserve">The AOC expects the initial appraisal report submitted to the AOC on the completion due date to be a complete, final, proofread, </w:t>
      </w:r>
      <w:r w:rsidRPr="0095555E">
        <w:t>fact-checked</w:t>
      </w:r>
      <w:r>
        <w:t xml:space="preserve"> report that meets all AOC/DGS requirements, with only minor revisions, if any, needed after review by the AOC.  Please d</w:t>
      </w:r>
      <w:r w:rsidRPr="00D87F1F">
        <w:t xml:space="preserve">escribe in detail your </w:t>
      </w:r>
      <w:r>
        <w:t xml:space="preserve">firm’s </w:t>
      </w:r>
      <w:r w:rsidRPr="00D87F1F">
        <w:t>quality assurance process.</w:t>
      </w:r>
    </w:p>
    <w:p w:rsidR="001B1497" w:rsidRDefault="001B1497" w:rsidP="00C54F57">
      <w:pPr>
        <w:spacing w:after="240"/>
        <w:ind w:left="270"/>
        <w:jc w:val="both"/>
        <w:rPr>
          <w:b/>
        </w:rPr>
      </w:pPr>
      <w:r>
        <w:rPr>
          <w:b/>
        </w:rPr>
        <w:t>G.</w:t>
      </w:r>
      <w:r>
        <w:rPr>
          <w:b/>
        </w:rPr>
        <w:tab/>
      </w:r>
      <w:r w:rsidRPr="00C74084">
        <w:rPr>
          <w:b/>
        </w:rPr>
        <w:t>RESPONSIVENESS</w:t>
      </w:r>
    </w:p>
    <w:p w:rsidR="00150A20" w:rsidRDefault="001B1497" w:rsidP="00C54F57">
      <w:pPr>
        <w:spacing w:after="240"/>
        <w:ind w:left="270" w:firstLine="720"/>
        <w:rPr>
          <w:b/>
        </w:rPr>
      </w:pPr>
      <w:r w:rsidRPr="00D87F1F">
        <w:lastRenderedPageBreak/>
        <w:t>Describe in detail the process you</w:t>
      </w:r>
      <w:r>
        <w:t>r firm</w:t>
      </w:r>
      <w:r w:rsidRPr="00D87F1F">
        <w:t xml:space="preserve"> will use to insure prompt and complete responses to AOC </w:t>
      </w:r>
      <w:r>
        <w:t xml:space="preserve">inquiries, </w:t>
      </w:r>
      <w:r w:rsidRPr="00D87F1F">
        <w:t>questions</w:t>
      </w:r>
      <w:r>
        <w:t>, and requests for clarification</w:t>
      </w:r>
      <w:r w:rsidRPr="00D87F1F">
        <w:t>, including those that arise after reports have been issued by your firm</w:t>
      </w:r>
      <w:r w:rsidRPr="00C74084">
        <w:rPr>
          <w:b/>
        </w:rPr>
        <w:t xml:space="preserve">. </w:t>
      </w:r>
    </w:p>
    <w:p w:rsidR="001B1497" w:rsidRDefault="001B1497" w:rsidP="00C54F57">
      <w:pPr>
        <w:spacing w:after="120"/>
        <w:ind w:left="270"/>
        <w:rPr>
          <w:b/>
        </w:rPr>
      </w:pPr>
      <w:r>
        <w:rPr>
          <w:b/>
        </w:rPr>
        <w:t>H.</w:t>
      </w:r>
      <w:r>
        <w:rPr>
          <w:b/>
        </w:rPr>
        <w:tab/>
      </w:r>
      <w:r w:rsidRPr="00C74084">
        <w:rPr>
          <w:b/>
        </w:rPr>
        <w:t>METHODOLOGY</w:t>
      </w:r>
    </w:p>
    <w:p w:rsidR="00150A20" w:rsidRDefault="001B1497" w:rsidP="00C54F57">
      <w:pPr>
        <w:spacing w:after="240"/>
        <w:ind w:left="270" w:firstLine="720"/>
        <w:rPr>
          <w:b/>
        </w:rPr>
      </w:pPr>
      <w:r w:rsidRPr="000A0D7F">
        <w:rPr>
          <w:sz w:val="23"/>
          <w:szCs w:val="23"/>
        </w:rPr>
        <w:t>Please describe the methodology you will use to produce the various types of appraisal reports listed</w:t>
      </w:r>
      <w:r>
        <w:rPr>
          <w:sz w:val="23"/>
          <w:szCs w:val="23"/>
        </w:rPr>
        <w:t xml:space="preserve"> above in </w:t>
      </w:r>
      <w:r w:rsidRPr="000A0D7F">
        <w:rPr>
          <w:b/>
          <w:sz w:val="23"/>
          <w:szCs w:val="23"/>
        </w:rPr>
        <w:t xml:space="preserve">Paragraph </w:t>
      </w:r>
      <w:r>
        <w:rPr>
          <w:b/>
          <w:sz w:val="23"/>
          <w:szCs w:val="23"/>
        </w:rPr>
        <w:t>B.</w:t>
      </w:r>
      <w:r>
        <w:rPr>
          <w:sz w:val="23"/>
          <w:szCs w:val="23"/>
        </w:rPr>
        <w:t xml:space="preserve"> </w:t>
      </w:r>
    </w:p>
    <w:p w:rsidR="001B1497" w:rsidRDefault="001B1497" w:rsidP="00C54F57">
      <w:pPr>
        <w:spacing w:after="120"/>
        <w:ind w:left="270"/>
        <w:rPr>
          <w:b/>
        </w:rPr>
      </w:pPr>
      <w:r>
        <w:rPr>
          <w:b/>
        </w:rPr>
        <w:t>I.</w:t>
      </w:r>
      <w:r>
        <w:rPr>
          <w:b/>
        </w:rPr>
        <w:tab/>
      </w:r>
      <w:r w:rsidRPr="00D15EAE">
        <w:rPr>
          <w:b/>
        </w:rPr>
        <w:t>ADMINISTRATIVE RULES</w:t>
      </w:r>
    </w:p>
    <w:p w:rsidR="00150A20" w:rsidRDefault="001B1497" w:rsidP="00C54F57">
      <w:pPr>
        <w:spacing w:after="240"/>
        <w:ind w:left="270" w:firstLine="720"/>
        <w:rPr>
          <w:b/>
        </w:rPr>
      </w:pPr>
      <w:r>
        <w:t xml:space="preserve">Review RFP </w:t>
      </w:r>
      <w:r w:rsidRPr="001E53A2">
        <w:rPr>
          <w:b/>
        </w:rPr>
        <w:t xml:space="preserve">Attachment </w:t>
      </w:r>
      <w:r>
        <w:rPr>
          <w:b/>
        </w:rPr>
        <w:t>B</w:t>
      </w:r>
      <w:r w:rsidRPr="001E53A2">
        <w:rPr>
          <w:b/>
        </w:rPr>
        <w:t>, Administrative Rules Governing this Request for Proposal</w:t>
      </w:r>
      <w:r>
        <w:t>. Indicate if these are acceptable, and if not, please explain.</w:t>
      </w:r>
      <w:r w:rsidRPr="00C74084">
        <w:rPr>
          <w:b/>
        </w:rPr>
        <w:t xml:space="preserve"> </w:t>
      </w:r>
    </w:p>
    <w:p w:rsidR="001B1497" w:rsidRDefault="001B1497" w:rsidP="00C54F57">
      <w:pPr>
        <w:spacing w:after="120"/>
        <w:ind w:left="270"/>
        <w:rPr>
          <w:b/>
        </w:rPr>
      </w:pPr>
      <w:r>
        <w:rPr>
          <w:b/>
        </w:rPr>
        <w:t>J.</w:t>
      </w:r>
      <w:r>
        <w:rPr>
          <w:b/>
        </w:rPr>
        <w:tab/>
        <w:t>SAMPLE MASTER AGREEMENT</w:t>
      </w:r>
    </w:p>
    <w:p w:rsidR="00150A20" w:rsidRDefault="001B1497" w:rsidP="00C54F57">
      <w:pPr>
        <w:spacing w:after="240"/>
        <w:ind w:left="270" w:firstLine="720"/>
      </w:pPr>
      <w:r>
        <w:t xml:space="preserve">Review RFP </w:t>
      </w:r>
      <w:r>
        <w:rPr>
          <w:b/>
        </w:rPr>
        <w:t>Attachment C</w:t>
      </w:r>
      <w:r w:rsidRPr="001E53A2">
        <w:rPr>
          <w:b/>
        </w:rPr>
        <w:t xml:space="preserve">, Sample </w:t>
      </w:r>
      <w:r>
        <w:rPr>
          <w:b/>
        </w:rPr>
        <w:t xml:space="preserve">Standard </w:t>
      </w:r>
      <w:r w:rsidRPr="001E53A2">
        <w:rPr>
          <w:b/>
        </w:rPr>
        <w:t>Agreement</w:t>
      </w:r>
      <w:r>
        <w:t>.  This agreement will be the basis for contracts governing the agreements between the AOC and selected Service Providers.  Indicate if these terms and conditions are acceptable, and if not, please explain.</w:t>
      </w:r>
    </w:p>
    <w:p w:rsidR="005F78FD" w:rsidRDefault="005F78FD" w:rsidP="00C54F57">
      <w:pPr>
        <w:spacing w:after="240"/>
        <w:ind w:left="270" w:firstLine="720"/>
      </w:pPr>
    </w:p>
    <w:p w:rsidR="005F78FD" w:rsidRDefault="005F78FD" w:rsidP="00C54F57">
      <w:pPr>
        <w:spacing w:after="240"/>
        <w:ind w:left="270" w:firstLine="720"/>
      </w:pPr>
    </w:p>
    <w:p w:rsidR="001B1497" w:rsidRDefault="001B1497" w:rsidP="00C54F57">
      <w:pPr>
        <w:spacing w:after="120"/>
        <w:ind w:left="270"/>
        <w:rPr>
          <w:b/>
        </w:rPr>
      </w:pPr>
      <w:r>
        <w:rPr>
          <w:b/>
        </w:rPr>
        <w:t>K.</w:t>
      </w:r>
      <w:r>
        <w:rPr>
          <w:b/>
        </w:rPr>
        <w:tab/>
      </w:r>
      <w:r w:rsidRPr="00353E29">
        <w:rPr>
          <w:b/>
        </w:rPr>
        <w:t>ADDITIONAL INFORMATION</w:t>
      </w:r>
    </w:p>
    <w:p w:rsidR="00150A20" w:rsidRDefault="001B1497" w:rsidP="00C54F57">
      <w:pPr>
        <w:ind w:left="270" w:firstLine="720"/>
      </w:pPr>
      <w:r>
        <w:t>Provide any additional information you believe should be considered in the evaluation of your proposal limiting it to two (2) pages.</w:t>
      </w:r>
    </w:p>
    <w:p w:rsidR="001B1497" w:rsidRDefault="001B1497" w:rsidP="00C54F57">
      <w:pPr>
        <w:ind w:left="270"/>
      </w:pPr>
    </w:p>
    <w:p w:rsidR="00B47DC5" w:rsidRDefault="00B47DC5" w:rsidP="00C54F57">
      <w:pPr>
        <w:ind w:left="270"/>
      </w:pPr>
    </w:p>
    <w:p w:rsidR="001B1497" w:rsidRPr="00B47DC5" w:rsidRDefault="004502AE" w:rsidP="00C54F57">
      <w:pPr>
        <w:keepNext/>
        <w:ind w:left="270" w:hanging="720"/>
        <w:rPr>
          <w:b/>
          <w:bCs/>
          <w:szCs w:val="24"/>
        </w:rPr>
      </w:pPr>
      <w:r>
        <w:rPr>
          <w:b/>
          <w:bCs/>
          <w:szCs w:val="24"/>
        </w:rPr>
        <w:tab/>
      </w:r>
      <w:r w:rsidR="001B1497" w:rsidRPr="00B47DC5">
        <w:rPr>
          <w:b/>
          <w:bCs/>
          <w:szCs w:val="24"/>
        </w:rPr>
        <w:t>OFFER PERIOD</w:t>
      </w:r>
    </w:p>
    <w:p w:rsidR="001B1497" w:rsidRPr="00B47DC5" w:rsidRDefault="001B1497" w:rsidP="00C54F57">
      <w:pPr>
        <w:keepNext/>
        <w:ind w:left="270" w:hanging="720"/>
        <w:rPr>
          <w:b/>
          <w:bCs/>
          <w:szCs w:val="24"/>
        </w:rPr>
      </w:pPr>
    </w:p>
    <w:p w:rsidR="001B1497" w:rsidRPr="00B47DC5" w:rsidRDefault="001B1497" w:rsidP="00C54F57">
      <w:pPr>
        <w:pStyle w:val="ExhibitC2"/>
        <w:numPr>
          <w:ilvl w:val="0"/>
          <w:numId w:val="0"/>
        </w:numPr>
        <w:tabs>
          <w:tab w:val="left" w:pos="720"/>
        </w:tabs>
        <w:spacing w:before="120" w:after="120"/>
        <w:ind w:left="270"/>
        <w:rPr>
          <w:szCs w:val="24"/>
        </w:rPr>
      </w:pPr>
      <w:r w:rsidRPr="00B47DC5">
        <w:rPr>
          <w:color w:val="000000" w:themeColor="text1"/>
          <w:szCs w:val="24"/>
        </w:rPr>
        <w:t xml:space="preserve">A Proposer's proposal is an irrevocable offer for ninety (90) days following the proposal due date.  </w:t>
      </w:r>
      <w:r w:rsidRPr="00B47DC5">
        <w:rPr>
          <w:szCs w:val="24"/>
        </w:rPr>
        <w:t>In the event a final contract has not been awarded within this ninety (90) day period, the AOC reserves the right to negotiate extensions to this period.</w:t>
      </w:r>
    </w:p>
    <w:p w:rsidR="00B47DC5" w:rsidRPr="00B47DC5" w:rsidRDefault="00B47DC5" w:rsidP="00C54F57">
      <w:pPr>
        <w:pStyle w:val="ExhibitC2"/>
        <w:numPr>
          <w:ilvl w:val="0"/>
          <w:numId w:val="0"/>
        </w:numPr>
        <w:tabs>
          <w:tab w:val="left" w:pos="720"/>
        </w:tabs>
        <w:spacing w:before="120" w:after="120"/>
        <w:ind w:left="270"/>
        <w:rPr>
          <w:szCs w:val="24"/>
        </w:rPr>
      </w:pPr>
    </w:p>
    <w:p w:rsidR="00B47DC5" w:rsidRPr="00B47DC5" w:rsidRDefault="00B47DC5" w:rsidP="00C54F57">
      <w:pPr>
        <w:pStyle w:val="ExhibitC2"/>
        <w:numPr>
          <w:ilvl w:val="0"/>
          <w:numId w:val="0"/>
        </w:numPr>
        <w:tabs>
          <w:tab w:val="left" w:pos="720"/>
        </w:tabs>
        <w:spacing w:before="120" w:after="120"/>
        <w:ind w:left="270"/>
        <w:rPr>
          <w:szCs w:val="24"/>
        </w:rPr>
      </w:pPr>
    </w:p>
    <w:p w:rsidR="001B1497" w:rsidRPr="00B47DC5" w:rsidRDefault="001B1497" w:rsidP="00C54F57">
      <w:pPr>
        <w:tabs>
          <w:tab w:val="left" w:leader="underscore" w:pos="5040"/>
          <w:tab w:val="right" w:leader="underscore" w:pos="9360"/>
        </w:tabs>
        <w:spacing w:before="120"/>
        <w:ind w:left="270"/>
        <w:rPr>
          <w:b/>
          <w:smallCaps/>
          <w:color w:val="0000FF"/>
          <w:szCs w:val="24"/>
        </w:rPr>
      </w:pPr>
      <w:r w:rsidRPr="00B47DC5">
        <w:rPr>
          <w:b/>
          <w:bCs/>
          <w:szCs w:val="24"/>
        </w:rPr>
        <w:t>Signature (</w:t>
      </w:r>
      <w:r w:rsidRPr="00B47DC5">
        <w:rPr>
          <w:b/>
          <w:bCs/>
          <w:szCs w:val="24"/>
          <w:u w:val="single"/>
        </w:rPr>
        <w:t>must be completed by proposer</w:t>
      </w:r>
      <w:r w:rsidRPr="00B47DC5">
        <w:rPr>
          <w:b/>
          <w:bCs/>
          <w:szCs w:val="24"/>
        </w:rPr>
        <w:t>):</w:t>
      </w:r>
      <w:r w:rsidRPr="00B47DC5">
        <w:rPr>
          <w:b/>
          <w:smallCaps/>
          <w:color w:val="0000FF"/>
          <w:szCs w:val="24"/>
        </w:rPr>
        <w:t xml:space="preserve"> </w:t>
      </w:r>
    </w:p>
    <w:p w:rsidR="001B1497" w:rsidRPr="00B47DC5" w:rsidRDefault="001B1497" w:rsidP="00C54F57">
      <w:pPr>
        <w:tabs>
          <w:tab w:val="left" w:leader="underscore" w:pos="5040"/>
          <w:tab w:val="right" w:leader="underscore" w:pos="9360"/>
        </w:tabs>
        <w:spacing w:before="120"/>
        <w:ind w:left="270"/>
        <w:rPr>
          <w:b/>
          <w:smallCaps/>
          <w:color w:val="0000FF"/>
          <w:szCs w:val="24"/>
        </w:rPr>
      </w:pPr>
    </w:p>
    <w:p w:rsidR="001B1497" w:rsidRPr="00B47DC5" w:rsidRDefault="001B1497" w:rsidP="00C54F57">
      <w:pPr>
        <w:widowControl w:val="0"/>
        <w:ind w:left="270"/>
        <w:rPr>
          <w:szCs w:val="24"/>
        </w:rPr>
      </w:pPr>
    </w:p>
    <w:tbl>
      <w:tblPr>
        <w:tblW w:w="9648" w:type="dxa"/>
        <w:tblLayout w:type="fixed"/>
        <w:tblCellMar>
          <w:left w:w="80" w:type="dxa"/>
          <w:right w:w="80" w:type="dxa"/>
        </w:tblCellMar>
        <w:tblLook w:val="0000"/>
      </w:tblPr>
      <w:tblGrid>
        <w:gridCol w:w="1520"/>
        <w:gridCol w:w="3304"/>
        <w:gridCol w:w="1436"/>
        <w:gridCol w:w="3388"/>
      </w:tblGrid>
      <w:tr w:rsidR="001B1497" w:rsidRPr="00B47DC5" w:rsidTr="009A60F2">
        <w:trPr>
          <w:cantSplit/>
        </w:trPr>
        <w:tc>
          <w:tcPr>
            <w:tcW w:w="9648" w:type="dxa"/>
            <w:gridSpan w:val="4"/>
          </w:tcPr>
          <w:p w:rsidR="001B1497" w:rsidRDefault="001B1497" w:rsidP="00C54F57">
            <w:pPr>
              <w:pStyle w:val="centered"/>
              <w:ind w:left="270"/>
              <w:jc w:val="left"/>
              <w:rPr>
                <w:rFonts w:ascii="Times New Roman" w:hAnsi="Times New Roman"/>
                <w:sz w:val="24"/>
                <w:szCs w:val="24"/>
              </w:rPr>
            </w:pPr>
            <w:r w:rsidRPr="00B47DC5">
              <w:rPr>
                <w:rFonts w:ascii="Times New Roman" w:hAnsi="Times New Roman"/>
                <w:caps/>
                <w:sz w:val="24"/>
                <w:szCs w:val="24"/>
              </w:rPr>
              <w:t>Signed</w:t>
            </w:r>
            <w:r w:rsidRPr="00B47DC5">
              <w:rPr>
                <w:rFonts w:ascii="Times New Roman" w:hAnsi="Times New Roman"/>
                <w:sz w:val="24"/>
                <w:szCs w:val="24"/>
              </w:rPr>
              <w:t xml:space="preserve"> this _________ day of ________________________ , 20________.</w:t>
            </w:r>
          </w:p>
          <w:p w:rsidR="00B47DC5" w:rsidRPr="00B47DC5" w:rsidRDefault="00B47DC5" w:rsidP="00C54F57">
            <w:pPr>
              <w:pStyle w:val="centered"/>
              <w:ind w:left="270"/>
              <w:jc w:val="left"/>
              <w:rPr>
                <w:rFonts w:ascii="Times New Roman" w:hAnsi="Times New Roman"/>
                <w:sz w:val="24"/>
                <w:szCs w:val="24"/>
              </w:rPr>
            </w:pPr>
          </w:p>
        </w:tc>
      </w:tr>
      <w:tr w:rsidR="001B1497" w:rsidRPr="00B47DC5" w:rsidTr="009A60F2">
        <w:trPr>
          <w:cantSplit/>
        </w:trPr>
        <w:tc>
          <w:tcPr>
            <w:tcW w:w="1520" w:type="dxa"/>
          </w:tcPr>
          <w:p w:rsidR="001B1497" w:rsidRPr="00B47DC5" w:rsidRDefault="001B1497" w:rsidP="00C54F57">
            <w:pPr>
              <w:pStyle w:val="rtjusspbef"/>
              <w:ind w:left="270"/>
              <w:jc w:val="left"/>
              <w:rPr>
                <w:rFonts w:ascii="Times New Roman" w:hAnsi="Times New Roman"/>
                <w:caps/>
                <w:sz w:val="24"/>
                <w:szCs w:val="24"/>
              </w:rPr>
            </w:pPr>
            <w:r w:rsidRPr="00B47DC5">
              <w:rPr>
                <w:rFonts w:ascii="Times New Roman" w:hAnsi="Times New Roman"/>
                <w:sz w:val="24"/>
                <w:szCs w:val="24"/>
              </w:rPr>
              <w:t>By:</w:t>
            </w:r>
          </w:p>
        </w:tc>
        <w:tc>
          <w:tcPr>
            <w:tcW w:w="3304" w:type="dxa"/>
            <w:tcBorders>
              <w:bottom w:val="single" w:sz="2" w:space="0" w:color="auto"/>
            </w:tcBorders>
          </w:tcPr>
          <w:p w:rsidR="001B1497" w:rsidRPr="00B47DC5" w:rsidRDefault="001B1497" w:rsidP="00C54F57">
            <w:pPr>
              <w:pStyle w:val="rtjusspbef"/>
              <w:ind w:left="270"/>
              <w:jc w:val="left"/>
              <w:rPr>
                <w:rFonts w:ascii="Times New Roman" w:hAnsi="Times New Roman"/>
                <w:caps/>
                <w:sz w:val="24"/>
                <w:szCs w:val="24"/>
              </w:rPr>
            </w:pPr>
          </w:p>
        </w:tc>
        <w:tc>
          <w:tcPr>
            <w:tcW w:w="1436" w:type="dxa"/>
          </w:tcPr>
          <w:p w:rsidR="001B1497" w:rsidRPr="00B47DC5" w:rsidRDefault="001B1497" w:rsidP="00C54F57">
            <w:pPr>
              <w:pStyle w:val="rtjusspbef"/>
              <w:ind w:left="270"/>
              <w:jc w:val="left"/>
              <w:rPr>
                <w:rFonts w:ascii="Times New Roman" w:hAnsi="Times New Roman"/>
                <w:caps/>
                <w:sz w:val="24"/>
                <w:szCs w:val="24"/>
              </w:rPr>
            </w:pPr>
          </w:p>
        </w:tc>
        <w:tc>
          <w:tcPr>
            <w:tcW w:w="3388" w:type="dxa"/>
            <w:tcBorders>
              <w:bottom w:val="single" w:sz="2" w:space="0" w:color="auto"/>
            </w:tcBorders>
          </w:tcPr>
          <w:p w:rsidR="001B1497" w:rsidRPr="00B47DC5" w:rsidRDefault="001B1497" w:rsidP="00C54F57">
            <w:pPr>
              <w:pStyle w:val="rtjusspbef"/>
              <w:ind w:left="270"/>
              <w:jc w:val="left"/>
              <w:rPr>
                <w:rFonts w:ascii="Times New Roman" w:hAnsi="Times New Roman"/>
                <w:caps/>
                <w:sz w:val="24"/>
                <w:szCs w:val="24"/>
              </w:rPr>
            </w:pPr>
          </w:p>
        </w:tc>
      </w:tr>
      <w:tr w:rsidR="001B1497" w:rsidRPr="00B47DC5" w:rsidTr="009A60F2">
        <w:trPr>
          <w:cantSplit/>
        </w:trPr>
        <w:tc>
          <w:tcPr>
            <w:tcW w:w="1520" w:type="dxa"/>
          </w:tcPr>
          <w:p w:rsidR="001B1497" w:rsidRPr="00B47DC5" w:rsidRDefault="001B1497" w:rsidP="00C54F57">
            <w:pPr>
              <w:tabs>
                <w:tab w:val="left" w:pos="1200"/>
              </w:tabs>
              <w:spacing w:line="240" w:lineRule="atLeast"/>
              <w:ind w:left="270"/>
              <w:rPr>
                <w:caps/>
                <w:szCs w:val="24"/>
              </w:rPr>
            </w:pPr>
          </w:p>
        </w:tc>
        <w:tc>
          <w:tcPr>
            <w:tcW w:w="3304" w:type="dxa"/>
            <w:tcBorders>
              <w:top w:val="single" w:sz="2" w:space="0" w:color="auto"/>
            </w:tcBorders>
          </w:tcPr>
          <w:p w:rsidR="001B1497" w:rsidRPr="00B47DC5" w:rsidRDefault="001B1497" w:rsidP="00C54F57">
            <w:pPr>
              <w:pStyle w:val="signatureline"/>
              <w:ind w:left="270"/>
              <w:jc w:val="left"/>
              <w:rPr>
                <w:rFonts w:ascii="Times New Roman" w:hAnsi="Times New Roman"/>
                <w:sz w:val="24"/>
                <w:szCs w:val="24"/>
              </w:rPr>
            </w:pPr>
            <w:r w:rsidRPr="00B47DC5">
              <w:rPr>
                <w:rFonts w:ascii="Times New Roman" w:hAnsi="Times New Roman"/>
                <w:sz w:val="24"/>
                <w:szCs w:val="24"/>
              </w:rPr>
              <w:t>Signature</w:t>
            </w:r>
          </w:p>
        </w:tc>
        <w:tc>
          <w:tcPr>
            <w:tcW w:w="1436" w:type="dxa"/>
          </w:tcPr>
          <w:p w:rsidR="001B1497" w:rsidRPr="00B47DC5" w:rsidRDefault="001B1497" w:rsidP="00C54F57">
            <w:pPr>
              <w:pStyle w:val="signatureline"/>
              <w:ind w:left="270"/>
              <w:jc w:val="left"/>
              <w:rPr>
                <w:rFonts w:ascii="Times New Roman" w:hAnsi="Times New Roman"/>
                <w:sz w:val="24"/>
                <w:szCs w:val="24"/>
              </w:rPr>
            </w:pPr>
          </w:p>
        </w:tc>
        <w:tc>
          <w:tcPr>
            <w:tcW w:w="3388" w:type="dxa"/>
            <w:tcBorders>
              <w:top w:val="single" w:sz="2" w:space="0" w:color="auto"/>
            </w:tcBorders>
          </w:tcPr>
          <w:p w:rsidR="001B1497" w:rsidRPr="00B47DC5" w:rsidRDefault="001B1497" w:rsidP="00C54F57">
            <w:pPr>
              <w:pStyle w:val="signatureline"/>
              <w:ind w:left="270"/>
              <w:jc w:val="left"/>
              <w:rPr>
                <w:rFonts w:ascii="Times New Roman" w:hAnsi="Times New Roman"/>
                <w:sz w:val="24"/>
                <w:szCs w:val="24"/>
              </w:rPr>
            </w:pPr>
            <w:r w:rsidRPr="00B47DC5">
              <w:rPr>
                <w:rFonts w:ascii="Times New Roman" w:hAnsi="Times New Roman"/>
                <w:sz w:val="24"/>
                <w:szCs w:val="24"/>
              </w:rPr>
              <w:t>Title</w:t>
            </w:r>
          </w:p>
        </w:tc>
      </w:tr>
      <w:tr w:rsidR="001B1497" w:rsidRPr="00B47DC5" w:rsidTr="009A60F2">
        <w:trPr>
          <w:cantSplit/>
        </w:trPr>
        <w:tc>
          <w:tcPr>
            <w:tcW w:w="1520" w:type="dxa"/>
          </w:tcPr>
          <w:p w:rsidR="00B47DC5" w:rsidRDefault="00B47DC5" w:rsidP="00C54F57">
            <w:pPr>
              <w:pStyle w:val="rtjusspbef"/>
              <w:ind w:left="270"/>
              <w:jc w:val="left"/>
              <w:rPr>
                <w:rFonts w:ascii="Times New Roman" w:hAnsi="Times New Roman"/>
                <w:sz w:val="24"/>
                <w:szCs w:val="24"/>
              </w:rPr>
            </w:pPr>
          </w:p>
          <w:p w:rsidR="001B1497" w:rsidRPr="00B47DC5" w:rsidRDefault="001B1497" w:rsidP="00C54F57">
            <w:pPr>
              <w:pStyle w:val="rtjusspbef"/>
              <w:ind w:left="270"/>
              <w:jc w:val="left"/>
              <w:rPr>
                <w:rFonts w:ascii="Times New Roman" w:hAnsi="Times New Roman"/>
                <w:sz w:val="24"/>
                <w:szCs w:val="24"/>
              </w:rPr>
            </w:pPr>
            <w:r w:rsidRPr="00B47DC5">
              <w:rPr>
                <w:rFonts w:ascii="Times New Roman" w:hAnsi="Times New Roman"/>
                <w:sz w:val="24"/>
                <w:szCs w:val="24"/>
              </w:rPr>
              <w:t>Print Name:</w:t>
            </w:r>
          </w:p>
        </w:tc>
        <w:tc>
          <w:tcPr>
            <w:tcW w:w="3304" w:type="dxa"/>
            <w:tcBorders>
              <w:bottom w:val="single" w:sz="2" w:space="0" w:color="auto"/>
            </w:tcBorders>
          </w:tcPr>
          <w:p w:rsidR="001B1497" w:rsidRPr="00B47DC5" w:rsidRDefault="001B1497" w:rsidP="00C54F57">
            <w:pPr>
              <w:tabs>
                <w:tab w:val="left" w:pos="1200"/>
              </w:tabs>
              <w:spacing w:after="120" w:line="240" w:lineRule="atLeast"/>
              <w:ind w:left="270"/>
              <w:rPr>
                <w:caps/>
                <w:szCs w:val="24"/>
              </w:rPr>
            </w:pPr>
          </w:p>
        </w:tc>
        <w:tc>
          <w:tcPr>
            <w:tcW w:w="1436" w:type="dxa"/>
            <w:tcBorders>
              <w:bottom w:val="single" w:sz="2" w:space="0" w:color="auto"/>
            </w:tcBorders>
          </w:tcPr>
          <w:p w:rsidR="001B1497" w:rsidRPr="00B47DC5" w:rsidRDefault="001B1497" w:rsidP="00C54F57">
            <w:pPr>
              <w:tabs>
                <w:tab w:val="left" w:pos="1200"/>
              </w:tabs>
              <w:spacing w:after="120" w:line="240" w:lineRule="atLeast"/>
              <w:ind w:left="270"/>
              <w:rPr>
                <w:caps/>
                <w:szCs w:val="24"/>
              </w:rPr>
            </w:pPr>
          </w:p>
        </w:tc>
        <w:tc>
          <w:tcPr>
            <w:tcW w:w="3388" w:type="dxa"/>
            <w:tcBorders>
              <w:bottom w:val="single" w:sz="2" w:space="0" w:color="auto"/>
            </w:tcBorders>
          </w:tcPr>
          <w:p w:rsidR="001B1497" w:rsidRPr="00B47DC5" w:rsidRDefault="001B1497" w:rsidP="00C54F57">
            <w:pPr>
              <w:tabs>
                <w:tab w:val="left" w:pos="1200"/>
              </w:tabs>
              <w:spacing w:after="120" w:line="240" w:lineRule="atLeast"/>
              <w:ind w:left="270"/>
              <w:rPr>
                <w:caps/>
                <w:szCs w:val="24"/>
              </w:rPr>
            </w:pPr>
          </w:p>
        </w:tc>
      </w:tr>
    </w:tbl>
    <w:p w:rsidR="001B1497" w:rsidRPr="00B47DC5" w:rsidRDefault="001537BC" w:rsidP="00C54F57">
      <w:pPr>
        <w:pStyle w:val="Heading4"/>
        <w:ind w:left="270"/>
        <w:rPr>
          <w:sz w:val="24"/>
          <w:szCs w:val="24"/>
        </w:rPr>
      </w:pPr>
      <w:r>
        <w:rPr>
          <w:sz w:val="24"/>
          <w:szCs w:val="24"/>
        </w:rPr>
        <w:t xml:space="preserve">  </w:t>
      </w:r>
    </w:p>
    <w:p w:rsidR="001B1497" w:rsidRPr="00B47DC5" w:rsidRDefault="001B1497" w:rsidP="00C54F57">
      <w:pPr>
        <w:ind w:left="270"/>
        <w:rPr>
          <w:szCs w:val="24"/>
        </w:rPr>
      </w:pPr>
    </w:p>
    <w:p w:rsidR="007C3407" w:rsidRDefault="007C3407" w:rsidP="00C54F57">
      <w:pPr>
        <w:pStyle w:val="Default"/>
        <w:ind w:left="270"/>
        <w:rPr>
          <w:rFonts w:eastAsia="Times"/>
          <w:bCs/>
        </w:rPr>
      </w:pPr>
    </w:p>
    <w:p w:rsidR="007C3407" w:rsidRDefault="007C3407" w:rsidP="00C54F57">
      <w:pPr>
        <w:pStyle w:val="Default"/>
        <w:ind w:left="270"/>
        <w:rPr>
          <w:rFonts w:eastAsia="Times"/>
          <w:bCs/>
        </w:rPr>
      </w:pPr>
    </w:p>
    <w:p w:rsidR="007C3407" w:rsidRDefault="007C3407" w:rsidP="00C54F57">
      <w:pPr>
        <w:pStyle w:val="Default"/>
        <w:ind w:left="270"/>
        <w:rPr>
          <w:rFonts w:eastAsia="Times"/>
          <w:bCs/>
        </w:rPr>
      </w:pPr>
    </w:p>
    <w:p w:rsidR="007C3407" w:rsidRDefault="007C3407" w:rsidP="00C54F57">
      <w:pPr>
        <w:pStyle w:val="Default"/>
        <w:ind w:left="270"/>
        <w:rPr>
          <w:rFonts w:eastAsia="Times"/>
          <w:bCs/>
        </w:rPr>
      </w:pPr>
    </w:p>
    <w:p w:rsidR="007C3407" w:rsidRDefault="007C3407" w:rsidP="00C54F57">
      <w:pPr>
        <w:pStyle w:val="Default"/>
        <w:ind w:left="270"/>
        <w:rPr>
          <w:rFonts w:eastAsia="Times"/>
          <w:bCs/>
        </w:rPr>
      </w:pPr>
    </w:p>
    <w:p w:rsidR="007C3407" w:rsidRDefault="007C3407" w:rsidP="00C54F57">
      <w:pPr>
        <w:pStyle w:val="Default"/>
        <w:ind w:left="270"/>
        <w:rPr>
          <w:rFonts w:eastAsia="Times"/>
          <w:bCs/>
        </w:rPr>
      </w:pPr>
    </w:p>
    <w:sectPr w:rsidR="007C3407" w:rsidSect="007E3A98">
      <w:headerReference w:type="default" r:id="rId8"/>
      <w:footerReference w:type="default" r:id="rId9"/>
      <w:pgSz w:w="12240" w:h="15840" w:code="1"/>
      <w:pgMar w:top="1005" w:right="1440" w:bottom="1440" w:left="864" w:header="720" w:footer="720" w:gutter="0"/>
      <w:pgNumType w:start="8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6C" w:rsidRDefault="0020476C">
      <w:r>
        <w:separator/>
      </w:r>
    </w:p>
  </w:endnote>
  <w:endnote w:type="continuationSeparator" w:id="0">
    <w:p w:rsidR="0020476C" w:rsidRDefault="00204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1560"/>
      <w:docPartObj>
        <w:docPartGallery w:val="Page Numbers (Bottom of Page)"/>
        <w:docPartUnique/>
      </w:docPartObj>
    </w:sdtPr>
    <w:sdtContent>
      <w:p w:rsidR="007E3A98" w:rsidRDefault="00315E28">
        <w:pPr>
          <w:pStyle w:val="Footer"/>
          <w:jc w:val="right"/>
        </w:pPr>
        <w:fldSimple w:instr=" PAGE   \* MERGEFORMAT ">
          <w:r w:rsidR="00CA68BC">
            <w:rPr>
              <w:noProof/>
            </w:rPr>
            <w:t>82</w:t>
          </w:r>
        </w:fldSimple>
      </w:p>
    </w:sdtContent>
  </w:sdt>
  <w:p w:rsidR="0020476C" w:rsidRDefault="0020476C">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6C" w:rsidRDefault="0020476C">
      <w:r>
        <w:separator/>
      </w:r>
    </w:p>
  </w:footnote>
  <w:footnote w:type="continuationSeparator" w:id="0">
    <w:p w:rsidR="0020476C" w:rsidRDefault="0020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75E" w:rsidRDefault="00B3575E" w:rsidP="00B3575E">
    <w:pPr>
      <w:pStyle w:val="Header"/>
      <w:tabs>
        <w:tab w:val="clear" w:pos="4320"/>
        <w:tab w:val="center" w:pos="2610"/>
      </w:tabs>
      <w:ind w:left="360" w:hanging="90"/>
      <w:rPr>
        <w:sz w:val="22"/>
        <w:szCs w:val="22"/>
      </w:rPr>
    </w:pPr>
    <w:r>
      <w:rPr>
        <w:sz w:val="22"/>
        <w:szCs w:val="22"/>
      </w:rPr>
      <w:t xml:space="preserve">OREFM-2013-06-CC   </w:t>
    </w:r>
  </w:p>
  <w:p w:rsidR="00B3575E" w:rsidRDefault="00B3575E" w:rsidP="00B3575E">
    <w:pPr>
      <w:pStyle w:val="Header"/>
      <w:tabs>
        <w:tab w:val="clear" w:pos="4320"/>
        <w:tab w:val="center" w:pos="2610"/>
      </w:tabs>
      <w:ind w:left="360" w:hanging="90"/>
    </w:pPr>
    <w:r>
      <w:rPr>
        <w:sz w:val="22"/>
        <w:szCs w:val="22"/>
      </w:rPr>
      <w:t>Request For Real Estate Appraisal Services for Office of Real Estate and Facilities Management</w:t>
    </w:r>
  </w:p>
  <w:p w:rsidR="00B3575E" w:rsidRDefault="00B35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8193">
      <o:colormenu v:ext="edit" fillcolor="none [665]"/>
    </o:shapedefaults>
  </w:hdrShapeDefaults>
  <w:footnotePr>
    <w:footnote w:id="-1"/>
    <w:footnote w:id="0"/>
  </w:footnotePr>
  <w:endnotePr>
    <w:endnote w:id="-1"/>
    <w:endnote w:id="0"/>
  </w:endnotePr>
  <w:compat/>
  <w:rsids>
    <w:rsidRoot w:val="00EB4C34"/>
    <w:rsid w:val="00002D47"/>
    <w:rsid w:val="00003965"/>
    <w:rsid w:val="00004C8D"/>
    <w:rsid w:val="0000516F"/>
    <w:rsid w:val="0001001F"/>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394"/>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51"/>
    <w:rsid w:val="001714F4"/>
    <w:rsid w:val="00171560"/>
    <w:rsid w:val="0017157F"/>
    <w:rsid w:val="001718D1"/>
    <w:rsid w:val="001724E1"/>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B73"/>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476C"/>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8AD"/>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ACF"/>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5E28"/>
    <w:rsid w:val="003166F8"/>
    <w:rsid w:val="00316CE0"/>
    <w:rsid w:val="003213B4"/>
    <w:rsid w:val="00322326"/>
    <w:rsid w:val="00322A53"/>
    <w:rsid w:val="00324104"/>
    <w:rsid w:val="00324996"/>
    <w:rsid w:val="00325CE2"/>
    <w:rsid w:val="00326E41"/>
    <w:rsid w:val="00327B50"/>
    <w:rsid w:val="003306B9"/>
    <w:rsid w:val="00330E9B"/>
    <w:rsid w:val="0033190C"/>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19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02AE"/>
    <w:rsid w:val="00451CA6"/>
    <w:rsid w:val="00452020"/>
    <w:rsid w:val="0045206C"/>
    <w:rsid w:val="0045276C"/>
    <w:rsid w:val="0045329C"/>
    <w:rsid w:val="00454FA6"/>
    <w:rsid w:val="004578C9"/>
    <w:rsid w:val="00457F7E"/>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50D1"/>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86"/>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D0A"/>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A7809"/>
    <w:rsid w:val="005B00A3"/>
    <w:rsid w:val="005B063E"/>
    <w:rsid w:val="005B068F"/>
    <w:rsid w:val="005B06B8"/>
    <w:rsid w:val="005B15B3"/>
    <w:rsid w:val="005B17A2"/>
    <w:rsid w:val="005B23CE"/>
    <w:rsid w:val="005B266B"/>
    <w:rsid w:val="005B3893"/>
    <w:rsid w:val="005B4F8B"/>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5F78FD"/>
    <w:rsid w:val="00601CEF"/>
    <w:rsid w:val="00602887"/>
    <w:rsid w:val="00602A9F"/>
    <w:rsid w:val="00602DE6"/>
    <w:rsid w:val="006034E6"/>
    <w:rsid w:val="00604EC4"/>
    <w:rsid w:val="006051E9"/>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6CA"/>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1D9D"/>
    <w:rsid w:val="006F2721"/>
    <w:rsid w:val="006F2B1E"/>
    <w:rsid w:val="006F5638"/>
    <w:rsid w:val="006F61C6"/>
    <w:rsid w:val="006F6290"/>
    <w:rsid w:val="006F6E61"/>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A98"/>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1C99"/>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C665E"/>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4F3F"/>
    <w:rsid w:val="00A755F9"/>
    <w:rsid w:val="00A76312"/>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655"/>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575E"/>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6E1E"/>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19E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4F57"/>
    <w:rsid w:val="00C553C9"/>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AA5"/>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8BC"/>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0AF"/>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4FD"/>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370E"/>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9A9"/>
    <w:rsid w:val="00D81F12"/>
    <w:rsid w:val="00D82D1B"/>
    <w:rsid w:val="00D83976"/>
    <w:rsid w:val="00D83FDD"/>
    <w:rsid w:val="00D84077"/>
    <w:rsid w:val="00D841BF"/>
    <w:rsid w:val="00D84814"/>
    <w:rsid w:val="00D84880"/>
    <w:rsid w:val="00D8548B"/>
    <w:rsid w:val="00D85A5C"/>
    <w:rsid w:val="00D86A33"/>
    <w:rsid w:val="00D8749F"/>
    <w:rsid w:val="00D877EE"/>
    <w:rsid w:val="00D87BD6"/>
    <w:rsid w:val="00D87F1F"/>
    <w:rsid w:val="00D90073"/>
    <w:rsid w:val="00D91472"/>
    <w:rsid w:val="00D9213A"/>
    <w:rsid w:val="00D937CB"/>
    <w:rsid w:val="00D93A3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021"/>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97E9B"/>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3D3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D6311"/>
    <w:rsid w:val="00EE044D"/>
    <w:rsid w:val="00EE06C3"/>
    <w:rsid w:val="00EE2393"/>
    <w:rsid w:val="00EE3A9A"/>
    <w:rsid w:val="00EE4014"/>
    <w:rsid w:val="00EE477A"/>
    <w:rsid w:val="00EE4B51"/>
    <w:rsid w:val="00EE4B7C"/>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A7109"/>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4B"/>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110"/>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934285461">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AF479-FD7A-4570-A401-84E0B242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1</TotalTime>
  <Pages>8</Pages>
  <Words>1992</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12910</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2</cp:revision>
  <cp:lastPrinted>2014-02-06T22:16:00Z</cp:lastPrinted>
  <dcterms:created xsi:type="dcterms:W3CDTF">2014-02-06T22:17:00Z</dcterms:created>
  <dcterms:modified xsi:type="dcterms:W3CDTF">2014-02-06T22:17:00Z</dcterms:modified>
</cp:coreProperties>
</file>