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08" w:type="dxa"/>
        <w:tblLayout w:type="fixed"/>
        <w:tblLook w:val="0000"/>
      </w:tblPr>
      <w:tblGrid>
        <w:gridCol w:w="4590"/>
        <w:gridCol w:w="236"/>
        <w:gridCol w:w="4534"/>
      </w:tblGrid>
      <w:tr w:rsidR="003E3523">
        <w:tblPrEx>
          <w:tblCellMar>
            <w:top w:w="0" w:type="dxa"/>
            <w:bottom w:w="0" w:type="dxa"/>
          </w:tblCellMar>
        </w:tblPrEx>
        <w:trPr>
          <w:cantSplit/>
          <w:trHeight w:val="3405"/>
        </w:trPr>
        <w:tc>
          <w:tcPr>
            <w:tcW w:w="4590" w:type="dxa"/>
            <w:tcBorders>
              <w:bottom w:val="nil"/>
            </w:tcBorders>
          </w:tcPr>
          <w:p w:rsidR="003E3523" w:rsidRDefault="003E3523" w:rsidP="003E3523">
            <w:pPr>
              <w:pStyle w:val="MemoSubhead"/>
            </w:pPr>
            <w:r>
              <w:t>Date</w:t>
            </w:r>
          </w:p>
          <w:p w:rsidR="003E3523" w:rsidRDefault="00CC01F1" w:rsidP="003E3523">
            <w:pPr>
              <w:pStyle w:val="MemoHeaderText"/>
            </w:pPr>
            <w:bookmarkStart w:id="0" w:name="bmDate"/>
            <w:bookmarkEnd w:id="0"/>
            <w:r>
              <w:t xml:space="preserve">April </w:t>
            </w:r>
            <w:r w:rsidR="00A106FF">
              <w:t>10</w:t>
            </w:r>
            <w:r w:rsidR="00D12F84">
              <w:t>,</w:t>
            </w:r>
            <w:r w:rsidR="00BC2451">
              <w:t xml:space="preserve"> 2009</w:t>
            </w:r>
          </w:p>
          <w:p w:rsidR="00BC2451" w:rsidRDefault="00BC2451" w:rsidP="003E3523">
            <w:pPr>
              <w:pStyle w:val="MemoSubhead"/>
            </w:pPr>
          </w:p>
          <w:p w:rsidR="003E3523" w:rsidRDefault="003E3523" w:rsidP="003E3523">
            <w:pPr>
              <w:pStyle w:val="MemoSubhead"/>
            </w:pPr>
            <w:r>
              <w:t>To</w:t>
            </w:r>
            <w:bookmarkStart w:id="1" w:name="bmTo"/>
            <w:bookmarkEnd w:id="1"/>
          </w:p>
          <w:p w:rsidR="003E3523" w:rsidRPr="00314888" w:rsidRDefault="006D69FA" w:rsidP="003E3523">
            <w:pPr>
              <w:pStyle w:val="MemoHeaderText"/>
            </w:pPr>
            <w:r>
              <w:t xml:space="preserve">Prospective </w:t>
            </w:r>
            <w:r w:rsidR="00BF5C0D">
              <w:t>Proposers</w:t>
            </w:r>
          </w:p>
          <w:p w:rsidR="003E3523" w:rsidRDefault="003E3523" w:rsidP="003E3523">
            <w:pPr>
              <w:pStyle w:val="MemoHeaderText"/>
            </w:pPr>
          </w:p>
          <w:p w:rsidR="003E3523" w:rsidRDefault="003E3523" w:rsidP="003E3523">
            <w:pPr>
              <w:pStyle w:val="MemoSubhead"/>
            </w:pPr>
            <w:r>
              <w:t>From</w:t>
            </w:r>
          </w:p>
          <w:p w:rsidR="003E3523" w:rsidRDefault="00BC2451" w:rsidP="003E3523">
            <w:pPr>
              <w:pStyle w:val="MemoHeaderText"/>
            </w:pPr>
            <w:bookmarkStart w:id="2" w:name="bmFrom"/>
            <w:bookmarkEnd w:id="2"/>
            <w:r>
              <w:t>Linda McBain</w:t>
            </w:r>
          </w:p>
          <w:p w:rsidR="003E3523" w:rsidRDefault="00BC2451" w:rsidP="003E3523">
            <w:pPr>
              <w:pStyle w:val="MemoHeaderText"/>
            </w:pPr>
            <w:r>
              <w:t>Contracting Officer</w:t>
            </w:r>
          </w:p>
          <w:p w:rsidR="003E3523" w:rsidRDefault="003E3523" w:rsidP="003E3523">
            <w:pPr>
              <w:pStyle w:val="MemoHeaderText"/>
            </w:pPr>
            <w:r>
              <w:t>Business Services, Finance Division</w:t>
            </w:r>
          </w:p>
          <w:p w:rsidR="003E3523" w:rsidRPr="003E22B6" w:rsidRDefault="003E3523" w:rsidP="003E3523">
            <w:pPr>
              <w:pStyle w:val="MemoHeaderText"/>
              <w:rPr>
                <w:sz w:val="36"/>
                <w:szCs w:val="36"/>
              </w:rPr>
            </w:pPr>
          </w:p>
          <w:p w:rsidR="003E22B6" w:rsidRDefault="003E22B6" w:rsidP="003E3523">
            <w:pPr>
              <w:pStyle w:val="MemoHeaderText"/>
              <w:rPr>
                <w:rFonts w:ascii="Arial Black" w:eastAsia="Times New Roman" w:hAnsi="Arial Black"/>
                <w:sz w:val="17"/>
              </w:rPr>
            </w:pPr>
            <w:r>
              <w:rPr>
                <w:rFonts w:ascii="Arial Black" w:eastAsia="Times New Roman" w:hAnsi="Arial Black"/>
                <w:sz w:val="17"/>
              </w:rPr>
              <w:t xml:space="preserve">RFP Number  </w:t>
            </w:r>
          </w:p>
          <w:p w:rsidR="005A766F" w:rsidRDefault="003E22B6" w:rsidP="00A81D6C">
            <w:pPr>
              <w:pStyle w:val="MemoHeaderText"/>
            </w:pPr>
            <w:r w:rsidRPr="003E22B6">
              <w:t>CFCC 0</w:t>
            </w:r>
            <w:r w:rsidR="00657DCE">
              <w:t>8</w:t>
            </w:r>
            <w:r w:rsidRPr="003E22B6">
              <w:t>-09</w:t>
            </w:r>
            <w:r>
              <w:rPr>
                <w:rFonts w:ascii="Arial Black" w:eastAsia="Times New Roman" w:hAnsi="Arial Black"/>
                <w:sz w:val="17"/>
              </w:rPr>
              <w:t xml:space="preserve"> </w:t>
            </w:r>
            <w:r w:rsidR="00A81D6C">
              <w:t xml:space="preserve">Juvenile </w:t>
            </w:r>
            <w:r w:rsidR="00A81D6C" w:rsidRPr="00A81D6C">
              <w:rPr>
                <w:color w:val="000000"/>
              </w:rPr>
              <w:t>Court Education Project</w:t>
            </w:r>
            <w:r w:rsidRPr="00A81D6C">
              <w:rPr>
                <w:color w:val="000000"/>
              </w:rPr>
              <w:t>-LM</w:t>
            </w:r>
          </w:p>
        </w:tc>
        <w:tc>
          <w:tcPr>
            <w:tcW w:w="236" w:type="dxa"/>
            <w:tcBorders>
              <w:bottom w:val="nil"/>
            </w:tcBorders>
          </w:tcPr>
          <w:p w:rsidR="003E3523" w:rsidRDefault="003E3523" w:rsidP="003E3523"/>
        </w:tc>
        <w:tc>
          <w:tcPr>
            <w:tcW w:w="4534" w:type="dxa"/>
            <w:tcBorders>
              <w:bottom w:val="nil"/>
            </w:tcBorders>
          </w:tcPr>
          <w:p w:rsidR="00BC2451" w:rsidRPr="00BC2451" w:rsidRDefault="00BC2451" w:rsidP="00BC2451">
            <w:pPr>
              <w:pStyle w:val="MemoSubhead"/>
            </w:pPr>
            <w:r w:rsidRPr="00BC2451">
              <w:t>Subject</w:t>
            </w:r>
          </w:p>
          <w:p w:rsidR="00BC2451" w:rsidRPr="00A46F38" w:rsidRDefault="00BC2451" w:rsidP="00BC2451">
            <w:pPr>
              <w:pStyle w:val="MemoSubhead"/>
              <w:rPr>
                <w:rFonts w:ascii="Times New Roman" w:eastAsia="Times" w:hAnsi="Times New Roman"/>
                <w:color w:val="0070C0"/>
                <w:sz w:val="24"/>
              </w:rPr>
            </w:pPr>
            <w:bookmarkStart w:id="3" w:name="bmSubject"/>
            <w:bookmarkEnd w:id="3"/>
            <w:r w:rsidRPr="00BC2451">
              <w:rPr>
                <w:rFonts w:ascii="Times New Roman" w:eastAsia="Times" w:hAnsi="Times New Roman"/>
                <w:sz w:val="24"/>
              </w:rPr>
              <w:t xml:space="preserve">Request for Proposal </w:t>
            </w:r>
            <w:r w:rsidR="00DD2F60">
              <w:rPr>
                <w:rFonts w:ascii="Times New Roman" w:eastAsia="Times" w:hAnsi="Times New Roman"/>
                <w:sz w:val="24"/>
              </w:rPr>
              <w:t xml:space="preserve">for </w:t>
            </w:r>
            <w:r w:rsidR="00A81D6C" w:rsidRPr="00A81D6C">
              <w:rPr>
                <w:rFonts w:ascii="Times New Roman" w:eastAsia="Times" w:hAnsi="Times New Roman"/>
                <w:color w:val="000000"/>
                <w:sz w:val="24"/>
              </w:rPr>
              <w:t xml:space="preserve">Juvenile </w:t>
            </w:r>
            <w:r w:rsidR="00A46F38" w:rsidRPr="00A81D6C">
              <w:rPr>
                <w:rFonts w:ascii="Times New Roman" w:eastAsia="Times" w:hAnsi="Times New Roman"/>
                <w:color w:val="000000"/>
                <w:sz w:val="24"/>
              </w:rPr>
              <w:t>Court Education Project – Psychotropic Medications in Juvenile Court Proceedings</w:t>
            </w:r>
          </w:p>
          <w:p w:rsidR="00BC2451" w:rsidRDefault="00BC2451" w:rsidP="003E3523">
            <w:pPr>
              <w:pStyle w:val="MemoSubhead"/>
            </w:pPr>
          </w:p>
          <w:p w:rsidR="003E3523" w:rsidRDefault="003E3523" w:rsidP="003E3523">
            <w:pPr>
              <w:pStyle w:val="MemoSubhead"/>
            </w:pPr>
            <w:r>
              <w:t>Action Requested</w:t>
            </w:r>
          </w:p>
          <w:p w:rsidR="003E3523" w:rsidRDefault="003E3523" w:rsidP="003E3523">
            <w:pPr>
              <w:pStyle w:val="MemoHeaderText"/>
            </w:pPr>
            <w:bookmarkStart w:id="4" w:name="bmAction"/>
            <w:bookmarkEnd w:id="4"/>
            <w:r>
              <w:t xml:space="preserve">Please Respond </w:t>
            </w:r>
          </w:p>
          <w:p w:rsidR="003E3523" w:rsidRPr="000879BF" w:rsidRDefault="003E3523" w:rsidP="003E3523">
            <w:pPr>
              <w:pStyle w:val="MemoHeaderText"/>
              <w:rPr>
                <w:sz w:val="17"/>
                <w:szCs w:val="17"/>
              </w:rPr>
            </w:pPr>
          </w:p>
          <w:p w:rsidR="003E3523" w:rsidRDefault="003E3523" w:rsidP="003E3523">
            <w:pPr>
              <w:pStyle w:val="MemoSubhead"/>
            </w:pPr>
            <w:r>
              <w:t>Deadline</w:t>
            </w:r>
          </w:p>
          <w:p w:rsidR="003E3523" w:rsidRPr="00386A1E" w:rsidRDefault="00CC01F1" w:rsidP="003E3523">
            <w:pPr>
              <w:pStyle w:val="MemoHeaderText"/>
            </w:pPr>
            <w:bookmarkStart w:id="5" w:name="bmDeadline"/>
            <w:bookmarkEnd w:id="5"/>
            <w:r w:rsidRPr="00386A1E">
              <w:t xml:space="preserve">April </w:t>
            </w:r>
            <w:r w:rsidR="00A106FF">
              <w:t>23</w:t>
            </w:r>
            <w:r w:rsidR="005A2F96" w:rsidRPr="00386A1E">
              <w:t>, 200</w:t>
            </w:r>
            <w:r w:rsidR="008D62C8" w:rsidRPr="00386A1E">
              <w:t>9</w:t>
            </w:r>
            <w:r w:rsidR="00BC2451" w:rsidRPr="00386A1E">
              <w:t xml:space="preserve">, </w:t>
            </w:r>
            <w:r w:rsidR="006E7E6A" w:rsidRPr="00386A1E">
              <w:t>end of business day</w:t>
            </w:r>
          </w:p>
          <w:p w:rsidR="003E3523" w:rsidRDefault="003E3523" w:rsidP="003E3523">
            <w:pPr>
              <w:pStyle w:val="MemoHeaderText"/>
            </w:pPr>
          </w:p>
          <w:p w:rsidR="007A2EF2" w:rsidRDefault="007A2EF2" w:rsidP="007A2EF2">
            <w:pPr>
              <w:pStyle w:val="MemoSubhead"/>
            </w:pPr>
            <w:r>
              <w:t xml:space="preserve">Submit hard copy proposal to address on   page </w:t>
            </w:r>
            <w:r w:rsidR="00BD3FC5">
              <w:t>5</w:t>
            </w:r>
            <w:r>
              <w:t xml:space="preserve"> </w:t>
            </w:r>
          </w:p>
          <w:p w:rsidR="003E3523" w:rsidRDefault="003E3523" w:rsidP="003E3523">
            <w:pPr>
              <w:pStyle w:val="MemoHeaderText"/>
            </w:pPr>
            <w:bookmarkStart w:id="6" w:name="bmContact"/>
            <w:bookmarkEnd w:id="6"/>
          </w:p>
        </w:tc>
      </w:tr>
      <w:tr w:rsidR="003E3523">
        <w:tblPrEx>
          <w:tblCellMar>
            <w:top w:w="0" w:type="dxa"/>
            <w:bottom w:w="0" w:type="dxa"/>
          </w:tblCellMar>
        </w:tblPrEx>
        <w:trPr>
          <w:cantSplit/>
        </w:trPr>
        <w:tc>
          <w:tcPr>
            <w:tcW w:w="9360" w:type="dxa"/>
            <w:gridSpan w:val="3"/>
            <w:tcBorders>
              <w:bottom w:val="single" w:sz="4" w:space="0" w:color="auto"/>
            </w:tcBorders>
          </w:tcPr>
          <w:p w:rsidR="003E3523" w:rsidRDefault="003E3523" w:rsidP="003E3523">
            <w:pPr>
              <w:pStyle w:val="MemoSubhead"/>
            </w:pPr>
          </w:p>
        </w:tc>
      </w:tr>
    </w:tbl>
    <w:p w:rsidR="003E3523" w:rsidRDefault="003E3523" w:rsidP="003E3523">
      <w:pPr>
        <w:pStyle w:val="BodyText"/>
      </w:pPr>
    </w:p>
    <w:p w:rsidR="003E22B6" w:rsidRDefault="00647F64" w:rsidP="00BC2451">
      <w:pPr>
        <w:rPr>
          <w:iCs/>
          <w:szCs w:val="24"/>
        </w:rPr>
      </w:pPr>
      <w:bookmarkStart w:id="7" w:name="bmStart"/>
      <w:bookmarkEnd w:id="7"/>
      <w:r>
        <w:rPr>
          <w:rFonts w:ascii="Arial Black" w:hAnsi="Arial Black"/>
          <w:b/>
          <w:sz w:val="22"/>
          <w:szCs w:val="22"/>
        </w:rPr>
        <w:t>General Information</w:t>
      </w:r>
      <w:r w:rsidR="000879BF">
        <w:rPr>
          <w:iCs/>
          <w:szCs w:val="24"/>
        </w:rPr>
        <w:t xml:space="preserve">   </w:t>
      </w:r>
    </w:p>
    <w:p w:rsidR="003E22B6" w:rsidRPr="003E22B6" w:rsidRDefault="003E22B6" w:rsidP="00BC2451">
      <w:pPr>
        <w:rPr>
          <w:iCs/>
          <w:sz w:val="12"/>
          <w:szCs w:val="12"/>
        </w:rPr>
      </w:pPr>
    </w:p>
    <w:p w:rsidR="00657DCE" w:rsidRPr="00260391" w:rsidRDefault="006B051A" w:rsidP="00C1294F">
      <w:pPr>
        <w:autoSpaceDE w:val="0"/>
        <w:autoSpaceDN w:val="0"/>
        <w:adjustRightInd w:val="0"/>
        <w:rPr>
          <w:szCs w:val="24"/>
        </w:rPr>
      </w:pPr>
      <w:r>
        <w:rPr>
          <w:iCs/>
          <w:szCs w:val="24"/>
        </w:rPr>
        <w:t>T</w:t>
      </w:r>
      <w:r w:rsidR="00BC2451">
        <w:rPr>
          <w:szCs w:val="24"/>
        </w:rPr>
        <w:t>he</w:t>
      </w:r>
      <w:r w:rsidR="00BC2451" w:rsidRPr="00EE49C8">
        <w:rPr>
          <w:iCs/>
          <w:szCs w:val="24"/>
        </w:rPr>
        <w:t xml:space="preserve"> Administrative Office of the Courts is </w:t>
      </w:r>
      <w:r w:rsidR="00BC2451" w:rsidRPr="00EE49C8">
        <w:rPr>
          <w:szCs w:val="24"/>
        </w:rPr>
        <w:t xml:space="preserve">dedicated to improving the quality of justice and services to meet the diverse needs of children, youth, families, and self-represented litigants in the </w:t>
      </w:r>
      <w:smartTag w:uri="urn:schemas-microsoft-com:office:smarttags" w:element="place">
        <w:smartTag w:uri="urn:schemas-microsoft-com:office:smarttags" w:element="State">
          <w:r w:rsidR="00BC2451" w:rsidRPr="00EE49C8">
            <w:rPr>
              <w:szCs w:val="24"/>
            </w:rPr>
            <w:t>California</w:t>
          </w:r>
        </w:smartTag>
      </w:smartTag>
      <w:r w:rsidR="00BC2451" w:rsidRPr="00EE49C8">
        <w:rPr>
          <w:szCs w:val="24"/>
        </w:rPr>
        <w:t xml:space="preserve"> courts. </w:t>
      </w:r>
      <w:r w:rsidR="00166D64">
        <w:rPr>
          <w:szCs w:val="24"/>
        </w:rPr>
        <w:t xml:space="preserve"> </w:t>
      </w:r>
      <w:r w:rsidR="00BC2451" w:rsidRPr="00EE49C8">
        <w:rPr>
          <w:iCs/>
          <w:szCs w:val="24"/>
        </w:rPr>
        <w:t xml:space="preserve">One of the projects created to help improve the quality of justice provided those involved with the juvenile courts of California is </w:t>
      </w:r>
      <w:r w:rsidR="00BC2451" w:rsidRPr="00260391">
        <w:rPr>
          <w:iCs/>
          <w:szCs w:val="24"/>
        </w:rPr>
        <w:t xml:space="preserve">the </w:t>
      </w:r>
      <w:r w:rsidR="00BC2451" w:rsidRPr="00260391">
        <w:rPr>
          <w:i/>
          <w:szCs w:val="24"/>
        </w:rPr>
        <w:t>Juvenile Court Education Project</w:t>
      </w:r>
      <w:r w:rsidR="00BC2451" w:rsidRPr="00260391">
        <w:rPr>
          <w:szCs w:val="24"/>
        </w:rPr>
        <w:t xml:space="preserve">.  </w:t>
      </w:r>
    </w:p>
    <w:p w:rsidR="00657DCE" w:rsidRPr="00260391" w:rsidRDefault="00657DCE" w:rsidP="00C1294F">
      <w:pPr>
        <w:autoSpaceDE w:val="0"/>
        <w:autoSpaceDN w:val="0"/>
        <w:adjustRightInd w:val="0"/>
        <w:rPr>
          <w:szCs w:val="24"/>
        </w:rPr>
      </w:pPr>
    </w:p>
    <w:p w:rsidR="00C1294F" w:rsidRPr="00260391" w:rsidRDefault="00C1294F" w:rsidP="00C1294F">
      <w:pPr>
        <w:autoSpaceDE w:val="0"/>
        <w:autoSpaceDN w:val="0"/>
        <w:adjustRightInd w:val="0"/>
        <w:rPr>
          <w:szCs w:val="24"/>
        </w:rPr>
      </w:pPr>
      <w:r w:rsidRPr="00260391">
        <w:rPr>
          <w:szCs w:val="24"/>
        </w:rPr>
        <w:t>A sample of the type of full curricul</w:t>
      </w:r>
      <w:r w:rsidR="009B5FE5">
        <w:rPr>
          <w:szCs w:val="24"/>
        </w:rPr>
        <w:t>a</w:t>
      </w:r>
      <w:r w:rsidRPr="00260391">
        <w:rPr>
          <w:szCs w:val="24"/>
        </w:rPr>
        <w:t xml:space="preserve"> in which the </w:t>
      </w:r>
      <w:r w:rsidRPr="00260391">
        <w:rPr>
          <w:i/>
          <w:szCs w:val="24"/>
        </w:rPr>
        <w:t>Juvenile Court Education Project</w:t>
      </w:r>
      <w:r w:rsidRPr="00260391">
        <w:rPr>
          <w:szCs w:val="24"/>
        </w:rPr>
        <w:t xml:space="preserve"> is located at:  </w:t>
      </w:r>
      <w:hyperlink r:id="rId7" w:history="1">
        <w:r w:rsidRPr="00260391">
          <w:rPr>
            <w:szCs w:val="24"/>
            <w:u w:val="single"/>
          </w:rPr>
          <w:t>http://calswec.berkeley.edu/CalSWEC/CCCCA_Framework.v1.2.html</w:t>
        </w:r>
      </w:hyperlink>
    </w:p>
    <w:p w:rsidR="00BC2451" w:rsidRPr="00260391" w:rsidRDefault="00647F64" w:rsidP="00BC2451">
      <w:pPr>
        <w:rPr>
          <w:szCs w:val="24"/>
        </w:rPr>
      </w:pPr>
      <w:r w:rsidRPr="00260391">
        <w:rPr>
          <w:szCs w:val="24"/>
        </w:rPr>
        <w:t xml:space="preserve"> </w:t>
      </w:r>
    </w:p>
    <w:p w:rsidR="00BC2451" w:rsidRPr="00260391" w:rsidRDefault="00BC2451" w:rsidP="00BC2451">
      <w:pPr>
        <w:rPr>
          <w:szCs w:val="24"/>
        </w:rPr>
      </w:pPr>
      <w:r w:rsidRPr="00260391">
        <w:rPr>
          <w:szCs w:val="24"/>
        </w:rPr>
        <w:t xml:space="preserve">One </w:t>
      </w:r>
      <w:r w:rsidRPr="00166D64">
        <w:rPr>
          <w:szCs w:val="24"/>
        </w:rPr>
        <w:t>component</w:t>
      </w:r>
      <w:r w:rsidRPr="00260391">
        <w:rPr>
          <w:szCs w:val="24"/>
        </w:rPr>
        <w:t xml:space="preserve"> of this project will be </w:t>
      </w:r>
      <w:r w:rsidRPr="00260391">
        <w:rPr>
          <w:iCs/>
          <w:szCs w:val="24"/>
        </w:rPr>
        <w:t xml:space="preserve">the </w:t>
      </w:r>
      <w:r w:rsidRPr="00260391">
        <w:rPr>
          <w:szCs w:val="24"/>
        </w:rPr>
        <w:t>development of curricul</w:t>
      </w:r>
      <w:r w:rsidR="00451F43" w:rsidRPr="00260391">
        <w:rPr>
          <w:szCs w:val="24"/>
        </w:rPr>
        <w:t>um</w:t>
      </w:r>
      <w:r w:rsidRPr="00260391">
        <w:rPr>
          <w:szCs w:val="24"/>
        </w:rPr>
        <w:t xml:space="preserve"> in a number of topic areas.  The curricul</w:t>
      </w:r>
      <w:r w:rsidR="00451F43" w:rsidRPr="00260391">
        <w:rPr>
          <w:szCs w:val="24"/>
        </w:rPr>
        <w:t>a</w:t>
      </w:r>
      <w:r w:rsidRPr="00260391">
        <w:rPr>
          <w:szCs w:val="24"/>
        </w:rPr>
        <w:t xml:space="preserve"> will provide the framework for the education of California’s juvenile court judicial officers, attorneys, probation officers, social workers and others, such as Court Appointed Special Advocates and educational representatives, in each topic area. </w:t>
      </w:r>
      <w:r w:rsidR="00166D64">
        <w:rPr>
          <w:szCs w:val="24"/>
        </w:rPr>
        <w:t xml:space="preserve"> </w:t>
      </w:r>
      <w:r w:rsidRPr="00260391">
        <w:rPr>
          <w:szCs w:val="24"/>
        </w:rPr>
        <w:t>The topic areas for curriculum development include education on the legal foundation of juvenile law (appeals/writs, dependency/delinquency case law updates and trial skills) as well as education on specific issues</w:t>
      </w:r>
      <w:r w:rsidRPr="00A94914">
        <w:rPr>
          <w:color w:val="00B050"/>
          <w:szCs w:val="24"/>
        </w:rPr>
        <w:t xml:space="preserve"> </w:t>
      </w:r>
      <w:r w:rsidRPr="00260391">
        <w:rPr>
          <w:szCs w:val="24"/>
        </w:rPr>
        <w:lastRenderedPageBreak/>
        <w:t xml:space="preserve">with both legal and non-legal components (Indian Child Welfare Act, mental health, substance abuse, domestic violence, education).  </w:t>
      </w:r>
    </w:p>
    <w:p w:rsidR="00BC2451" w:rsidRPr="00260391" w:rsidRDefault="00BC2451" w:rsidP="00BC2451">
      <w:pPr>
        <w:rPr>
          <w:szCs w:val="24"/>
        </w:rPr>
      </w:pPr>
    </w:p>
    <w:p w:rsidR="003E4745" w:rsidRPr="00260391" w:rsidRDefault="00BC2451" w:rsidP="003E4745">
      <w:pPr>
        <w:rPr>
          <w:b/>
          <w:color w:val="548DD4"/>
          <w:szCs w:val="24"/>
        </w:rPr>
      </w:pPr>
      <w:r w:rsidRPr="00260391">
        <w:rPr>
          <w:szCs w:val="24"/>
        </w:rPr>
        <w:t xml:space="preserve">A fundamental understanding of these topic areas will enhance the skills of all those working directly with the children and families in the juvenile court system.  These professional and </w:t>
      </w:r>
      <w:r w:rsidR="0029575D" w:rsidRPr="00260391">
        <w:rPr>
          <w:szCs w:val="24"/>
        </w:rPr>
        <w:t>laypersons</w:t>
      </w:r>
      <w:r w:rsidRPr="00260391">
        <w:rPr>
          <w:szCs w:val="24"/>
        </w:rPr>
        <w:t xml:space="preserve"> will have varying levels of knowledge in the topic areas, which must be taken into consideration during the curriculum development process.  The curricul</w:t>
      </w:r>
      <w:r w:rsidR="00A94914" w:rsidRPr="00260391">
        <w:rPr>
          <w:szCs w:val="24"/>
        </w:rPr>
        <w:t>um</w:t>
      </w:r>
      <w:r w:rsidRPr="00EE49C8">
        <w:rPr>
          <w:szCs w:val="24"/>
        </w:rPr>
        <w:t xml:space="preserve"> developed will be used as the foundation for live in-person training</w:t>
      </w:r>
      <w:r>
        <w:rPr>
          <w:szCs w:val="24"/>
        </w:rPr>
        <w:t>s</w:t>
      </w:r>
      <w:r w:rsidRPr="00EE49C8">
        <w:rPr>
          <w:szCs w:val="24"/>
        </w:rPr>
        <w:t xml:space="preserve"> </w:t>
      </w:r>
      <w:r>
        <w:rPr>
          <w:szCs w:val="24"/>
        </w:rPr>
        <w:t xml:space="preserve">and </w:t>
      </w:r>
      <w:r w:rsidRPr="00EE49C8">
        <w:rPr>
          <w:szCs w:val="24"/>
        </w:rPr>
        <w:t xml:space="preserve">for the development of </w:t>
      </w:r>
      <w:r>
        <w:rPr>
          <w:szCs w:val="24"/>
        </w:rPr>
        <w:t>future</w:t>
      </w:r>
      <w:r w:rsidRPr="00EE49C8">
        <w:rPr>
          <w:szCs w:val="24"/>
        </w:rPr>
        <w:t xml:space="preserve"> on-line distance learning program</w:t>
      </w:r>
      <w:r>
        <w:rPr>
          <w:szCs w:val="24"/>
        </w:rPr>
        <w:t>s</w:t>
      </w:r>
      <w:r w:rsidRPr="00EE49C8">
        <w:rPr>
          <w:szCs w:val="24"/>
        </w:rPr>
        <w:t>.</w:t>
      </w:r>
      <w:r w:rsidR="005B7652">
        <w:rPr>
          <w:szCs w:val="24"/>
        </w:rPr>
        <w:t xml:space="preserve"> </w:t>
      </w:r>
      <w:r w:rsidRPr="00EE49C8">
        <w:rPr>
          <w:szCs w:val="24"/>
        </w:rPr>
        <w:t xml:space="preserve"> </w:t>
      </w:r>
      <w:r w:rsidR="005B7652">
        <w:rPr>
          <w:color w:val="000000"/>
        </w:rPr>
        <w:t>The</w:t>
      </w:r>
      <w:r w:rsidR="0029575D">
        <w:rPr>
          <w:color w:val="000000"/>
        </w:rPr>
        <w:t xml:space="preserve"> curriculum and all m</w:t>
      </w:r>
      <w:r w:rsidR="0029575D" w:rsidRPr="00EB6FD3">
        <w:rPr>
          <w:color w:val="000000"/>
        </w:rPr>
        <w:t xml:space="preserve">aterials created by the </w:t>
      </w:r>
      <w:r w:rsidR="0029575D">
        <w:rPr>
          <w:color w:val="000000"/>
        </w:rPr>
        <w:t>c</w:t>
      </w:r>
      <w:r w:rsidR="0029575D" w:rsidRPr="00EB6FD3">
        <w:rPr>
          <w:color w:val="000000"/>
        </w:rPr>
        <w:t>on</w:t>
      </w:r>
      <w:r w:rsidR="0029575D">
        <w:rPr>
          <w:color w:val="000000"/>
        </w:rPr>
        <w:t>sultant</w:t>
      </w:r>
      <w:r w:rsidR="0029575D" w:rsidRPr="00EB6FD3">
        <w:rPr>
          <w:color w:val="000000"/>
        </w:rPr>
        <w:t xml:space="preserve"> in the course of or related to </w:t>
      </w:r>
      <w:r w:rsidR="0029575D">
        <w:rPr>
          <w:color w:val="000000"/>
        </w:rPr>
        <w:t>this</w:t>
      </w:r>
      <w:r w:rsidR="005B7652">
        <w:rPr>
          <w:color w:val="000000"/>
        </w:rPr>
        <w:t xml:space="preserve"> project</w:t>
      </w:r>
      <w:r w:rsidR="0029575D">
        <w:rPr>
          <w:szCs w:val="24"/>
        </w:rPr>
        <w:t xml:space="preserve"> </w:t>
      </w:r>
      <w:r w:rsidR="0029575D">
        <w:rPr>
          <w:color w:val="000000"/>
        </w:rPr>
        <w:t xml:space="preserve">will </w:t>
      </w:r>
      <w:r w:rsidR="0029575D" w:rsidRPr="00EB6FD3">
        <w:rPr>
          <w:color w:val="000000"/>
        </w:rPr>
        <w:t>be treated as “work for hire”</w:t>
      </w:r>
      <w:r w:rsidR="0029575D">
        <w:rPr>
          <w:color w:val="000000"/>
        </w:rPr>
        <w:t xml:space="preserve"> and ownership and control of the curriculum and material shall vest with the AOC. </w:t>
      </w:r>
      <w:r w:rsidR="003E4745">
        <w:rPr>
          <w:color w:val="000000"/>
        </w:rPr>
        <w:t xml:space="preserve">  </w:t>
      </w:r>
    </w:p>
    <w:p w:rsidR="00BC2451" w:rsidRPr="000879BF" w:rsidRDefault="00BC2451" w:rsidP="00BC2451">
      <w:pPr>
        <w:rPr>
          <w:sz w:val="20"/>
        </w:rPr>
      </w:pPr>
    </w:p>
    <w:p w:rsidR="00BC2451" w:rsidRPr="00260391" w:rsidRDefault="00BC2451" w:rsidP="00BC2451">
      <w:pPr>
        <w:rPr>
          <w:szCs w:val="24"/>
        </w:rPr>
      </w:pPr>
      <w:r w:rsidRPr="00260391">
        <w:rPr>
          <w:szCs w:val="24"/>
        </w:rPr>
        <w:t xml:space="preserve">The </w:t>
      </w:r>
      <w:r w:rsidR="009F0A4E" w:rsidRPr="00260391">
        <w:rPr>
          <w:szCs w:val="24"/>
        </w:rPr>
        <w:t xml:space="preserve">specific </w:t>
      </w:r>
      <w:r w:rsidRPr="00260391">
        <w:rPr>
          <w:szCs w:val="24"/>
        </w:rPr>
        <w:t>topic area selected for curriculum development</w:t>
      </w:r>
      <w:r w:rsidR="009F0A4E" w:rsidRPr="00260391">
        <w:rPr>
          <w:szCs w:val="24"/>
        </w:rPr>
        <w:t xml:space="preserve"> is</w:t>
      </w:r>
      <w:r w:rsidRPr="00260391">
        <w:rPr>
          <w:szCs w:val="24"/>
        </w:rPr>
        <w:t>:</w:t>
      </w:r>
    </w:p>
    <w:p w:rsidR="000879BF" w:rsidRPr="00260391" w:rsidRDefault="000879BF" w:rsidP="000879BF">
      <w:pPr>
        <w:rPr>
          <w:sz w:val="12"/>
          <w:szCs w:val="12"/>
        </w:rPr>
      </w:pPr>
    </w:p>
    <w:p w:rsidR="00BC2451" w:rsidRPr="00260391" w:rsidRDefault="00BC2451" w:rsidP="00BC2451">
      <w:pPr>
        <w:ind w:left="360"/>
        <w:rPr>
          <w:szCs w:val="24"/>
        </w:rPr>
      </w:pPr>
      <w:r w:rsidRPr="00260391">
        <w:rPr>
          <w:szCs w:val="24"/>
        </w:rPr>
        <w:t xml:space="preserve">Understanding Psychotropic Medication in the Context of Juvenile Court Proceedings  </w:t>
      </w:r>
    </w:p>
    <w:p w:rsidR="000879BF" w:rsidRPr="000879BF" w:rsidRDefault="000879BF" w:rsidP="000879BF">
      <w:pPr>
        <w:ind w:left="1080"/>
        <w:rPr>
          <w:sz w:val="12"/>
          <w:szCs w:val="12"/>
        </w:rPr>
      </w:pPr>
    </w:p>
    <w:p w:rsidR="00BC2451" w:rsidRDefault="00BC2451" w:rsidP="00647F64">
      <w:pPr>
        <w:numPr>
          <w:ilvl w:val="1"/>
          <w:numId w:val="22"/>
        </w:numPr>
        <w:tabs>
          <w:tab w:val="clear" w:pos="1440"/>
          <w:tab w:val="num" w:pos="360"/>
        </w:tabs>
        <w:rPr>
          <w:szCs w:val="24"/>
        </w:rPr>
      </w:pPr>
      <w:r w:rsidRPr="00EE49C8">
        <w:rPr>
          <w:szCs w:val="24"/>
        </w:rPr>
        <w:t>Basic Curriculum</w:t>
      </w:r>
    </w:p>
    <w:p w:rsidR="000879BF" w:rsidRPr="000879BF" w:rsidRDefault="000879BF" w:rsidP="00647F64">
      <w:pPr>
        <w:tabs>
          <w:tab w:val="num" w:pos="360"/>
        </w:tabs>
        <w:ind w:left="1080"/>
        <w:rPr>
          <w:sz w:val="12"/>
          <w:szCs w:val="12"/>
        </w:rPr>
      </w:pPr>
    </w:p>
    <w:p w:rsidR="00BC2451" w:rsidRPr="00EE49C8" w:rsidRDefault="00BC2451" w:rsidP="00B54620">
      <w:pPr>
        <w:numPr>
          <w:ilvl w:val="2"/>
          <w:numId w:val="22"/>
        </w:numPr>
        <w:tabs>
          <w:tab w:val="num" w:pos="360"/>
        </w:tabs>
        <w:spacing w:after="60"/>
        <w:ind w:left="2347"/>
        <w:rPr>
          <w:szCs w:val="24"/>
        </w:rPr>
      </w:pPr>
      <w:r w:rsidRPr="00EE49C8">
        <w:rPr>
          <w:szCs w:val="24"/>
        </w:rPr>
        <w:t xml:space="preserve">Classes of psychotropic medications </w:t>
      </w:r>
      <w:r>
        <w:rPr>
          <w:szCs w:val="24"/>
        </w:rPr>
        <w:t xml:space="preserve"> </w:t>
      </w:r>
    </w:p>
    <w:p w:rsidR="00BC2451" w:rsidRPr="00EE49C8" w:rsidRDefault="00BC2451" w:rsidP="00647F64">
      <w:pPr>
        <w:numPr>
          <w:ilvl w:val="2"/>
          <w:numId w:val="22"/>
        </w:numPr>
        <w:tabs>
          <w:tab w:val="num" w:pos="360"/>
        </w:tabs>
        <w:spacing w:after="60"/>
        <w:rPr>
          <w:szCs w:val="24"/>
        </w:rPr>
      </w:pPr>
      <w:r w:rsidRPr="00EE49C8">
        <w:rPr>
          <w:szCs w:val="24"/>
        </w:rPr>
        <w:t>How psychotropic medication works (basic)</w:t>
      </w:r>
    </w:p>
    <w:p w:rsidR="00BC2451" w:rsidRPr="00EE49C8" w:rsidRDefault="00BC2451" w:rsidP="00647F64">
      <w:pPr>
        <w:numPr>
          <w:ilvl w:val="2"/>
          <w:numId w:val="22"/>
        </w:numPr>
        <w:tabs>
          <w:tab w:val="num" w:pos="360"/>
        </w:tabs>
        <w:spacing w:after="60"/>
        <w:rPr>
          <w:szCs w:val="24"/>
        </w:rPr>
      </w:pPr>
      <w:r w:rsidRPr="00EE49C8">
        <w:rPr>
          <w:szCs w:val="24"/>
        </w:rPr>
        <w:t xml:space="preserve">Monitoring </w:t>
      </w:r>
      <w:r>
        <w:rPr>
          <w:szCs w:val="24"/>
        </w:rPr>
        <w:t xml:space="preserve">and changing </w:t>
      </w:r>
      <w:r w:rsidRPr="00EE49C8">
        <w:rPr>
          <w:szCs w:val="24"/>
        </w:rPr>
        <w:t xml:space="preserve">psychotropic medication  </w:t>
      </w:r>
    </w:p>
    <w:p w:rsidR="00BC2451" w:rsidRPr="00EE49C8" w:rsidRDefault="00BC2451" w:rsidP="00647F64">
      <w:pPr>
        <w:numPr>
          <w:ilvl w:val="2"/>
          <w:numId w:val="22"/>
        </w:numPr>
        <w:tabs>
          <w:tab w:val="num" w:pos="360"/>
        </w:tabs>
        <w:spacing w:after="60"/>
        <w:rPr>
          <w:szCs w:val="24"/>
        </w:rPr>
      </w:pPr>
      <w:r w:rsidRPr="00EE49C8">
        <w:rPr>
          <w:szCs w:val="24"/>
        </w:rPr>
        <w:t>‘Approved medications’ and ‘off-label use’ adults and children</w:t>
      </w:r>
    </w:p>
    <w:p w:rsidR="00BC2451" w:rsidRPr="00EE49C8" w:rsidRDefault="00BC2451" w:rsidP="00647F64">
      <w:pPr>
        <w:numPr>
          <w:ilvl w:val="0"/>
          <w:numId w:val="23"/>
        </w:numPr>
        <w:tabs>
          <w:tab w:val="num" w:pos="360"/>
        </w:tabs>
        <w:spacing w:after="60"/>
        <w:ind w:hanging="450"/>
        <w:rPr>
          <w:szCs w:val="24"/>
        </w:rPr>
      </w:pPr>
      <w:r w:rsidRPr="00EE49C8">
        <w:rPr>
          <w:szCs w:val="24"/>
        </w:rPr>
        <w:t>Adults and children – Studies done</w:t>
      </w:r>
    </w:p>
    <w:p w:rsidR="00BC2451" w:rsidRPr="00EE49C8" w:rsidRDefault="00BC2451" w:rsidP="00647F64">
      <w:pPr>
        <w:numPr>
          <w:ilvl w:val="0"/>
          <w:numId w:val="23"/>
        </w:numPr>
        <w:tabs>
          <w:tab w:val="num" w:pos="360"/>
        </w:tabs>
        <w:spacing w:after="60"/>
        <w:ind w:hanging="450"/>
        <w:rPr>
          <w:szCs w:val="24"/>
        </w:rPr>
      </w:pPr>
      <w:r w:rsidRPr="00EE49C8">
        <w:rPr>
          <w:szCs w:val="24"/>
        </w:rPr>
        <w:t xml:space="preserve">Adults and children – Medication safety </w:t>
      </w:r>
    </w:p>
    <w:p w:rsidR="00BC2451" w:rsidRPr="00EE49C8" w:rsidRDefault="00BC2451" w:rsidP="00647F64">
      <w:pPr>
        <w:numPr>
          <w:ilvl w:val="2"/>
          <w:numId w:val="22"/>
        </w:numPr>
        <w:tabs>
          <w:tab w:val="num" w:pos="360"/>
        </w:tabs>
        <w:spacing w:after="60"/>
        <w:rPr>
          <w:szCs w:val="24"/>
        </w:rPr>
      </w:pPr>
      <w:r w:rsidRPr="00EE49C8">
        <w:rPr>
          <w:szCs w:val="24"/>
        </w:rPr>
        <w:t xml:space="preserve">Common side effects  </w:t>
      </w:r>
    </w:p>
    <w:p w:rsidR="00BC2451" w:rsidRPr="00EE49C8" w:rsidRDefault="00BC2451" w:rsidP="00647F64">
      <w:pPr>
        <w:numPr>
          <w:ilvl w:val="2"/>
          <w:numId w:val="22"/>
        </w:numPr>
        <w:tabs>
          <w:tab w:val="num" w:pos="360"/>
        </w:tabs>
        <w:spacing w:after="60"/>
        <w:rPr>
          <w:szCs w:val="24"/>
        </w:rPr>
      </w:pPr>
      <w:r w:rsidRPr="00EE49C8">
        <w:rPr>
          <w:szCs w:val="24"/>
        </w:rPr>
        <w:t xml:space="preserve">Court consent for administration of psychotropic medication to a child in </w:t>
      </w:r>
      <w:r>
        <w:rPr>
          <w:szCs w:val="24"/>
        </w:rPr>
        <w:t xml:space="preserve">  a </w:t>
      </w:r>
      <w:r w:rsidRPr="00EE49C8">
        <w:rPr>
          <w:szCs w:val="24"/>
        </w:rPr>
        <w:t xml:space="preserve">foster care placement  </w:t>
      </w:r>
    </w:p>
    <w:p w:rsidR="00BC2451" w:rsidRDefault="00BC2451" w:rsidP="00647F64">
      <w:pPr>
        <w:numPr>
          <w:ilvl w:val="0"/>
          <w:numId w:val="25"/>
        </w:numPr>
        <w:tabs>
          <w:tab w:val="num" w:pos="360"/>
        </w:tabs>
        <w:spacing w:after="60"/>
        <w:ind w:hanging="450"/>
        <w:rPr>
          <w:szCs w:val="24"/>
        </w:rPr>
      </w:pPr>
      <w:r>
        <w:rPr>
          <w:szCs w:val="24"/>
        </w:rPr>
        <w:t xml:space="preserve">Enactment of relevant </w:t>
      </w:r>
      <w:r w:rsidRPr="00EE49C8">
        <w:rPr>
          <w:szCs w:val="24"/>
        </w:rPr>
        <w:t>Welfare and Institutions Code</w:t>
      </w:r>
      <w:r>
        <w:rPr>
          <w:szCs w:val="24"/>
        </w:rPr>
        <w:t xml:space="preserve"> sections</w:t>
      </w:r>
      <w:r w:rsidRPr="00EE49C8">
        <w:rPr>
          <w:szCs w:val="24"/>
        </w:rPr>
        <w:t xml:space="preserve"> and California Rules of Cour</w:t>
      </w:r>
      <w:r>
        <w:rPr>
          <w:szCs w:val="24"/>
        </w:rPr>
        <w:t>t: Historical context-overmedication of children</w:t>
      </w:r>
    </w:p>
    <w:p w:rsidR="00BC2451" w:rsidRPr="00EE49C8" w:rsidRDefault="00BC2451" w:rsidP="00647F64">
      <w:pPr>
        <w:numPr>
          <w:ilvl w:val="0"/>
          <w:numId w:val="25"/>
        </w:numPr>
        <w:tabs>
          <w:tab w:val="num" w:pos="360"/>
        </w:tabs>
        <w:spacing w:after="60"/>
        <w:ind w:hanging="450"/>
        <w:rPr>
          <w:szCs w:val="24"/>
        </w:rPr>
      </w:pPr>
      <w:r w:rsidRPr="00EE49C8">
        <w:rPr>
          <w:szCs w:val="24"/>
        </w:rPr>
        <w:t xml:space="preserve">Procedure </w:t>
      </w:r>
    </w:p>
    <w:p w:rsidR="00BC2451" w:rsidRPr="00EE49C8" w:rsidRDefault="00BC2451" w:rsidP="00647F64">
      <w:pPr>
        <w:numPr>
          <w:ilvl w:val="0"/>
          <w:numId w:val="25"/>
        </w:numPr>
        <w:tabs>
          <w:tab w:val="num" w:pos="360"/>
        </w:tabs>
        <w:spacing w:after="60"/>
        <w:ind w:hanging="450"/>
        <w:rPr>
          <w:szCs w:val="24"/>
        </w:rPr>
      </w:pPr>
      <w:r w:rsidRPr="00EE49C8">
        <w:rPr>
          <w:szCs w:val="24"/>
        </w:rPr>
        <w:t>Timelines</w:t>
      </w:r>
    </w:p>
    <w:p w:rsidR="00BC2451" w:rsidRDefault="00BC2451" w:rsidP="00647F64">
      <w:pPr>
        <w:numPr>
          <w:ilvl w:val="0"/>
          <w:numId w:val="25"/>
        </w:numPr>
        <w:tabs>
          <w:tab w:val="num" w:pos="360"/>
        </w:tabs>
        <w:spacing w:after="60"/>
        <w:ind w:hanging="450"/>
        <w:rPr>
          <w:szCs w:val="24"/>
        </w:rPr>
      </w:pPr>
      <w:r w:rsidRPr="00EE49C8">
        <w:rPr>
          <w:szCs w:val="24"/>
        </w:rPr>
        <w:t>Confidentiality issue</w:t>
      </w:r>
      <w:r>
        <w:rPr>
          <w:szCs w:val="24"/>
        </w:rPr>
        <w:t>s</w:t>
      </w:r>
    </w:p>
    <w:p w:rsidR="00BC2451" w:rsidRDefault="00BC2451" w:rsidP="00647F64">
      <w:pPr>
        <w:numPr>
          <w:ilvl w:val="0"/>
          <w:numId w:val="25"/>
        </w:numPr>
        <w:tabs>
          <w:tab w:val="num" w:pos="360"/>
        </w:tabs>
        <w:ind w:hanging="450"/>
        <w:rPr>
          <w:szCs w:val="24"/>
        </w:rPr>
      </w:pPr>
      <w:r>
        <w:rPr>
          <w:szCs w:val="24"/>
        </w:rPr>
        <w:t>Role of court, attorneys, parties</w:t>
      </w:r>
    </w:p>
    <w:p w:rsidR="000879BF" w:rsidRPr="000879BF" w:rsidRDefault="000879BF" w:rsidP="00647F64">
      <w:pPr>
        <w:tabs>
          <w:tab w:val="num" w:pos="360"/>
        </w:tabs>
        <w:ind w:left="2430"/>
        <w:rPr>
          <w:sz w:val="12"/>
          <w:szCs w:val="12"/>
        </w:rPr>
      </w:pPr>
    </w:p>
    <w:p w:rsidR="00BC2451" w:rsidRDefault="00BC2451" w:rsidP="00647F64">
      <w:pPr>
        <w:numPr>
          <w:ilvl w:val="1"/>
          <w:numId w:val="22"/>
        </w:numPr>
        <w:tabs>
          <w:tab w:val="clear" w:pos="1440"/>
          <w:tab w:val="num" w:pos="360"/>
        </w:tabs>
        <w:rPr>
          <w:szCs w:val="24"/>
        </w:rPr>
      </w:pPr>
      <w:r w:rsidRPr="00EE49C8">
        <w:rPr>
          <w:szCs w:val="24"/>
        </w:rPr>
        <w:t>Advanced Curriculum</w:t>
      </w:r>
    </w:p>
    <w:p w:rsidR="000879BF" w:rsidRPr="000879BF" w:rsidRDefault="000879BF" w:rsidP="00647F64">
      <w:pPr>
        <w:tabs>
          <w:tab w:val="num" w:pos="360"/>
        </w:tabs>
        <w:ind w:left="1080"/>
        <w:rPr>
          <w:sz w:val="12"/>
          <w:szCs w:val="12"/>
        </w:rPr>
      </w:pPr>
    </w:p>
    <w:p w:rsidR="00BC2451" w:rsidRPr="00EE49C8" w:rsidRDefault="00BC2451" w:rsidP="00647F64">
      <w:pPr>
        <w:numPr>
          <w:ilvl w:val="2"/>
          <w:numId w:val="22"/>
        </w:numPr>
        <w:tabs>
          <w:tab w:val="num" w:pos="360"/>
        </w:tabs>
        <w:spacing w:after="60"/>
        <w:rPr>
          <w:szCs w:val="24"/>
        </w:rPr>
      </w:pPr>
      <w:r w:rsidRPr="00EE49C8">
        <w:rPr>
          <w:szCs w:val="24"/>
        </w:rPr>
        <w:t>Brain chemistry/functioning—impact of different types/classes of medication</w:t>
      </w:r>
    </w:p>
    <w:p w:rsidR="00BC2451" w:rsidRPr="00EE49C8" w:rsidRDefault="00BC2451" w:rsidP="00647F64">
      <w:pPr>
        <w:numPr>
          <w:ilvl w:val="0"/>
          <w:numId w:val="24"/>
        </w:numPr>
        <w:tabs>
          <w:tab w:val="num" w:pos="360"/>
        </w:tabs>
        <w:spacing w:after="60"/>
        <w:ind w:hanging="450"/>
        <w:rPr>
          <w:szCs w:val="24"/>
        </w:rPr>
      </w:pPr>
      <w:r w:rsidRPr="00EE49C8">
        <w:rPr>
          <w:szCs w:val="24"/>
        </w:rPr>
        <w:t>Adults and Children</w:t>
      </w:r>
    </w:p>
    <w:p w:rsidR="00BC2451" w:rsidRPr="00EE49C8" w:rsidRDefault="00BC2451" w:rsidP="00647F64">
      <w:pPr>
        <w:numPr>
          <w:ilvl w:val="0"/>
          <w:numId w:val="24"/>
        </w:numPr>
        <w:tabs>
          <w:tab w:val="num" w:pos="360"/>
        </w:tabs>
        <w:spacing w:after="60"/>
        <w:ind w:hanging="450"/>
        <w:rPr>
          <w:szCs w:val="24"/>
        </w:rPr>
      </w:pPr>
      <w:r w:rsidRPr="00EE49C8">
        <w:rPr>
          <w:szCs w:val="24"/>
        </w:rPr>
        <w:t xml:space="preserve">Psychotropic medications for adult substance abusers  </w:t>
      </w:r>
    </w:p>
    <w:p w:rsidR="00BC2451" w:rsidRDefault="00BC2451" w:rsidP="00647F64">
      <w:pPr>
        <w:numPr>
          <w:ilvl w:val="2"/>
          <w:numId w:val="22"/>
        </w:numPr>
        <w:tabs>
          <w:tab w:val="num" w:pos="360"/>
        </w:tabs>
        <w:rPr>
          <w:szCs w:val="24"/>
        </w:rPr>
      </w:pPr>
      <w:r w:rsidRPr="00EE49C8">
        <w:rPr>
          <w:szCs w:val="24"/>
        </w:rPr>
        <w:t xml:space="preserve">Interaction of psychotropic medications with other medications  </w:t>
      </w:r>
    </w:p>
    <w:p w:rsidR="00BC2451" w:rsidRPr="000879BF" w:rsidRDefault="00BC2451" w:rsidP="00BC2451">
      <w:pPr>
        <w:ind w:left="1980"/>
        <w:rPr>
          <w:sz w:val="20"/>
        </w:rPr>
      </w:pPr>
    </w:p>
    <w:p w:rsidR="005B7652" w:rsidRDefault="005B7652" w:rsidP="00B54620">
      <w:pPr>
        <w:ind w:left="360"/>
        <w:rPr>
          <w:szCs w:val="24"/>
        </w:rPr>
      </w:pPr>
    </w:p>
    <w:p w:rsidR="005B7652" w:rsidRDefault="005B7652" w:rsidP="00B54620">
      <w:pPr>
        <w:ind w:left="360"/>
        <w:rPr>
          <w:szCs w:val="24"/>
        </w:rPr>
      </w:pPr>
    </w:p>
    <w:p w:rsidR="00BC2451" w:rsidRDefault="00BC2451" w:rsidP="00B54620">
      <w:pPr>
        <w:ind w:left="360"/>
        <w:rPr>
          <w:szCs w:val="24"/>
        </w:rPr>
      </w:pPr>
      <w:r>
        <w:rPr>
          <w:szCs w:val="24"/>
        </w:rPr>
        <w:lastRenderedPageBreak/>
        <w:t>The training hours allotted to each subtopic area are as follows</w:t>
      </w:r>
      <w:r w:rsidR="003E59B5">
        <w:rPr>
          <w:szCs w:val="24"/>
        </w:rPr>
        <w:t>:</w:t>
      </w:r>
    </w:p>
    <w:p w:rsidR="000879BF" w:rsidRPr="000879BF" w:rsidRDefault="000879BF" w:rsidP="00BC2451">
      <w:pPr>
        <w:rPr>
          <w:sz w:val="12"/>
          <w:szCs w:val="12"/>
        </w:rPr>
      </w:pPr>
    </w:p>
    <w:p w:rsidR="00BC2451" w:rsidRDefault="00BC2451" w:rsidP="00B54620">
      <w:pPr>
        <w:numPr>
          <w:ilvl w:val="0"/>
          <w:numId w:val="29"/>
        </w:numPr>
        <w:spacing w:after="60"/>
        <w:rPr>
          <w:szCs w:val="24"/>
        </w:rPr>
      </w:pPr>
      <w:r>
        <w:rPr>
          <w:szCs w:val="24"/>
        </w:rPr>
        <w:t>A. Basic Curriculum,  Items 1 through 5:  3–4 hours</w:t>
      </w:r>
    </w:p>
    <w:p w:rsidR="00BC2451" w:rsidRDefault="00BC2451" w:rsidP="00B54620">
      <w:pPr>
        <w:numPr>
          <w:ilvl w:val="0"/>
          <w:numId w:val="30"/>
        </w:numPr>
        <w:spacing w:after="60"/>
        <w:rPr>
          <w:szCs w:val="24"/>
        </w:rPr>
      </w:pPr>
      <w:r>
        <w:rPr>
          <w:szCs w:val="24"/>
        </w:rPr>
        <w:t>A. Basic Curriculum, Item 6:  1–2 hours</w:t>
      </w:r>
    </w:p>
    <w:p w:rsidR="00BC2451" w:rsidRDefault="00BC2451" w:rsidP="00B54620">
      <w:pPr>
        <w:numPr>
          <w:ilvl w:val="0"/>
          <w:numId w:val="31"/>
        </w:numPr>
        <w:rPr>
          <w:szCs w:val="24"/>
        </w:rPr>
      </w:pPr>
      <w:r>
        <w:rPr>
          <w:szCs w:val="24"/>
        </w:rPr>
        <w:t>B. Advanced Curriculum, Items 1 and 2:  1–2 hours</w:t>
      </w:r>
    </w:p>
    <w:p w:rsidR="00A40D07" w:rsidRDefault="00A40D07" w:rsidP="00A40D07">
      <w:pPr>
        <w:pStyle w:val="MemoSubhead"/>
        <w:ind w:left="1440"/>
        <w:rPr>
          <w:rFonts w:ascii="Times New Roman" w:hAnsi="Times New Roman"/>
          <w:color w:val="000000"/>
          <w:sz w:val="24"/>
          <w:szCs w:val="24"/>
        </w:rPr>
      </w:pPr>
    </w:p>
    <w:p w:rsidR="00A40D07" w:rsidRDefault="00A40D07" w:rsidP="00A40D07">
      <w:pPr>
        <w:pStyle w:val="MemoSubhead"/>
        <w:ind w:left="0"/>
        <w:rPr>
          <w:b/>
          <w:sz w:val="22"/>
          <w:szCs w:val="22"/>
        </w:rPr>
      </w:pPr>
      <w:r w:rsidRPr="00E81580">
        <w:rPr>
          <w:rFonts w:ascii="Times New Roman" w:hAnsi="Times New Roman"/>
          <w:color w:val="000000"/>
          <w:sz w:val="24"/>
          <w:szCs w:val="24"/>
        </w:rPr>
        <w:t xml:space="preserve">The AOC would like you to propose on the role of curriculum developer for </w:t>
      </w:r>
      <w:r>
        <w:rPr>
          <w:rFonts w:ascii="Times New Roman" w:hAnsi="Times New Roman"/>
          <w:color w:val="000000"/>
          <w:sz w:val="24"/>
          <w:szCs w:val="24"/>
        </w:rPr>
        <w:t xml:space="preserve">the </w:t>
      </w:r>
      <w:r w:rsidRPr="00A81D6C">
        <w:rPr>
          <w:rFonts w:ascii="Times New Roman" w:eastAsia="Times" w:hAnsi="Times New Roman"/>
          <w:color w:val="000000"/>
          <w:sz w:val="24"/>
        </w:rPr>
        <w:t>Juvenile Court Education Project – Psychotropic Medications in Juvenile Court Proceedings</w:t>
      </w:r>
      <w:r>
        <w:rPr>
          <w:rFonts w:ascii="Times New Roman" w:eastAsia="Times" w:hAnsi="Times New Roman"/>
          <w:color w:val="000000"/>
          <w:sz w:val="24"/>
        </w:rPr>
        <w:t>.</w:t>
      </w:r>
      <w:r>
        <w:rPr>
          <w:b/>
          <w:sz w:val="22"/>
          <w:szCs w:val="22"/>
        </w:rPr>
        <w:t xml:space="preserve"> </w:t>
      </w:r>
    </w:p>
    <w:p w:rsidR="00A40D07" w:rsidRPr="00522183" w:rsidRDefault="00A40D07" w:rsidP="00A40D07">
      <w:pPr>
        <w:pStyle w:val="MemoSubhead"/>
        <w:ind w:left="0"/>
        <w:rPr>
          <w:b/>
          <w:sz w:val="28"/>
          <w:szCs w:val="28"/>
        </w:rPr>
      </w:pPr>
    </w:p>
    <w:p w:rsidR="003E22B6" w:rsidRDefault="00647F64" w:rsidP="00386A1E">
      <w:pPr>
        <w:pStyle w:val="MemoSubhead"/>
        <w:ind w:left="0"/>
        <w:rPr>
          <w:b/>
          <w:sz w:val="22"/>
          <w:szCs w:val="22"/>
        </w:rPr>
      </w:pPr>
      <w:r>
        <w:rPr>
          <w:b/>
          <w:sz w:val="22"/>
          <w:szCs w:val="22"/>
        </w:rPr>
        <w:t>Curricul</w:t>
      </w:r>
      <w:r w:rsidR="00B54620">
        <w:rPr>
          <w:b/>
          <w:sz w:val="22"/>
          <w:szCs w:val="22"/>
        </w:rPr>
        <w:t>um</w:t>
      </w:r>
      <w:r>
        <w:rPr>
          <w:b/>
          <w:sz w:val="22"/>
          <w:szCs w:val="22"/>
        </w:rPr>
        <w:t xml:space="preserve"> Development</w:t>
      </w:r>
      <w:r w:rsidR="00524AAE">
        <w:rPr>
          <w:b/>
          <w:sz w:val="22"/>
          <w:szCs w:val="22"/>
        </w:rPr>
        <w:t xml:space="preserve"> </w:t>
      </w:r>
    </w:p>
    <w:p w:rsidR="006B051A" w:rsidRPr="006B051A" w:rsidRDefault="006B051A" w:rsidP="003E22B6">
      <w:pPr>
        <w:pStyle w:val="BodyText"/>
        <w:spacing w:line="240" w:lineRule="auto"/>
        <w:rPr>
          <w:b/>
          <w:sz w:val="12"/>
          <w:szCs w:val="12"/>
        </w:rPr>
      </w:pPr>
    </w:p>
    <w:p w:rsidR="006B051A" w:rsidRDefault="006B051A" w:rsidP="00F3352E">
      <w:pPr>
        <w:pStyle w:val="BodyText"/>
        <w:numPr>
          <w:ilvl w:val="0"/>
          <w:numId w:val="27"/>
        </w:numPr>
        <w:spacing w:after="120" w:line="240" w:lineRule="auto"/>
        <w:rPr>
          <w:szCs w:val="24"/>
        </w:rPr>
      </w:pPr>
      <w:r w:rsidRPr="00E00C81">
        <w:rPr>
          <w:szCs w:val="24"/>
        </w:rPr>
        <w:t xml:space="preserve">Develop a full curriculum for the </w:t>
      </w:r>
      <w:r w:rsidR="009F0A4E">
        <w:rPr>
          <w:szCs w:val="24"/>
        </w:rPr>
        <w:t xml:space="preserve">specific </w:t>
      </w:r>
      <w:r w:rsidRPr="00E00C81">
        <w:rPr>
          <w:szCs w:val="24"/>
        </w:rPr>
        <w:t>topic area,</w:t>
      </w:r>
      <w:r w:rsidRPr="009F0A4E">
        <w:rPr>
          <w:szCs w:val="24"/>
        </w:rPr>
        <w:t xml:space="preserve"> </w:t>
      </w:r>
      <w:r w:rsidRPr="009F0A4E">
        <w:t>Understanding Psychotropic Medication</w:t>
      </w:r>
      <w:r w:rsidR="00753CA7" w:rsidRPr="009F0A4E">
        <w:t>s</w:t>
      </w:r>
      <w:r w:rsidRPr="009F0A4E">
        <w:t xml:space="preserve"> in the Context of Juvenile Court Proceedings.</w:t>
      </w:r>
      <w:r w:rsidRPr="009F0A4E">
        <w:rPr>
          <w:szCs w:val="24"/>
        </w:rPr>
        <w:t xml:space="preserve">  </w:t>
      </w:r>
      <w:r w:rsidRPr="00E00C81">
        <w:rPr>
          <w:szCs w:val="24"/>
        </w:rPr>
        <w:t>The curriculum must include</w:t>
      </w:r>
      <w:r w:rsidR="009F0A4E">
        <w:rPr>
          <w:szCs w:val="24"/>
        </w:rPr>
        <w:t>:</w:t>
      </w:r>
      <w:r w:rsidRPr="00E00C81">
        <w:rPr>
          <w:szCs w:val="24"/>
        </w:rPr>
        <w:t xml:space="preserve"> </w:t>
      </w:r>
    </w:p>
    <w:p w:rsidR="006B051A" w:rsidRPr="00E00C81" w:rsidRDefault="006B051A" w:rsidP="00F3352E">
      <w:pPr>
        <w:pStyle w:val="BodyText"/>
        <w:numPr>
          <w:ilvl w:val="1"/>
          <w:numId w:val="27"/>
        </w:numPr>
        <w:tabs>
          <w:tab w:val="clear" w:pos="1440"/>
        </w:tabs>
        <w:spacing w:after="120" w:line="240" w:lineRule="auto"/>
        <w:ind w:left="1080"/>
        <w:rPr>
          <w:szCs w:val="24"/>
        </w:rPr>
      </w:pPr>
      <w:r w:rsidRPr="00E00C81">
        <w:rPr>
          <w:szCs w:val="24"/>
        </w:rPr>
        <w:t xml:space="preserve">Competencies; </w:t>
      </w:r>
    </w:p>
    <w:p w:rsidR="006B051A" w:rsidRPr="00E00C81" w:rsidRDefault="006B051A" w:rsidP="00F3352E">
      <w:pPr>
        <w:pStyle w:val="BodyText"/>
        <w:numPr>
          <w:ilvl w:val="1"/>
          <w:numId w:val="27"/>
        </w:numPr>
        <w:tabs>
          <w:tab w:val="clear" w:pos="1440"/>
        </w:tabs>
        <w:spacing w:after="120" w:line="240" w:lineRule="auto"/>
        <w:ind w:left="1080"/>
        <w:rPr>
          <w:szCs w:val="24"/>
        </w:rPr>
      </w:pPr>
      <w:r w:rsidRPr="00E00C81">
        <w:rPr>
          <w:szCs w:val="24"/>
        </w:rPr>
        <w:t>Learning objectives;</w:t>
      </w:r>
    </w:p>
    <w:p w:rsidR="006B051A" w:rsidRPr="00E00C81" w:rsidRDefault="006B051A" w:rsidP="00F3352E">
      <w:pPr>
        <w:pStyle w:val="BodyText"/>
        <w:numPr>
          <w:ilvl w:val="1"/>
          <w:numId w:val="27"/>
        </w:numPr>
        <w:tabs>
          <w:tab w:val="clear" w:pos="1440"/>
        </w:tabs>
        <w:spacing w:after="120" w:line="240" w:lineRule="auto"/>
        <w:ind w:left="1080"/>
        <w:rPr>
          <w:szCs w:val="24"/>
        </w:rPr>
      </w:pPr>
      <w:r w:rsidRPr="00E00C81">
        <w:rPr>
          <w:szCs w:val="24"/>
        </w:rPr>
        <w:t>Lesson plans;</w:t>
      </w:r>
    </w:p>
    <w:p w:rsidR="006B051A" w:rsidRPr="00E00C81" w:rsidRDefault="006B051A" w:rsidP="00F3352E">
      <w:pPr>
        <w:pStyle w:val="BodyText"/>
        <w:numPr>
          <w:ilvl w:val="1"/>
          <w:numId w:val="27"/>
        </w:numPr>
        <w:tabs>
          <w:tab w:val="clear" w:pos="1440"/>
        </w:tabs>
        <w:spacing w:after="120" w:line="240" w:lineRule="auto"/>
        <w:ind w:left="1080"/>
        <w:rPr>
          <w:szCs w:val="24"/>
        </w:rPr>
      </w:pPr>
      <w:r w:rsidRPr="00E00C81">
        <w:rPr>
          <w:szCs w:val="24"/>
        </w:rPr>
        <w:t>In-person and distance learning training materials</w:t>
      </w:r>
    </w:p>
    <w:p w:rsidR="006B051A" w:rsidRPr="00E00C81" w:rsidRDefault="006B051A" w:rsidP="00F3352E">
      <w:pPr>
        <w:pStyle w:val="BodyText"/>
        <w:numPr>
          <w:ilvl w:val="1"/>
          <w:numId w:val="27"/>
        </w:numPr>
        <w:tabs>
          <w:tab w:val="clear" w:pos="1440"/>
        </w:tabs>
        <w:spacing w:after="120" w:line="240" w:lineRule="auto"/>
        <w:ind w:left="1080"/>
        <w:rPr>
          <w:szCs w:val="24"/>
        </w:rPr>
      </w:pPr>
      <w:r w:rsidRPr="00E00C81">
        <w:rPr>
          <w:szCs w:val="24"/>
        </w:rPr>
        <w:t>Training guide;</w:t>
      </w:r>
    </w:p>
    <w:p w:rsidR="006B051A" w:rsidRPr="00E00C81" w:rsidRDefault="006B051A" w:rsidP="00F3352E">
      <w:pPr>
        <w:pStyle w:val="BodyText"/>
        <w:numPr>
          <w:ilvl w:val="1"/>
          <w:numId w:val="27"/>
        </w:numPr>
        <w:tabs>
          <w:tab w:val="clear" w:pos="1440"/>
        </w:tabs>
        <w:spacing w:after="120" w:line="240" w:lineRule="auto"/>
        <w:ind w:left="1080"/>
        <w:rPr>
          <w:szCs w:val="24"/>
        </w:rPr>
      </w:pPr>
      <w:r w:rsidRPr="00E00C81">
        <w:rPr>
          <w:szCs w:val="24"/>
        </w:rPr>
        <w:t>Supplemental material including power points</w:t>
      </w:r>
      <w:r w:rsidR="008D2438">
        <w:rPr>
          <w:szCs w:val="24"/>
        </w:rPr>
        <w:t>,</w:t>
      </w:r>
      <w:r w:rsidRPr="00E00C81">
        <w:rPr>
          <w:szCs w:val="24"/>
        </w:rPr>
        <w:t xml:space="preserve"> handouts, case examples, and other training materials; </w:t>
      </w:r>
    </w:p>
    <w:p w:rsidR="006B051A" w:rsidRPr="00E00C81" w:rsidRDefault="006B051A" w:rsidP="00F3352E">
      <w:pPr>
        <w:pStyle w:val="BodyText"/>
        <w:numPr>
          <w:ilvl w:val="1"/>
          <w:numId w:val="27"/>
        </w:numPr>
        <w:tabs>
          <w:tab w:val="clear" w:pos="1440"/>
        </w:tabs>
        <w:spacing w:after="120" w:line="240" w:lineRule="auto"/>
        <w:ind w:left="1080"/>
        <w:rPr>
          <w:szCs w:val="24"/>
        </w:rPr>
      </w:pPr>
      <w:r w:rsidRPr="00E00C81">
        <w:rPr>
          <w:szCs w:val="24"/>
        </w:rPr>
        <w:t xml:space="preserve">Pre-tests and post tests on curriculum material; and  </w:t>
      </w:r>
    </w:p>
    <w:p w:rsidR="006B051A" w:rsidRDefault="006B051A" w:rsidP="00F3352E">
      <w:pPr>
        <w:pStyle w:val="BodyText"/>
        <w:numPr>
          <w:ilvl w:val="1"/>
          <w:numId w:val="27"/>
        </w:numPr>
        <w:tabs>
          <w:tab w:val="clear" w:pos="1440"/>
        </w:tabs>
        <w:spacing w:after="120" w:line="240" w:lineRule="auto"/>
        <w:ind w:left="1080"/>
        <w:rPr>
          <w:szCs w:val="24"/>
        </w:rPr>
      </w:pPr>
      <w:r w:rsidRPr="00E00C81">
        <w:rPr>
          <w:szCs w:val="24"/>
        </w:rPr>
        <w:t>Full bibliography</w:t>
      </w:r>
    </w:p>
    <w:p w:rsidR="006B051A" w:rsidRPr="00E00C81" w:rsidRDefault="006B051A" w:rsidP="00F3352E">
      <w:pPr>
        <w:pStyle w:val="BodyText"/>
        <w:numPr>
          <w:ilvl w:val="0"/>
          <w:numId w:val="27"/>
        </w:numPr>
        <w:spacing w:after="120" w:line="240" w:lineRule="auto"/>
        <w:rPr>
          <w:szCs w:val="24"/>
        </w:rPr>
      </w:pPr>
      <w:r w:rsidRPr="00E00C81">
        <w:t>Identify, access, and utilize appropriate subject matter experts in the curriculum development process.</w:t>
      </w:r>
    </w:p>
    <w:p w:rsidR="006F2776" w:rsidRDefault="006B051A" w:rsidP="006B051A">
      <w:pPr>
        <w:pStyle w:val="BodyText"/>
        <w:numPr>
          <w:ilvl w:val="0"/>
          <w:numId w:val="27"/>
        </w:numPr>
        <w:spacing w:after="120" w:line="240" w:lineRule="auto"/>
        <w:rPr>
          <w:szCs w:val="24"/>
        </w:rPr>
      </w:pPr>
      <w:r w:rsidRPr="005B7652">
        <w:rPr>
          <w:szCs w:val="24"/>
        </w:rPr>
        <w:t>I</w:t>
      </w:r>
      <w:r w:rsidRPr="00E00C81">
        <w:t>nclude</w:t>
      </w:r>
      <w:r w:rsidR="00260391">
        <w:t xml:space="preserve"> materials t</w:t>
      </w:r>
      <w:r w:rsidRPr="00E00C81">
        <w:t>o accommodate the varying knowledge levels of potential attendees as well as the different learning styles that may be present within a group of attendees.</w:t>
      </w:r>
      <w:r w:rsidR="006F2776">
        <w:t xml:space="preserve">   </w:t>
      </w:r>
    </w:p>
    <w:p w:rsidR="006B051A" w:rsidRPr="00E00C81" w:rsidRDefault="006B051A" w:rsidP="006B051A">
      <w:pPr>
        <w:pStyle w:val="BodyText"/>
        <w:numPr>
          <w:ilvl w:val="0"/>
          <w:numId w:val="27"/>
        </w:numPr>
        <w:spacing w:line="240" w:lineRule="auto"/>
        <w:rPr>
          <w:szCs w:val="24"/>
        </w:rPr>
      </w:pPr>
      <w:r w:rsidRPr="00E00C81">
        <w:t xml:space="preserve"> Ensure that curriculum developed can serve as the foundation for live in-person trainings</w:t>
      </w:r>
      <w:r w:rsidR="006C6E18">
        <w:t xml:space="preserve"> by trainers selected by the AOC</w:t>
      </w:r>
      <w:r w:rsidRPr="00E00C81">
        <w:t xml:space="preserve"> and for the development of future on-line distance learning programs.</w:t>
      </w:r>
      <w:r w:rsidRPr="005B7652">
        <w:rPr>
          <w:szCs w:val="24"/>
        </w:rPr>
        <w:t xml:space="preserve"> </w:t>
      </w:r>
    </w:p>
    <w:p w:rsidR="00663570" w:rsidRPr="00EA6269" w:rsidRDefault="00663570" w:rsidP="00215FEE">
      <w:pPr>
        <w:pStyle w:val="BodyText"/>
        <w:spacing w:before="280" w:after="120" w:line="240" w:lineRule="auto"/>
        <w:outlineLvl w:val="0"/>
        <w:rPr>
          <w:rFonts w:ascii="Arial Black" w:hAnsi="Arial Black"/>
          <w:b/>
          <w:sz w:val="22"/>
          <w:szCs w:val="22"/>
        </w:rPr>
      </w:pPr>
      <w:r w:rsidRPr="00EA6269">
        <w:rPr>
          <w:rFonts w:ascii="Arial Black" w:hAnsi="Arial Black"/>
          <w:b/>
          <w:sz w:val="22"/>
          <w:szCs w:val="22"/>
        </w:rPr>
        <w:t>Compensation</w:t>
      </w:r>
    </w:p>
    <w:p w:rsidR="00663570" w:rsidRPr="00EA6269" w:rsidRDefault="00663570" w:rsidP="00AE58D4">
      <w:pPr>
        <w:pStyle w:val="BodyText"/>
        <w:widowControl w:val="0"/>
        <w:rPr>
          <w:szCs w:val="24"/>
          <w:u w:val="single"/>
        </w:rPr>
      </w:pPr>
      <w:r w:rsidRPr="00EA6269">
        <w:rPr>
          <w:szCs w:val="24"/>
        </w:rPr>
        <w:t xml:space="preserve">The total amount the State may pay the consultant for services performed under this Agreement shall be the flat-fee amount of </w:t>
      </w:r>
      <w:r w:rsidR="00A106FF" w:rsidRPr="00A106FF">
        <w:rPr>
          <w:b/>
          <w:szCs w:val="24"/>
        </w:rPr>
        <w:t>$7,000.00</w:t>
      </w:r>
      <w:r w:rsidRPr="00EA6269">
        <w:rPr>
          <w:szCs w:val="24"/>
        </w:rPr>
        <w:t xml:space="preserve">.  The flat-fee amount shall be inclusive of all costs, benefits, expenses, fees, overhead, markups and profits payable to the consultant.   </w:t>
      </w:r>
      <w:r w:rsidRPr="00EA6269">
        <w:rPr>
          <w:szCs w:val="24"/>
          <w:u w:val="single"/>
        </w:rPr>
        <w:t xml:space="preserve"> </w:t>
      </w:r>
    </w:p>
    <w:p w:rsidR="00215FEE" w:rsidRPr="00EA6269" w:rsidRDefault="00BD3FC5" w:rsidP="00215FEE">
      <w:pPr>
        <w:pStyle w:val="BodyText"/>
        <w:spacing w:before="280" w:after="120" w:line="240" w:lineRule="auto"/>
        <w:outlineLvl w:val="0"/>
        <w:rPr>
          <w:rFonts w:ascii="Arial Black" w:hAnsi="Arial Black"/>
          <w:b/>
          <w:sz w:val="22"/>
          <w:szCs w:val="22"/>
        </w:rPr>
      </w:pPr>
      <w:r>
        <w:rPr>
          <w:rFonts w:ascii="Arial Black" w:hAnsi="Arial Black"/>
          <w:b/>
          <w:sz w:val="22"/>
          <w:szCs w:val="22"/>
        </w:rPr>
        <w:t>Source of Funding</w:t>
      </w:r>
    </w:p>
    <w:p w:rsidR="00215FEE" w:rsidRDefault="00215FEE" w:rsidP="00215FEE">
      <w:pPr>
        <w:pStyle w:val="BodyText"/>
        <w:widowControl w:val="0"/>
        <w:spacing w:line="240" w:lineRule="auto"/>
        <w:outlineLvl w:val="0"/>
        <w:rPr>
          <w:rFonts w:ascii="Arial Black" w:hAnsi="Arial Black"/>
          <w:b/>
          <w:sz w:val="22"/>
          <w:szCs w:val="22"/>
        </w:rPr>
      </w:pPr>
      <w:r>
        <w:rPr>
          <w:color w:val="000000"/>
        </w:rPr>
        <w:t xml:space="preserve">Funding for the </w:t>
      </w:r>
      <w:r w:rsidRPr="00EA6269">
        <w:rPr>
          <w:szCs w:val="24"/>
        </w:rPr>
        <w:t xml:space="preserve">services performed under this Agreement </w:t>
      </w:r>
      <w:r>
        <w:rPr>
          <w:color w:val="000000"/>
        </w:rPr>
        <w:t xml:space="preserve">shall be provided by a grant from the California Department of Social Services.  The grant name is Title IVE Permanency Training Grant.  The grant number is 80-2019. </w:t>
      </w:r>
    </w:p>
    <w:p w:rsidR="00991C24" w:rsidRPr="00991C24" w:rsidRDefault="00991C24" w:rsidP="00AE58D4">
      <w:pPr>
        <w:pStyle w:val="BodyText"/>
        <w:widowControl w:val="0"/>
        <w:spacing w:before="360" w:line="240" w:lineRule="auto"/>
        <w:outlineLvl w:val="0"/>
        <w:rPr>
          <w:rFonts w:ascii="Arial Black" w:hAnsi="Arial Black"/>
          <w:b/>
          <w:sz w:val="22"/>
          <w:szCs w:val="22"/>
        </w:rPr>
      </w:pPr>
      <w:r w:rsidRPr="00991C24">
        <w:rPr>
          <w:rFonts w:ascii="Arial Black" w:hAnsi="Arial Black"/>
          <w:b/>
          <w:sz w:val="22"/>
          <w:szCs w:val="22"/>
        </w:rPr>
        <w:lastRenderedPageBreak/>
        <w:t xml:space="preserve">Evaluation </w:t>
      </w:r>
      <w:r>
        <w:rPr>
          <w:rFonts w:ascii="Arial Black" w:hAnsi="Arial Black"/>
          <w:b/>
          <w:sz w:val="22"/>
          <w:szCs w:val="22"/>
        </w:rPr>
        <w:t>o</w:t>
      </w:r>
      <w:r w:rsidRPr="00991C24">
        <w:rPr>
          <w:rFonts w:ascii="Arial Black" w:hAnsi="Arial Black"/>
          <w:b/>
          <w:sz w:val="22"/>
          <w:szCs w:val="22"/>
        </w:rPr>
        <w:t>f Proposals</w:t>
      </w:r>
    </w:p>
    <w:p w:rsidR="00991C24" w:rsidRPr="00991C24" w:rsidRDefault="00991C24" w:rsidP="00AE58D4">
      <w:pPr>
        <w:widowControl w:val="0"/>
        <w:rPr>
          <w:color w:val="000000"/>
          <w:sz w:val="12"/>
          <w:szCs w:val="12"/>
        </w:rPr>
      </w:pPr>
    </w:p>
    <w:p w:rsidR="00991C24" w:rsidRPr="00991C24" w:rsidRDefault="00C97DCE" w:rsidP="00AE58D4">
      <w:pPr>
        <w:widowControl w:val="0"/>
        <w:rPr>
          <w:color w:val="000000"/>
        </w:rPr>
      </w:pPr>
      <w:r>
        <w:rPr>
          <w:color w:val="000000"/>
        </w:rPr>
        <w:t>P</w:t>
      </w:r>
      <w:r w:rsidR="00991C24" w:rsidRPr="00991C24">
        <w:rPr>
          <w:color w:val="000000"/>
        </w:rPr>
        <w:t>roposals will be evaluated by the AOC using the following criteria, in order of descending priority:</w:t>
      </w:r>
    </w:p>
    <w:p w:rsidR="00991C24" w:rsidRPr="00991C24" w:rsidRDefault="00991C24" w:rsidP="00F3352E">
      <w:pPr>
        <w:spacing w:after="120"/>
        <w:ind w:left="1890" w:hanging="450"/>
        <w:rPr>
          <w:color w:val="000000"/>
        </w:rPr>
      </w:pPr>
      <w:r w:rsidRPr="00991C24">
        <w:rPr>
          <w:color w:val="000000"/>
        </w:rPr>
        <w:t>a.</w:t>
      </w:r>
      <w:r w:rsidRPr="00991C24">
        <w:rPr>
          <w:color w:val="000000"/>
        </w:rPr>
        <w:tab/>
        <w:t>Quality of work plan submitted</w:t>
      </w:r>
      <w:r w:rsidR="0073321A">
        <w:rPr>
          <w:color w:val="000000"/>
        </w:rPr>
        <w:t xml:space="preserve"> </w:t>
      </w:r>
    </w:p>
    <w:p w:rsidR="00991C24" w:rsidRPr="00991C24" w:rsidRDefault="00991C24" w:rsidP="00F3352E">
      <w:pPr>
        <w:spacing w:after="120"/>
        <w:ind w:left="1886" w:hanging="446"/>
        <w:rPr>
          <w:color w:val="000000"/>
        </w:rPr>
      </w:pPr>
      <w:r w:rsidRPr="00991C24">
        <w:rPr>
          <w:color w:val="000000"/>
        </w:rPr>
        <w:t>b.</w:t>
      </w:r>
      <w:r w:rsidRPr="00991C24">
        <w:rPr>
          <w:color w:val="000000"/>
        </w:rPr>
        <w:tab/>
        <w:t xml:space="preserve">Experience on similar </w:t>
      </w:r>
      <w:r w:rsidR="006C6E18">
        <w:rPr>
          <w:color w:val="000000"/>
        </w:rPr>
        <w:t xml:space="preserve">curriculum development </w:t>
      </w:r>
      <w:r w:rsidRPr="00991C24">
        <w:rPr>
          <w:color w:val="000000"/>
        </w:rPr>
        <w:t>assignments</w:t>
      </w:r>
      <w:r w:rsidR="006C6E18">
        <w:rPr>
          <w:color w:val="000000"/>
        </w:rPr>
        <w:t xml:space="preserve"> </w:t>
      </w:r>
    </w:p>
    <w:p w:rsidR="00991C24" w:rsidRPr="00991C24" w:rsidRDefault="00991C24" w:rsidP="005B7652">
      <w:pPr>
        <w:spacing w:after="120"/>
        <w:ind w:left="1886" w:right="-270" w:hanging="446"/>
        <w:rPr>
          <w:color w:val="000000"/>
        </w:rPr>
      </w:pPr>
      <w:r w:rsidRPr="00991C24">
        <w:rPr>
          <w:color w:val="000000"/>
        </w:rPr>
        <w:t>c.</w:t>
      </w:r>
      <w:r w:rsidRPr="00991C24">
        <w:rPr>
          <w:color w:val="000000"/>
        </w:rPr>
        <w:tab/>
        <w:t xml:space="preserve">Ability to identify, access, and utilize </w:t>
      </w:r>
      <w:r w:rsidR="0073321A">
        <w:rPr>
          <w:color w:val="000000"/>
        </w:rPr>
        <w:t xml:space="preserve">professionals licensed to prescribe psychotropic medications </w:t>
      </w:r>
      <w:r w:rsidR="006C6E18">
        <w:rPr>
          <w:color w:val="000000"/>
        </w:rPr>
        <w:t>with experience in</w:t>
      </w:r>
      <w:r w:rsidR="0073321A">
        <w:rPr>
          <w:color w:val="000000"/>
        </w:rPr>
        <w:t xml:space="preserve"> juvenile court proceedings and </w:t>
      </w:r>
      <w:r w:rsidR="005B7652">
        <w:rPr>
          <w:color w:val="000000"/>
        </w:rPr>
        <w:t xml:space="preserve"> </w:t>
      </w:r>
      <w:r w:rsidR="006C6E18">
        <w:rPr>
          <w:color w:val="000000"/>
        </w:rPr>
        <w:t xml:space="preserve"> experienced in the legal process for obtaining authorization for administration of psychotropic medication to dependents and wards of the juvenile court.</w:t>
      </w:r>
    </w:p>
    <w:p w:rsidR="00524AAE" w:rsidRDefault="00991C24" w:rsidP="00991C24">
      <w:pPr>
        <w:spacing w:before="120"/>
        <w:ind w:left="1886" w:hanging="446"/>
        <w:rPr>
          <w:color w:val="000000"/>
        </w:rPr>
      </w:pPr>
      <w:r w:rsidRPr="00991C24">
        <w:rPr>
          <w:color w:val="000000"/>
        </w:rPr>
        <w:t>d.</w:t>
      </w:r>
      <w:r w:rsidRPr="00991C24">
        <w:rPr>
          <w:color w:val="000000"/>
        </w:rPr>
        <w:tab/>
        <w:t>Ability to meet timing requirements to complete the project</w:t>
      </w:r>
      <w:r w:rsidR="00524AAE">
        <w:rPr>
          <w:color w:val="000000"/>
        </w:rPr>
        <w:t>.</w:t>
      </w:r>
    </w:p>
    <w:p w:rsidR="003E3523" w:rsidRDefault="00991C24" w:rsidP="00166D64">
      <w:pPr>
        <w:pStyle w:val="BodyText"/>
        <w:spacing w:before="360" w:after="120" w:line="240" w:lineRule="auto"/>
        <w:outlineLvl w:val="0"/>
        <w:rPr>
          <w:rFonts w:ascii="Arial Black" w:hAnsi="Arial Black"/>
          <w:b/>
          <w:sz w:val="22"/>
          <w:szCs w:val="22"/>
        </w:rPr>
      </w:pPr>
      <w:r>
        <w:rPr>
          <w:rFonts w:ascii="Arial Black" w:hAnsi="Arial Black"/>
          <w:b/>
          <w:sz w:val="22"/>
          <w:szCs w:val="22"/>
        </w:rPr>
        <w:t>Questions &amp; Answers</w:t>
      </w:r>
    </w:p>
    <w:p w:rsidR="00F3352E" w:rsidRPr="00867E34" w:rsidRDefault="00991C24" w:rsidP="00D12F84">
      <w:pPr>
        <w:pStyle w:val="BodyText"/>
        <w:ind w:right="-270"/>
        <w:outlineLvl w:val="0"/>
        <w:rPr>
          <w:caps/>
          <w:color w:val="000000"/>
          <w:szCs w:val="24"/>
        </w:rPr>
      </w:pPr>
      <w:r w:rsidRPr="00867E34">
        <w:rPr>
          <w:color w:val="000000"/>
          <w:szCs w:val="24"/>
        </w:rPr>
        <w:t xml:space="preserve">Questions regarding this RFP should be directed to </w:t>
      </w:r>
      <w:hyperlink r:id="rId8" w:history="1">
        <w:r w:rsidR="004912B6" w:rsidRPr="00867E34">
          <w:rPr>
            <w:rStyle w:val="Hyperlink"/>
            <w:bCs/>
            <w:iCs/>
            <w:szCs w:val="24"/>
          </w:rPr>
          <w:t>Solicitations@jud.ca.gov</w:t>
        </w:r>
      </w:hyperlink>
      <w:r w:rsidRPr="00867E34">
        <w:rPr>
          <w:bCs/>
          <w:iCs/>
          <w:color w:val="000000"/>
          <w:szCs w:val="24"/>
        </w:rPr>
        <w:t xml:space="preserve"> by </w:t>
      </w:r>
      <w:r w:rsidR="00BB13F1" w:rsidRPr="00166D64">
        <w:rPr>
          <w:rStyle w:val="Hyperlink"/>
          <w:b/>
          <w:color w:val="000000"/>
          <w:szCs w:val="24"/>
          <w:u w:val="none"/>
        </w:rPr>
        <w:t xml:space="preserve">April </w:t>
      </w:r>
      <w:r w:rsidR="00A106FF">
        <w:rPr>
          <w:rStyle w:val="Hyperlink"/>
          <w:b/>
          <w:color w:val="000000"/>
          <w:szCs w:val="24"/>
          <w:u w:val="none"/>
        </w:rPr>
        <w:t>16</w:t>
      </w:r>
      <w:r w:rsidR="00753CA7" w:rsidRPr="00166D64">
        <w:rPr>
          <w:rStyle w:val="Hyperlink"/>
          <w:b/>
          <w:color w:val="000000"/>
          <w:szCs w:val="24"/>
          <w:u w:val="none"/>
        </w:rPr>
        <w:t>, 2009</w:t>
      </w:r>
      <w:r w:rsidR="00867E34" w:rsidRPr="00867E34">
        <w:rPr>
          <w:b/>
          <w:bCs/>
          <w:iCs/>
          <w:color w:val="000000"/>
          <w:szCs w:val="24"/>
        </w:rPr>
        <w:t>, end</w:t>
      </w:r>
      <w:r w:rsidR="004912B6" w:rsidRPr="00867E34">
        <w:rPr>
          <w:b/>
          <w:bCs/>
          <w:iCs/>
          <w:color w:val="000000"/>
          <w:szCs w:val="24"/>
        </w:rPr>
        <w:t xml:space="preserve"> of business day</w:t>
      </w:r>
      <w:r w:rsidRPr="00867E34">
        <w:rPr>
          <w:b/>
          <w:bCs/>
          <w:color w:val="000000"/>
          <w:szCs w:val="24"/>
        </w:rPr>
        <w:t>.</w:t>
      </w:r>
      <w:r w:rsidRPr="00867E34">
        <w:rPr>
          <w:caps/>
          <w:color w:val="000000"/>
          <w:szCs w:val="24"/>
        </w:rPr>
        <w:t xml:space="preserve">  </w:t>
      </w:r>
    </w:p>
    <w:p w:rsidR="00F3352E" w:rsidRDefault="00F3352E" w:rsidP="00166D64">
      <w:pPr>
        <w:pStyle w:val="BodyText"/>
        <w:spacing w:before="360"/>
        <w:outlineLvl w:val="0"/>
        <w:rPr>
          <w:rFonts w:ascii="Arial Black" w:hAnsi="Arial Black"/>
          <w:b/>
          <w:sz w:val="22"/>
          <w:szCs w:val="22"/>
        </w:rPr>
      </w:pPr>
      <w:r>
        <w:rPr>
          <w:rFonts w:ascii="Arial Black" w:hAnsi="Arial Black"/>
          <w:b/>
          <w:sz w:val="22"/>
          <w:szCs w:val="22"/>
        </w:rPr>
        <w:t>Submission</w:t>
      </w:r>
      <w:r w:rsidR="00C97DCE">
        <w:rPr>
          <w:rFonts w:ascii="Arial Black" w:hAnsi="Arial Black"/>
          <w:b/>
          <w:sz w:val="22"/>
          <w:szCs w:val="22"/>
        </w:rPr>
        <w:t xml:space="preserve"> of Proposals</w:t>
      </w:r>
    </w:p>
    <w:p w:rsidR="00F3352E" w:rsidRPr="00F3352E" w:rsidRDefault="00F3352E" w:rsidP="00F3352E">
      <w:pPr>
        <w:pStyle w:val="BodyText"/>
        <w:spacing w:line="240" w:lineRule="auto"/>
        <w:outlineLvl w:val="0"/>
        <w:rPr>
          <w:rFonts w:ascii="Arial Black" w:hAnsi="Arial Black"/>
          <w:b/>
          <w:sz w:val="12"/>
          <w:szCs w:val="12"/>
        </w:rPr>
      </w:pPr>
    </w:p>
    <w:p w:rsidR="00BF5C0D" w:rsidRDefault="00F3352E" w:rsidP="00BF5C0D">
      <w:pPr>
        <w:pStyle w:val="BodyText"/>
        <w:outlineLvl w:val="0"/>
        <w:rPr>
          <w:szCs w:val="24"/>
        </w:rPr>
      </w:pPr>
      <w:r>
        <w:rPr>
          <w:szCs w:val="24"/>
        </w:rPr>
        <w:t xml:space="preserve">Proposals should </w:t>
      </w:r>
      <w:r w:rsidRPr="00F3352E">
        <w:rPr>
          <w:szCs w:val="24"/>
        </w:rPr>
        <w:t>include the following:</w:t>
      </w:r>
      <w:r w:rsidR="00BF5C0D" w:rsidRPr="00406BF7">
        <w:rPr>
          <w:szCs w:val="24"/>
        </w:rPr>
        <w:t xml:space="preserve">  </w:t>
      </w:r>
    </w:p>
    <w:p w:rsidR="00F3352E" w:rsidRPr="008E5EA1" w:rsidRDefault="00F3352E" w:rsidP="00BF5C0D">
      <w:pPr>
        <w:pStyle w:val="BodyText"/>
        <w:outlineLvl w:val="0"/>
        <w:rPr>
          <w:sz w:val="22"/>
          <w:szCs w:val="22"/>
        </w:rPr>
      </w:pPr>
    </w:p>
    <w:p w:rsidR="00F3352E" w:rsidRPr="002B211A" w:rsidRDefault="0081770C" w:rsidP="00F37F80">
      <w:pPr>
        <w:numPr>
          <w:ilvl w:val="0"/>
          <w:numId w:val="28"/>
        </w:numPr>
        <w:spacing w:after="120"/>
        <w:ind w:right="-360"/>
        <w:rPr>
          <w:szCs w:val="24"/>
        </w:rPr>
      </w:pPr>
      <w:r w:rsidRPr="009B6A72">
        <w:rPr>
          <w:color w:val="000000"/>
          <w:szCs w:val="24"/>
        </w:rPr>
        <w:t>Name, address, telephone and fax numbers, and federal tax identification number.  Note that if a sole proprietorship using its social security number is awarded a contract, the social security number will be required prior to finalizing a contract.</w:t>
      </w:r>
      <w:r>
        <w:rPr>
          <w:color w:val="000000"/>
          <w:szCs w:val="24"/>
        </w:rPr>
        <w:t xml:space="preserve">  </w:t>
      </w:r>
      <w:r w:rsidRPr="002B211A">
        <w:rPr>
          <w:szCs w:val="24"/>
        </w:rPr>
        <w:t xml:space="preserve">This information </w:t>
      </w:r>
      <w:r>
        <w:rPr>
          <w:szCs w:val="24"/>
        </w:rPr>
        <w:t>is</w:t>
      </w:r>
      <w:r w:rsidRPr="002B211A">
        <w:rPr>
          <w:szCs w:val="24"/>
        </w:rPr>
        <w:t xml:space="preserve"> entered on Attachment 1, Payee Data Record</w:t>
      </w:r>
      <w:r>
        <w:rPr>
          <w:szCs w:val="24"/>
        </w:rPr>
        <w:t xml:space="preserve"> Form</w:t>
      </w:r>
      <w:r w:rsidR="00F37F80" w:rsidRPr="002B211A">
        <w:rPr>
          <w:szCs w:val="24"/>
        </w:rPr>
        <w:t>.</w:t>
      </w:r>
    </w:p>
    <w:p w:rsidR="00F3352E" w:rsidRDefault="00F3352E" w:rsidP="00F3352E">
      <w:pPr>
        <w:numPr>
          <w:ilvl w:val="0"/>
          <w:numId w:val="28"/>
        </w:numPr>
        <w:spacing w:after="120"/>
      </w:pPr>
      <w:r>
        <w:t>N</w:t>
      </w:r>
      <w:r w:rsidRPr="00D74462">
        <w:rPr>
          <w:color w:val="000000"/>
        </w:rPr>
        <w:t xml:space="preserve">ames, </w:t>
      </w:r>
      <w:r>
        <w:rPr>
          <w:color w:val="000000"/>
        </w:rPr>
        <w:t xml:space="preserve">physical and electronic </w:t>
      </w:r>
      <w:r w:rsidRPr="00D74462">
        <w:rPr>
          <w:color w:val="000000"/>
        </w:rPr>
        <w:t>addresses</w:t>
      </w:r>
      <w:r>
        <w:rPr>
          <w:color w:val="000000"/>
        </w:rPr>
        <w:t>,</w:t>
      </w:r>
      <w:r w:rsidRPr="00D74462">
        <w:rPr>
          <w:color w:val="000000"/>
        </w:rPr>
        <w:t xml:space="preserve"> and telephone numbers of a minimum of t</w:t>
      </w:r>
      <w:r>
        <w:rPr>
          <w:color w:val="000000"/>
        </w:rPr>
        <w:t>wo</w:t>
      </w:r>
      <w:r w:rsidRPr="00D74462">
        <w:rPr>
          <w:color w:val="000000"/>
        </w:rPr>
        <w:t xml:space="preserve"> (</w:t>
      </w:r>
      <w:r>
        <w:rPr>
          <w:color w:val="000000"/>
        </w:rPr>
        <w:t>2</w:t>
      </w:r>
      <w:r w:rsidRPr="00D74462">
        <w:rPr>
          <w:color w:val="000000"/>
        </w:rPr>
        <w:t xml:space="preserve">) clients for whom the </w:t>
      </w:r>
      <w:r>
        <w:rPr>
          <w:color w:val="000000"/>
        </w:rPr>
        <w:t>consultant</w:t>
      </w:r>
      <w:r w:rsidRPr="00D74462">
        <w:rPr>
          <w:color w:val="000000"/>
        </w:rPr>
        <w:t xml:space="preserve"> has </w:t>
      </w:r>
      <w:r>
        <w:rPr>
          <w:color w:val="000000"/>
        </w:rPr>
        <w:t xml:space="preserve">developed </w:t>
      </w:r>
      <w:r w:rsidR="00945BFF">
        <w:rPr>
          <w:color w:val="000000"/>
        </w:rPr>
        <w:t xml:space="preserve">a </w:t>
      </w:r>
      <w:r>
        <w:rPr>
          <w:color w:val="000000"/>
        </w:rPr>
        <w:t>full curriculum</w:t>
      </w:r>
      <w:r w:rsidR="00945BFF">
        <w:rPr>
          <w:color w:val="000000"/>
        </w:rPr>
        <w:t xml:space="preserve"> as described in the technical portion of this RFP</w:t>
      </w:r>
      <w:r w:rsidR="002B211A">
        <w:rPr>
          <w:color w:val="000000"/>
        </w:rPr>
        <w:t>.</w:t>
      </w:r>
      <w:r>
        <w:rPr>
          <w:color w:val="000000"/>
        </w:rPr>
        <w:t xml:space="preserve"> </w:t>
      </w:r>
      <w:r w:rsidR="002B211A">
        <w:rPr>
          <w:color w:val="000000"/>
        </w:rPr>
        <w:t xml:space="preserve"> </w:t>
      </w:r>
      <w:r>
        <w:t>The AOC may check references listed.</w:t>
      </w:r>
    </w:p>
    <w:p w:rsidR="00F3352E" w:rsidRPr="00E00C81" w:rsidRDefault="006E7E6A" w:rsidP="00F3352E">
      <w:pPr>
        <w:numPr>
          <w:ilvl w:val="0"/>
          <w:numId w:val="28"/>
        </w:numPr>
        <w:spacing w:after="120"/>
        <w:rPr>
          <w:szCs w:val="24"/>
        </w:rPr>
      </w:pPr>
      <w:r>
        <w:rPr>
          <w:color w:val="000000"/>
        </w:rPr>
        <w:t>N</w:t>
      </w:r>
      <w:r w:rsidRPr="00D74462">
        <w:rPr>
          <w:color w:val="000000"/>
        </w:rPr>
        <w:t xml:space="preserve">ames, </w:t>
      </w:r>
      <w:r>
        <w:rPr>
          <w:color w:val="000000"/>
        </w:rPr>
        <w:t xml:space="preserve">physical and electronic </w:t>
      </w:r>
      <w:r w:rsidRPr="00D74462">
        <w:rPr>
          <w:color w:val="000000"/>
        </w:rPr>
        <w:t>addresses</w:t>
      </w:r>
      <w:r>
        <w:rPr>
          <w:color w:val="000000"/>
        </w:rPr>
        <w:t>,</w:t>
      </w:r>
      <w:r w:rsidRPr="00D74462">
        <w:rPr>
          <w:color w:val="000000"/>
        </w:rPr>
        <w:t xml:space="preserve"> and telephone numbers of a minimum of t</w:t>
      </w:r>
      <w:r>
        <w:rPr>
          <w:color w:val="000000"/>
        </w:rPr>
        <w:t>wo</w:t>
      </w:r>
      <w:r w:rsidRPr="00D74462">
        <w:rPr>
          <w:color w:val="000000"/>
        </w:rPr>
        <w:t xml:space="preserve"> (</w:t>
      </w:r>
      <w:r>
        <w:rPr>
          <w:color w:val="000000"/>
        </w:rPr>
        <w:t>2</w:t>
      </w:r>
      <w:r w:rsidRPr="00D74462">
        <w:rPr>
          <w:color w:val="000000"/>
        </w:rPr>
        <w:t>) clients for whom the</w:t>
      </w:r>
      <w:r w:rsidRPr="00E00C81">
        <w:t xml:space="preserve"> consultant has demonstrated the ability to identify, access, and utilize subject matter experts appropriate to topic area for which curriculum wa</w:t>
      </w:r>
      <w:r>
        <w:t xml:space="preserve">s </w:t>
      </w:r>
      <w:r w:rsidRPr="00E00C81">
        <w:t xml:space="preserve">developed.  </w:t>
      </w:r>
      <w:r w:rsidR="00F3352E" w:rsidRPr="00E00C81">
        <w:t>The AOC may check references</w:t>
      </w:r>
      <w:r w:rsidR="00F3352E" w:rsidRPr="00E00C81">
        <w:rPr>
          <w:szCs w:val="24"/>
        </w:rPr>
        <w:t>.</w:t>
      </w:r>
    </w:p>
    <w:p w:rsidR="00F3352E" w:rsidRPr="00E00C81" w:rsidRDefault="00F3352E" w:rsidP="00F3352E">
      <w:pPr>
        <w:numPr>
          <w:ilvl w:val="0"/>
          <w:numId w:val="28"/>
        </w:numPr>
        <w:spacing w:after="120"/>
        <w:rPr>
          <w:szCs w:val="24"/>
        </w:rPr>
      </w:pPr>
      <w:r w:rsidRPr="00E00C81">
        <w:t xml:space="preserve">Names and professional qualifications of subject matter expert that consultant expects to </w:t>
      </w:r>
      <w:r w:rsidR="00A769E5" w:rsidRPr="002B211A">
        <w:t xml:space="preserve">utilize </w:t>
      </w:r>
      <w:r w:rsidRPr="002B211A">
        <w:t>for</w:t>
      </w:r>
      <w:r w:rsidRPr="00E00C81">
        <w:t xml:space="preserve"> this</w:t>
      </w:r>
      <w:r w:rsidR="002B211A">
        <w:t xml:space="preserve"> project.</w:t>
      </w:r>
    </w:p>
    <w:p w:rsidR="00F3352E" w:rsidRPr="00E00C81" w:rsidRDefault="00F3352E" w:rsidP="008E5EA1">
      <w:pPr>
        <w:numPr>
          <w:ilvl w:val="0"/>
          <w:numId w:val="28"/>
        </w:numPr>
        <w:spacing w:after="200"/>
        <w:rPr>
          <w:szCs w:val="24"/>
        </w:rPr>
      </w:pPr>
      <w:r w:rsidRPr="00E00C81">
        <w:t xml:space="preserve">Describe key staff’s knowledge of the requirements necessary to develop the requested curriculum. </w:t>
      </w:r>
    </w:p>
    <w:p w:rsidR="005B7652" w:rsidRDefault="008E5EA1" w:rsidP="008E5EA1">
      <w:pPr>
        <w:ind w:right="-270"/>
        <w:rPr>
          <w:b/>
          <w:szCs w:val="24"/>
        </w:rPr>
      </w:pPr>
      <w:r w:rsidRPr="00A94A19">
        <w:rPr>
          <w:color w:val="000000"/>
        </w:rPr>
        <w:t xml:space="preserve">Proposers will submit one (1) </w:t>
      </w:r>
      <w:r>
        <w:rPr>
          <w:color w:val="000000"/>
        </w:rPr>
        <w:t xml:space="preserve">hard copy </w:t>
      </w:r>
      <w:r w:rsidRPr="00A94A19">
        <w:rPr>
          <w:color w:val="000000"/>
        </w:rPr>
        <w:t>original of the proposal</w:t>
      </w:r>
      <w:r>
        <w:rPr>
          <w:color w:val="000000"/>
        </w:rPr>
        <w:t xml:space="preserve">, a completed Attachment 1:        </w:t>
      </w:r>
      <w:r>
        <w:rPr>
          <w:szCs w:val="24"/>
        </w:rPr>
        <w:t>Payee Data Record</w:t>
      </w:r>
      <w:r w:rsidRPr="00A94A19">
        <w:rPr>
          <w:color w:val="000000"/>
        </w:rPr>
        <w:t xml:space="preserve"> </w:t>
      </w:r>
      <w:r w:rsidR="000E5065">
        <w:rPr>
          <w:color w:val="000000"/>
        </w:rPr>
        <w:t xml:space="preserve">Form </w:t>
      </w:r>
      <w:r>
        <w:rPr>
          <w:color w:val="000000"/>
        </w:rPr>
        <w:t xml:space="preserve">and </w:t>
      </w:r>
      <w:r w:rsidRPr="00A94A19">
        <w:rPr>
          <w:color w:val="000000"/>
        </w:rPr>
        <w:t xml:space="preserve">an electronic version of </w:t>
      </w:r>
      <w:r>
        <w:rPr>
          <w:color w:val="000000"/>
        </w:rPr>
        <w:t>both</w:t>
      </w:r>
      <w:r w:rsidRPr="00A94A19">
        <w:rPr>
          <w:color w:val="000000"/>
        </w:rPr>
        <w:t xml:space="preserve"> on CD-ROM</w:t>
      </w:r>
      <w:r>
        <w:rPr>
          <w:color w:val="000000"/>
        </w:rPr>
        <w:t xml:space="preserve"> by </w:t>
      </w:r>
      <w:r w:rsidR="00753493" w:rsidRPr="006E7E6A">
        <w:rPr>
          <w:rStyle w:val="Hyperlink"/>
          <w:b/>
          <w:color w:val="000000"/>
          <w:u w:val="none"/>
        </w:rPr>
        <w:t xml:space="preserve">April </w:t>
      </w:r>
      <w:r w:rsidR="00A106FF">
        <w:rPr>
          <w:rStyle w:val="Hyperlink"/>
          <w:b/>
          <w:color w:val="000000"/>
          <w:u w:val="none"/>
        </w:rPr>
        <w:t>23</w:t>
      </w:r>
      <w:r w:rsidR="00753493" w:rsidRPr="006E7E6A">
        <w:rPr>
          <w:rStyle w:val="Hyperlink"/>
          <w:b/>
          <w:color w:val="000000"/>
          <w:u w:val="none"/>
        </w:rPr>
        <w:t>, 2009</w:t>
      </w:r>
      <w:r w:rsidR="00753493" w:rsidRPr="006E7E6A">
        <w:rPr>
          <w:b/>
          <w:szCs w:val="24"/>
        </w:rPr>
        <w:t xml:space="preserve">, </w:t>
      </w:r>
      <w:r w:rsidR="00166D64" w:rsidRPr="006E7E6A">
        <w:rPr>
          <w:b/>
          <w:bCs/>
          <w:iCs/>
          <w:color w:val="000000"/>
          <w:szCs w:val="24"/>
        </w:rPr>
        <w:t>end of business day</w:t>
      </w:r>
      <w:r w:rsidR="00166D64" w:rsidRPr="006E7E6A">
        <w:rPr>
          <w:bCs/>
          <w:iCs/>
          <w:color w:val="000000"/>
          <w:szCs w:val="24"/>
        </w:rPr>
        <w:t xml:space="preserve"> to:</w:t>
      </w:r>
      <w:r w:rsidR="00753493" w:rsidRPr="006E7E6A">
        <w:rPr>
          <w:b/>
          <w:szCs w:val="24"/>
        </w:rPr>
        <w:t xml:space="preserve"> </w:t>
      </w:r>
    </w:p>
    <w:p w:rsidR="00BD3FC5" w:rsidRDefault="00BD3FC5" w:rsidP="008E5EA1">
      <w:pPr>
        <w:ind w:right="-270"/>
        <w:rPr>
          <w:b/>
          <w:szCs w:val="24"/>
        </w:rPr>
      </w:pPr>
    </w:p>
    <w:p w:rsidR="00BD3FC5" w:rsidRPr="006E7E6A" w:rsidRDefault="00BD3FC5" w:rsidP="008E5EA1">
      <w:pPr>
        <w:ind w:right="-270"/>
        <w:rPr>
          <w:szCs w:val="24"/>
        </w:rPr>
      </w:pPr>
    </w:p>
    <w:p w:rsidR="00753493" w:rsidRDefault="00753493" w:rsidP="00522183">
      <w:pPr>
        <w:pStyle w:val="BodyText"/>
        <w:spacing w:before="120" w:line="240" w:lineRule="auto"/>
        <w:ind w:left="2520"/>
        <w:rPr>
          <w:szCs w:val="24"/>
        </w:rPr>
      </w:pPr>
      <w:r>
        <w:rPr>
          <w:szCs w:val="24"/>
        </w:rPr>
        <w:lastRenderedPageBreak/>
        <w:t>Judicial Council of California</w:t>
      </w:r>
    </w:p>
    <w:p w:rsidR="00753493" w:rsidRDefault="00753493" w:rsidP="00C97DCE">
      <w:pPr>
        <w:pStyle w:val="BodyText"/>
        <w:ind w:left="2520"/>
        <w:rPr>
          <w:szCs w:val="24"/>
        </w:rPr>
      </w:pPr>
      <w:r>
        <w:rPr>
          <w:szCs w:val="24"/>
        </w:rPr>
        <w:t>Administrative Office of the Courts</w:t>
      </w:r>
    </w:p>
    <w:p w:rsidR="00753493" w:rsidRDefault="00753493" w:rsidP="00C97DCE">
      <w:pPr>
        <w:pStyle w:val="BodyText"/>
        <w:ind w:left="2520"/>
        <w:rPr>
          <w:szCs w:val="24"/>
        </w:rPr>
      </w:pPr>
      <w:r>
        <w:rPr>
          <w:szCs w:val="24"/>
        </w:rPr>
        <w:t>Business Services</w:t>
      </w:r>
      <w:r w:rsidR="00524AAE">
        <w:rPr>
          <w:szCs w:val="24"/>
        </w:rPr>
        <w:t xml:space="preserve">, RFP: </w:t>
      </w:r>
      <w:r>
        <w:rPr>
          <w:szCs w:val="24"/>
        </w:rPr>
        <w:t xml:space="preserve"> CFCC 08-09 </w:t>
      </w:r>
      <w:r w:rsidR="004912B6">
        <w:t>Juv</w:t>
      </w:r>
      <w:r w:rsidR="00867E34">
        <w:t>.</w:t>
      </w:r>
      <w:r w:rsidR="004912B6">
        <w:t xml:space="preserve"> </w:t>
      </w:r>
      <w:r w:rsidR="004912B6" w:rsidRPr="00A81D6C">
        <w:rPr>
          <w:color w:val="000000"/>
        </w:rPr>
        <w:t>Ct</w:t>
      </w:r>
      <w:r w:rsidR="00867E34">
        <w:rPr>
          <w:color w:val="000000"/>
        </w:rPr>
        <w:t>.</w:t>
      </w:r>
      <w:r w:rsidR="004912B6" w:rsidRPr="00A81D6C">
        <w:rPr>
          <w:color w:val="000000"/>
        </w:rPr>
        <w:t xml:space="preserve"> Ed</w:t>
      </w:r>
      <w:r w:rsidR="00867E34">
        <w:rPr>
          <w:color w:val="000000"/>
        </w:rPr>
        <w:t>.</w:t>
      </w:r>
      <w:r w:rsidR="004912B6" w:rsidRPr="00A81D6C">
        <w:rPr>
          <w:color w:val="000000"/>
        </w:rPr>
        <w:t xml:space="preserve"> Proj</w:t>
      </w:r>
      <w:r w:rsidR="00867E34">
        <w:rPr>
          <w:color w:val="000000"/>
        </w:rPr>
        <w:t>.</w:t>
      </w:r>
      <w:r w:rsidR="004912B6" w:rsidRPr="00A81D6C">
        <w:rPr>
          <w:color w:val="000000"/>
        </w:rPr>
        <w:t>-LM</w:t>
      </w:r>
    </w:p>
    <w:p w:rsidR="00753493" w:rsidRDefault="00753493" w:rsidP="00C97DCE">
      <w:pPr>
        <w:pStyle w:val="BodyText"/>
        <w:ind w:left="2520"/>
        <w:rPr>
          <w:szCs w:val="24"/>
        </w:rPr>
      </w:pPr>
      <w:smartTag w:uri="urn:schemas-microsoft-com:office:smarttags" w:element="Street">
        <w:smartTag w:uri="urn:schemas-microsoft-com:office:smarttags" w:element="address">
          <w:r>
            <w:rPr>
              <w:szCs w:val="24"/>
            </w:rPr>
            <w:t>455 Golden Gate Avenue</w:t>
          </w:r>
        </w:smartTag>
      </w:smartTag>
    </w:p>
    <w:p w:rsidR="00753493" w:rsidRDefault="00753493" w:rsidP="00C97DCE">
      <w:pPr>
        <w:pStyle w:val="BodyText"/>
        <w:ind w:left="2520"/>
        <w:rPr>
          <w:szCs w:val="24"/>
        </w:rPr>
      </w:pPr>
      <w:smartTag w:uri="urn:schemas-microsoft-com:office:smarttags" w:element="place">
        <w:smartTag w:uri="urn:schemas-microsoft-com:office:smarttags" w:element="City">
          <w:r>
            <w:rPr>
              <w:szCs w:val="24"/>
            </w:rPr>
            <w:t>San Francisco</w:t>
          </w:r>
        </w:smartTag>
        <w:r>
          <w:rPr>
            <w:szCs w:val="24"/>
          </w:rPr>
          <w:t xml:space="preserve">, </w:t>
        </w:r>
        <w:smartTag w:uri="urn:schemas-microsoft-com:office:smarttags" w:element="State">
          <w:r>
            <w:rPr>
              <w:szCs w:val="24"/>
            </w:rPr>
            <w:t>CA</w:t>
          </w:r>
        </w:smartTag>
        <w:r>
          <w:rPr>
            <w:szCs w:val="24"/>
          </w:rPr>
          <w:t xml:space="preserve">  </w:t>
        </w:r>
        <w:smartTag w:uri="urn:schemas-microsoft-com:office:smarttags" w:element="PostalCode">
          <w:r>
            <w:rPr>
              <w:szCs w:val="24"/>
            </w:rPr>
            <w:t>94102-3688</w:t>
          </w:r>
        </w:smartTag>
      </w:smartTag>
    </w:p>
    <w:p w:rsidR="008E5EA1" w:rsidRDefault="008E5EA1" w:rsidP="003E3523">
      <w:pPr>
        <w:pStyle w:val="BodyText"/>
        <w:outlineLvl w:val="0"/>
      </w:pPr>
    </w:p>
    <w:p w:rsidR="00066A42" w:rsidRDefault="003E3523" w:rsidP="003E3523">
      <w:pPr>
        <w:pStyle w:val="BodyText"/>
        <w:outlineLvl w:val="0"/>
        <w:sectPr w:rsidR="00066A42">
          <w:headerReference w:type="default" r:id="rId9"/>
          <w:headerReference w:type="first" r:id="rId10"/>
          <w:pgSz w:w="12240" w:h="15840" w:code="1"/>
          <w:pgMar w:top="720" w:right="1440" w:bottom="1440" w:left="1440" w:header="720" w:footer="720" w:gutter="0"/>
          <w:cols w:space="720"/>
          <w:formProt w:val="0"/>
          <w:titlePg/>
        </w:sectPr>
      </w:pPr>
      <w:r>
        <w:t>We look forward to hearing from you</w:t>
      </w:r>
      <w:r w:rsidR="006E7E6A">
        <w:t xml:space="preserve">.  </w:t>
      </w:r>
      <w:r>
        <w:t>Thank you for your interest in this project.</w:t>
      </w:r>
    </w:p>
    <w:p w:rsidR="00F85068" w:rsidRDefault="00F85068" w:rsidP="00FF5762"/>
    <w:sectPr w:rsidR="00F85068">
      <w:headerReference w:type="first" r:id="rId11"/>
      <w:pgSz w:w="12240" w:h="15840" w:code="1"/>
      <w:pgMar w:top="720" w:right="1440" w:bottom="1440" w:left="1440" w:header="720" w:footer="72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230" w:rsidRDefault="002D1230">
      <w:r>
        <w:separator/>
      </w:r>
    </w:p>
  </w:endnote>
  <w:endnote w:type="continuationSeparator" w:id="1">
    <w:p w:rsidR="002D1230" w:rsidRDefault="002D12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230" w:rsidRDefault="002D1230">
      <w:r>
        <w:separator/>
      </w:r>
    </w:p>
  </w:footnote>
  <w:footnote w:type="continuationSeparator" w:id="1">
    <w:p w:rsidR="002D1230" w:rsidRDefault="002D12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EE" w:rsidRDefault="00215FEE" w:rsidP="0054244D">
    <w:pPr>
      <w:pStyle w:val="Header"/>
    </w:pPr>
    <w:r>
      <w:t>Request for Proposal – Curriculum Development-LM</w:t>
    </w:r>
  </w:p>
  <w:p w:rsidR="00215FEE" w:rsidRPr="00A106FF" w:rsidRDefault="00215FEE" w:rsidP="000879BF">
    <w:pPr>
      <w:pStyle w:val="HeaderPageNumber"/>
      <w:spacing w:after="0"/>
    </w:pPr>
    <w:r w:rsidRPr="00A106FF">
      <w:t>April 10, 2009</w:t>
    </w:r>
  </w:p>
  <w:p w:rsidR="00215FEE" w:rsidRDefault="00215FEE" w:rsidP="000879BF">
    <w:pPr>
      <w:pStyle w:val="HeaderPageNumber"/>
      <w:spacing w:after="240"/>
    </w:pPr>
    <w:r>
      <w:t xml:space="preserve">Page </w:t>
    </w:r>
    <w:fldSimple w:instr=" PAGE  \* MERGEFORMAT ">
      <w:r w:rsidR="005B0EB2">
        <w:rPr>
          <w:noProof/>
        </w:rPr>
        <w:t>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Layout w:type="fixed"/>
      <w:tblLook w:val="0000"/>
    </w:tblPr>
    <w:tblGrid>
      <w:gridCol w:w="9360"/>
    </w:tblGrid>
    <w:tr w:rsidR="00215FEE">
      <w:tblPrEx>
        <w:tblCellMar>
          <w:top w:w="0" w:type="dxa"/>
          <w:bottom w:w="0" w:type="dxa"/>
        </w:tblCellMar>
      </w:tblPrEx>
      <w:tc>
        <w:tcPr>
          <w:tcW w:w="9360" w:type="dxa"/>
        </w:tcPr>
        <w:p w:rsidR="00215FEE" w:rsidRDefault="005B0EB2">
          <w:pPr>
            <w:jc w:val="center"/>
          </w:pPr>
          <w:r>
            <w:rPr>
              <w:rFonts w:ascii="Arial" w:hAnsi="Arial"/>
              <w:noProof/>
              <w:sz w:val="20"/>
            </w:rPr>
            <w:drawing>
              <wp:inline distT="0" distB="0" distL="0" distR="0">
                <wp:extent cx="2590800" cy="1295400"/>
                <wp:effectExtent l="19050" t="0" r="0"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90800" cy="1295400"/>
                        </a:xfrm>
                        <a:prstGeom prst="rect">
                          <a:avLst/>
                        </a:prstGeom>
                        <a:noFill/>
                        <a:ln w="9525">
                          <a:noFill/>
                          <a:miter lim="800000"/>
                          <a:headEnd/>
                          <a:tailEnd/>
                        </a:ln>
                      </pic:spPr>
                    </pic:pic>
                  </a:graphicData>
                </a:graphic>
              </wp:inline>
            </w:drawing>
          </w:r>
        </w:p>
        <w:p w:rsidR="00215FEE" w:rsidRDefault="00215FEE">
          <w:pPr>
            <w:pStyle w:val="JCCAddress1stline"/>
          </w:pPr>
          <w:smartTag w:uri="urn:schemas-microsoft-com:office:smarttags" w:element="Street">
            <w:smartTag w:uri="urn:schemas-microsoft-com:office:smarttags" w:element="address">
              <w:r>
                <w:t>455 Golden Gate Avenue</w:t>
              </w:r>
            </w:smartTag>
          </w:smartTag>
          <w:r>
            <w:t xml:space="preserve"> </w:t>
          </w:r>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215FEE" w:rsidRDefault="00215FEE">
          <w:pPr>
            <w:pStyle w:val="JCCAddress2ndline"/>
          </w:pPr>
          <w:r>
            <w:t xml:space="preserve">Telephone 415-865-4200 </w:t>
          </w:r>
          <w:r>
            <w:rPr>
              <w:position w:val="4"/>
              <w:sz w:val="40"/>
            </w:rPr>
            <w:t>.</w:t>
          </w:r>
          <w:r>
            <w:t xml:space="preserve"> Fax 415-865-4205 </w:t>
          </w:r>
          <w:r>
            <w:rPr>
              <w:position w:val="4"/>
              <w:sz w:val="40"/>
            </w:rPr>
            <w:t>.</w:t>
          </w:r>
          <w:r>
            <w:t xml:space="preserve"> TDD 415-865-4272</w:t>
          </w:r>
        </w:p>
        <w:p w:rsidR="00215FEE" w:rsidRDefault="00215FEE">
          <w:pPr>
            <w:jc w:val="center"/>
          </w:pPr>
        </w:p>
      </w:tc>
    </w:tr>
    <w:tr w:rsidR="00215FEE">
      <w:tblPrEx>
        <w:tblCellMar>
          <w:top w:w="0" w:type="dxa"/>
          <w:bottom w:w="0" w:type="dxa"/>
        </w:tblCellMar>
      </w:tblPrEx>
      <w:tc>
        <w:tcPr>
          <w:tcW w:w="9360" w:type="dxa"/>
          <w:tcBorders>
            <w:top w:val="single" w:sz="4" w:space="0" w:color="auto"/>
            <w:bottom w:val="single" w:sz="4" w:space="0" w:color="auto"/>
          </w:tcBorders>
        </w:tcPr>
        <w:p w:rsidR="00215FEE" w:rsidRDefault="00215FEE">
          <w:pPr>
            <w:jc w:val="center"/>
            <w:rPr>
              <w:sz w:val="12"/>
            </w:rPr>
          </w:pPr>
        </w:p>
        <w:p w:rsidR="00215FEE" w:rsidRDefault="00215FEE" w:rsidP="00F35068">
          <w:pPr>
            <w:pStyle w:val="MemoTitle"/>
          </w:pPr>
          <w:r>
            <w:t>request for proposal</w:t>
          </w:r>
        </w:p>
        <w:p w:rsidR="00215FEE" w:rsidRDefault="00215FEE">
          <w:pPr>
            <w:jc w:val="center"/>
            <w:rPr>
              <w:sz w:val="12"/>
            </w:rPr>
          </w:pPr>
          <w:r>
            <w:rPr>
              <w:sz w:val="12"/>
            </w:rPr>
            <w:t xml:space="preserve"> </w:t>
          </w:r>
        </w:p>
      </w:tc>
    </w:tr>
  </w:tbl>
  <w:p w:rsidR="00215FEE" w:rsidRDefault="00215FE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EE" w:rsidRPr="00657DCE" w:rsidRDefault="00215FEE" w:rsidP="00657D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2E73"/>
    <w:multiLevelType w:val="hybridMultilevel"/>
    <w:tmpl w:val="540CC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137F16"/>
    <w:multiLevelType w:val="hybridMultilevel"/>
    <w:tmpl w:val="5F467242"/>
    <w:lvl w:ilvl="0" w:tplc="02189B1E">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86A6F0A"/>
    <w:multiLevelType w:val="hybridMultilevel"/>
    <w:tmpl w:val="96DCFA2C"/>
    <w:lvl w:ilvl="0" w:tplc="7244F994">
      <w:start w:val="1"/>
      <w:numFmt w:val="bullet"/>
      <w:lvlText w:val=""/>
      <w:lvlJc w:val="left"/>
      <w:pPr>
        <w:tabs>
          <w:tab w:val="num" w:pos="1440"/>
        </w:tabs>
        <w:ind w:left="1440" w:hanging="360"/>
      </w:pPr>
      <w:rPr>
        <w:rFonts w:ascii="Wingdings" w:hAnsi="Wingdings" w:hint="default"/>
        <w:b w:val="0"/>
        <w:i w:val="0"/>
        <w:color w:val="auto"/>
      </w:rPr>
    </w:lvl>
    <w:lvl w:ilvl="1" w:tplc="04090001">
      <w:start w:val="1"/>
      <w:numFmt w:val="bullet"/>
      <w:lvlText w:val=""/>
      <w:lvlJc w:val="left"/>
      <w:pPr>
        <w:tabs>
          <w:tab w:val="num" w:pos="1440"/>
        </w:tabs>
        <w:ind w:left="1440" w:hanging="360"/>
      </w:pPr>
      <w:rPr>
        <w:rFonts w:ascii="Symbol" w:hAnsi="Symbol" w:hint="default"/>
        <w:b w:val="0"/>
        <w:i w:val="0"/>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color w:val="auto"/>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2825F4"/>
    <w:multiLevelType w:val="hybridMultilevel"/>
    <w:tmpl w:val="5BE49A24"/>
    <w:lvl w:ilvl="0" w:tplc="F2507284">
      <w:start w:val="1"/>
      <w:numFmt w:val="upperRoman"/>
      <w:lvlText w:val="%1."/>
      <w:lvlJc w:val="left"/>
      <w:pPr>
        <w:tabs>
          <w:tab w:val="num" w:pos="1080"/>
        </w:tabs>
        <w:ind w:left="1080" w:hanging="720"/>
      </w:pPr>
      <w:rPr>
        <w:rFonts w:hint="default"/>
      </w:rPr>
    </w:lvl>
    <w:lvl w:ilvl="1" w:tplc="B87ACE92">
      <w:start w:val="1"/>
      <w:numFmt w:val="upperLetter"/>
      <w:lvlText w:val="%2."/>
      <w:lvlJc w:val="left"/>
      <w:pPr>
        <w:tabs>
          <w:tab w:val="num" w:pos="1440"/>
        </w:tabs>
        <w:ind w:left="1440" w:hanging="360"/>
      </w:pPr>
      <w:rPr>
        <w:rFonts w:hint="default"/>
      </w:rPr>
    </w:lvl>
    <w:lvl w:ilvl="2" w:tplc="B82290CC">
      <w:start w:val="1"/>
      <w:numFmt w:val="decimal"/>
      <w:lvlText w:val="%3."/>
      <w:lvlJc w:val="left"/>
      <w:pPr>
        <w:tabs>
          <w:tab w:val="num" w:pos="2340"/>
        </w:tabs>
        <w:ind w:left="2340" w:hanging="360"/>
      </w:pPr>
      <w:rPr>
        <w:rFonts w:hint="default"/>
      </w:rPr>
    </w:lvl>
    <w:lvl w:ilvl="3" w:tplc="10F29B96">
      <w:start w:val="1"/>
      <w:numFmt w:val="lowerRoman"/>
      <w:lvlText w:val="%4."/>
      <w:lvlJc w:val="left"/>
      <w:pPr>
        <w:tabs>
          <w:tab w:val="num" w:pos="3240"/>
        </w:tabs>
        <w:ind w:left="3240" w:hanging="720"/>
      </w:pPr>
      <w:rPr>
        <w:rFonts w:hint="default"/>
      </w:rPr>
    </w:lvl>
    <w:lvl w:ilvl="4" w:tplc="C5C0103A">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C5494B"/>
    <w:multiLevelType w:val="hybridMultilevel"/>
    <w:tmpl w:val="0AF491DE"/>
    <w:lvl w:ilvl="0" w:tplc="04090005">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A61B9C"/>
    <w:multiLevelType w:val="hybridMultilevel"/>
    <w:tmpl w:val="B5CAA7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4D7C4C"/>
    <w:multiLevelType w:val="multilevel"/>
    <w:tmpl w:val="A4C8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3C4C39"/>
    <w:multiLevelType w:val="hybridMultilevel"/>
    <w:tmpl w:val="EABCE81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
    <w:nsid w:val="12642E44"/>
    <w:multiLevelType w:val="hybridMultilevel"/>
    <w:tmpl w:val="64FA629A"/>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456F83"/>
    <w:multiLevelType w:val="hybridMultilevel"/>
    <w:tmpl w:val="81EEF808"/>
    <w:lvl w:ilvl="0" w:tplc="6A2EEE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A008D9"/>
    <w:multiLevelType w:val="hybridMultilevel"/>
    <w:tmpl w:val="5BD6875E"/>
    <w:lvl w:ilvl="0" w:tplc="04090005">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864E2F"/>
    <w:multiLevelType w:val="hybridMultilevel"/>
    <w:tmpl w:val="6B76FBF4"/>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2">
    <w:nsid w:val="2248502D"/>
    <w:multiLevelType w:val="hybridMultilevel"/>
    <w:tmpl w:val="4C58477E"/>
    <w:lvl w:ilvl="0" w:tplc="97E6D506">
      <w:start w:val="1"/>
      <w:numFmt w:val="bullet"/>
      <w:lvlText w:val=""/>
      <w:lvlJc w:val="left"/>
      <w:pPr>
        <w:tabs>
          <w:tab w:val="num" w:pos="72"/>
        </w:tabs>
        <w:ind w:left="0" w:firstLine="7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8304E3"/>
    <w:multiLevelType w:val="hybridMultilevel"/>
    <w:tmpl w:val="B0842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E263F0"/>
    <w:multiLevelType w:val="hybridMultilevel"/>
    <w:tmpl w:val="58B4642A"/>
    <w:lvl w:ilvl="0" w:tplc="04090005">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F86635"/>
    <w:multiLevelType w:val="hybridMultilevel"/>
    <w:tmpl w:val="C466FC6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31967177"/>
    <w:multiLevelType w:val="hybridMultilevel"/>
    <w:tmpl w:val="42D2EC4C"/>
    <w:lvl w:ilvl="0" w:tplc="0409000F">
      <w:start w:val="1"/>
      <w:numFmt w:val="decimal"/>
      <w:lvlText w:val="%1."/>
      <w:lvlJc w:val="left"/>
      <w:pPr>
        <w:tabs>
          <w:tab w:val="num" w:pos="720"/>
        </w:tabs>
        <w:ind w:left="720" w:hanging="360"/>
      </w:pPr>
    </w:lvl>
    <w:lvl w:ilvl="1" w:tplc="6A2EEE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592268"/>
    <w:multiLevelType w:val="hybridMultilevel"/>
    <w:tmpl w:val="5AD8A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5471A6"/>
    <w:multiLevelType w:val="hybridMultilevel"/>
    <w:tmpl w:val="A13AADC0"/>
    <w:lvl w:ilvl="0" w:tplc="73D66F3A">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BD16C8"/>
    <w:multiLevelType w:val="hybridMultilevel"/>
    <w:tmpl w:val="7B54C3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6C323D"/>
    <w:multiLevelType w:val="hybridMultilevel"/>
    <w:tmpl w:val="E392D736"/>
    <w:lvl w:ilvl="0" w:tplc="2DF69050">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nsid w:val="5B6D3EC0"/>
    <w:multiLevelType w:val="multilevel"/>
    <w:tmpl w:val="DB5C023E"/>
    <w:lvl w:ilvl="0">
      <w:start w:val="1"/>
      <w:numFmt w:val="bullet"/>
      <w:lvlText w:val=""/>
      <w:lvlJc w:val="left"/>
      <w:pPr>
        <w:tabs>
          <w:tab w:val="num" w:pos="1440"/>
        </w:tabs>
        <w:ind w:left="1440" w:hanging="360"/>
      </w:pPr>
      <w:rPr>
        <w:rFonts w:ascii="Wingdings" w:hAnsi="Wingdings"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67F6D67"/>
    <w:multiLevelType w:val="hybridMultilevel"/>
    <w:tmpl w:val="A002D83A"/>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3">
    <w:nsid w:val="671606EA"/>
    <w:multiLevelType w:val="hybridMultilevel"/>
    <w:tmpl w:val="DB5C023E"/>
    <w:lvl w:ilvl="0" w:tplc="7244F994">
      <w:start w:val="1"/>
      <w:numFmt w:val="bullet"/>
      <w:lvlText w:val=""/>
      <w:lvlJc w:val="left"/>
      <w:pPr>
        <w:tabs>
          <w:tab w:val="num" w:pos="1440"/>
        </w:tabs>
        <w:ind w:left="1440" w:hanging="360"/>
      </w:pPr>
      <w:rPr>
        <w:rFonts w:ascii="Wingdings" w:hAnsi="Wingding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251DB4"/>
    <w:multiLevelType w:val="hybridMultilevel"/>
    <w:tmpl w:val="A4DC1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441A8E"/>
    <w:multiLevelType w:val="hybridMultilevel"/>
    <w:tmpl w:val="D440592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6">
    <w:nsid w:val="6F1C41DC"/>
    <w:multiLevelType w:val="hybridMultilevel"/>
    <w:tmpl w:val="BEFA03D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3B14EB"/>
    <w:multiLevelType w:val="hybridMultilevel"/>
    <w:tmpl w:val="D5884DC8"/>
    <w:lvl w:ilvl="0" w:tplc="626EA01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33F7E43"/>
    <w:multiLevelType w:val="hybridMultilevel"/>
    <w:tmpl w:val="5E766E7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F42C03"/>
    <w:multiLevelType w:val="hybridMultilevel"/>
    <w:tmpl w:val="F3B658C4"/>
    <w:lvl w:ilvl="0" w:tplc="120CDE20">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nsid w:val="753A116C"/>
    <w:multiLevelType w:val="hybridMultilevel"/>
    <w:tmpl w:val="2ACACF26"/>
    <w:lvl w:ilvl="0" w:tplc="73D66F3A">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30"/>
  </w:num>
  <w:num w:numId="4">
    <w:abstractNumId w:val="18"/>
  </w:num>
  <w:num w:numId="5">
    <w:abstractNumId w:val="6"/>
  </w:num>
  <w:num w:numId="6">
    <w:abstractNumId w:val="13"/>
  </w:num>
  <w:num w:numId="7">
    <w:abstractNumId w:val="24"/>
  </w:num>
  <w:num w:numId="8">
    <w:abstractNumId w:val="26"/>
  </w:num>
  <w:num w:numId="9">
    <w:abstractNumId w:val="9"/>
  </w:num>
  <w:num w:numId="10">
    <w:abstractNumId w:val="28"/>
  </w:num>
  <w:num w:numId="11">
    <w:abstractNumId w:val="0"/>
  </w:num>
  <w:num w:numId="12">
    <w:abstractNumId w:val="17"/>
  </w:num>
  <w:num w:numId="13">
    <w:abstractNumId w:val="23"/>
  </w:num>
  <w:num w:numId="14">
    <w:abstractNumId w:val="21"/>
  </w:num>
  <w:num w:numId="15">
    <w:abstractNumId w:val="2"/>
  </w:num>
  <w:num w:numId="16">
    <w:abstractNumId w:val="11"/>
  </w:num>
  <w:num w:numId="17">
    <w:abstractNumId w:val="22"/>
  </w:num>
  <w:num w:numId="18">
    <w:abstractNumId w:val="7"/>
  </w:num>
  <w:num w:numId="19">
    <w:abstractNumId w:val="25"/>
  </w:num>
  <w:num w:numId="20">
    <w:abstractNumId w:val="15"/>
  </w:num>
  <w:num w:numId="21">
    <w:abstractNumId w:val="5"/>
  </w:num>
  <w:num w:numId="22">
    <w:abstractNumId w:val="3"/>
  </w:num>
  <w:num w:numId="23">
    <w:abstractNumId w:val="1"/>
  </w:num>
  <w:num w:numId="24">
    <w:abstractNumId w:val="20"/>
  </w:num>
  <w:num w:numId="25">
    <w:abstractNumId w:val="29"/>
  </w:num>
  <w:num w:numId="26">
    <w:abstractNumId w:val="27"/>
  </w:num>
  <w:num w:numId="27">
    <w:abstractNumId w:val="8"/>
  </w:num>
  <w:num w:numId="28">
    <w:abstractNumId w:val="19"/>
  </w:num>
  <w:num w:numId="29">
    <w:abstractNumId w:val="4"/>
  </w:num>
  <w:num w:numId="30">
    <w:abstractNumId w:val="14"/>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characterSpacingControl w:val="doNotCompress"/>
  <w:footnotePr>
    <w:footnote w:id="0"/>
    <w:footnote w:id="1"/>
  </w:footnotePr>
  <w:endnotePr>
    <w:endnote w:id="0"/>
    <w:endnote w:id="1"/>
  </w:endnotePr>
  <w:compat/>
  <w:rsids>
    <w:rsidRoot w:val="003E3523"/>
    <w:rsid w:val="000172EA"/>
    <w:rsid w:val="00020FC2"/>
    <w:rsid w:val="00026640"/>
    <w:rsid w:val="000303A6"/>
    <w:rsid w:val="00055961"/>
    <w:rsid w:val="00062914"/>
    <w:rsid w:val="00066A42"/>
    <w:rsid w:val="000853F5"/>
    <w:rsid w:val="000879BF"/>
    <w:rsid w:val="00092E8C"/>
    <w:rsid w:val="000A1678"/>
    <w:rsid w:val="000E1DA6"/>
    <w:rsid w:val="000E294E"/>
    <w:rsid w:val="000E5065"/>
    <w:rsid w:val="00102A32"/>
    <w:rsid w:val="00114B81"/>
    <w:rsid w:val="00121A10"/>
    <w:rsid w:val="00127EEC"/>
    <w:rsid w:val="00166D64"/>
    <w:rsid w:val="00195E84"/>
    <w:rsid w:val="001A5E77"/>
    <w:rsid w:val="00215FEE"/>
    <w:rsid w:val="002331D8"/>
    <w:rsid w:val="002337F4"/>
    <w:rsid w:val="00235CD7"/>
    <w:rsid w:val="00253237"/>
    <w:rsid w:val="00260391"/>
    <w:rsid w:val="00270201"/>
    <w:rsid w:val="00276B2E"/>
    <w:rsid w:val="0028062D"/>
    <w:rsid w:val="00290D4E"/>
    <w:rsid w:val="0029575D"/>
    <w:rsid w:val="00296E6B"/>
    <w:rsid w:val="002A50C7"/>
    <w:rsid w:val="002A7405"/>
    <w:rsid w:val="002B211A"/>
    <w:rsid w:val="002B6BD7"/>
    <w:rsid w:val="002D1230"/>
    <w:rsid w:val="002E2679"/>
    <w:rsid w:val="002E6022"/>
    <w:rsid w:val="003207E6"/>
    <w:rsid w:val="003356DC"/>
    <w:rsid w:val="00383B07"/>
    <w:rsid w:val="00384B59"/>
    <w:rsid w:val="00386A1E"/>
    <w:rsid w:val="003879DF"/>
    <w:rsid w:val="003935ED"/>
    <w:rsid w:val="003E0B0D"/>
    <w:rsid w:val="003E22B6"/>
    <w:rsid w:val="003E3523"/>
    <w:rsid w:val="003E4745"/>
    <w:rsid w:val="003E59B5"/>
    <w:rsid w:val="003F5A47"/>
    <w:rsid w:val="003F5DA1"/>
    <w:rsid w:val="003F6AA5"/>
    <w:rsid w:val="00410CA0"/>
    <w:rsid w:val="0042357B"/>
    <w:rsid w:val="004270CC"/>
    <w:rsid w:val="00451F43"/>
    <w:rsid w:val="00457E00"/>
    <w:rsid w:val="00465262"/>
    <w:rsid w:val="00486E23"/>
    <w:rsid w:val="00487E10"/>
    <w:rsid w:val="004912B6"/>
    <w:rsid w:val="004B768E"/>
    <w:rsid w:val="004E5FC0"/>
    <w:rsid w:val="004E6232"/>
    <w:rsid w:val="005051C4"/>
    <w:rsid w:val="005115B1"/>
    <w:rsid w:val="00522183"/>
    <w:rsid w:val="00524AAE"/>
    <w:rsid w:val="00536A76"/>
    <w:rsid w:val="0054244D"/>
    <w:rsid w:val="005A2F96"/>
    <w:rsid w:val="005A6D89"/>
    <w:rsid w:val="005A766F"/>
    <w:rsid w:val="005B0EB2"/>
    <w:rsid w:val="005B7652"/>
    <w:rsid w:val="005E1D11"/>
    <w:rsid w:val="005E3A5A"/>
    <w:rsid w:val="005F0BC3"/>
    <w:rsid w:val="00602666"/>
    <w:rsid w:val="006030DE"/>
    <w:rsid w:val="006446BB"/>
    <w:rsid w:val="00647F64"/>
    <w:rsid w:val="00657DCE"/>
    <w:rsid w:val="00663570"/>
    <w:rsid w:val="006868EE"/>
    <w:rsid w:val="006B051A"/>
    <w:rsid w:val="006B303C"/>
    <w:rsid w:val="006B7AA8"/>
    <w:rsid w:val="006C6E18"/>
    <w:rsid w:val="006C70F1"/>
    <w:rsid w:val="006D69FA"/>
    <w:rsid w:val="006E7E6A"/>
    <w:rsid w:val="006F2776"/>
    <w:rsid w:val="00711A80"/>
    <w:rsid w:val="0073169B"/>
    <w:rsid w:val="0073321A"/>
    <w:rsid w:val="00742CF2"/>
    <w:rsid w:val="00743C57"/>
    <w:rsid w:val="00751EF6"/>
    <w:rsid w:val="00753493"/>
    <w:rsid w:val="00753CA7"/>
    <w:rsid w:val="00782141"/>
    <w:rsid w:val="007A2EF2"/>
    <w:rsid w:val="007B6688"/>
    <w:rsid w:val="007B79AD"/>
    <w:rsid w:val="0081770C"/>
    <w:rsid w:val="00827E1F"/>
    <w:rsid w:val="00844013"/>
    <w:rsid w:val="00860170"/>
    <w:rsid w:val="00867E34"/>
    <w:rsid w:val="0089790A"/>
    <w:rsid w:val="008B4B5D"/>
    <w:rsid w:val="008D2438"/>
    <w:rsid w:val="008D62C8"/>
    <w:rsid w:val="008E3A35"/>
    <w:rsid w:val="008E5EA1"/>
    <w:rsid w:val="008E7A50"/>
    <w:rsid w:val="009128A7"/>
    <w:rsid w:val="00913CE1"/>
    <w:rsid w:val="00926963"/>
    <w:rsid w:val="00931772"/>
    <w:rsid w:val="00945BFF"/>
    <w:rsid w:val="00952063"/>
    <w:rsid w:val="009547D0"/>
    <w:rsid w:val="00970F4F"/>
    <w:rsid w:val="009807FA"/>
    <w:rsid w:val="0099010A"/>
    <w:rsid w:val="009908C2"/>
    <w:rsid w:val="00991C24"/>
    <w:rsid w:val="009B5FE5"/>
    <w:rsid w:val="009E5575"/>
    <w:rsid w:val="009F0A4E"/>
    <w:rsid w:val="009F7C1A"/>
    <w:rsid w:val="00A01E3A"/>
    <w:rsid w:val="00A106FF"/>
    <w:rsid w:val="00A12FBB"/>
    <w:rsid w:val="00A2387E"/>
    <w:rsid w:val="00A36027"/>
    <w:rsid w:val="00A40D07"/>
    <w:rsid w:val="00A46F38"/>
    <w:rsid w:val="00A70A11"/>
    <w:rsid w:val="00A75C11"/>
    <w:rsid w:val="00A769E5"/>
    <w:rsid w:val="00A81D6C"/>
    <w:rsid w:val="00A94914"/>
    <w:rsid w:val="00AA0CB3"/>
    <w:rsid w:val="00AA1FDA"/>
    <w:rsid w:val="00AA5AD1"/>
    <w:rsid w:val="00AC764B"/>
    <w:rsid w:val="00AD2D31"/>
    <w:rsid w:val="00AE11AE"/>
    <w:rsid w:val="00AE58D4"/>
    <w:rsid w:val="00B27619"/>
    <w:rsid w:val="00B449AF"/>
    <w:rsid w:val="00B54620"/>
    <w:rsid w:val="00B630E3"/>
    <w:rsid w:val="00B95A26"/>
    <w:rsid w:val="00BB13F1"/>
    <w:rsid w:val="00BC2451"/>
    <w:rsid w:val="00BC352C"/>
    <w:rsid w:val="00BD3FC5"/>
    <w:rsid w:val="00BE5F81"/>
    <w:rsid w:val="00BF0CE8"/>
    <w:rsid w:val="00BF5C0D"/>
    <w:rsid w:val="00C03F8F"/>
    <w:rsid w:val="00C110C3"/>
    <w:rsid w:val="00C1294F"/>
    <w:rsid w:val="00C13224"/>
    <w:rsid w:val="00C243F6"/>
    <w:rsid w:val="00C43712"/>
    <w:rsid w:val="00C460D2"/>
    <w:rsid w:val="00C56FC4"/>
    <w:rsid w:val="00C6543F"/>
    <w:rsid w:val="00C832D9"/>
    <w:rsid w:val="00C86A44"/>
    <w:rsid w:val="00C96972"/>
    <w:rsid w:val="00C97DCE"/>
    <w:rsid w:val="00CA0491"/>
    <w:rsid w:val="00CA331E"/>
    <w:rsid w:val="00CC01F1"/>
    <w:rsid w:val="00CC4812"/>
    <w:rsid w:val="00CC67F7"/>
    <w:rsid w:val="00CE34B7"/>
    <w:rsid w:val="00D12F84"/>
    <w:rsid w:val="00D23992"/>
    <w:rsid w:val="00D54EFB"/>
    <w:rsid w:val="00D55073"/>
    <w:rsid w:val="00D92D11"/>
    <w:rsid w:val="00DC3F5C"/>
    <w:rsid w:val="00DD2B9F"/>
    <w:rsid w:val="00DD2F60"/>
    <w:rsid w:val="00DD66D2"/>
    <w:rsid w:val="00DE081C"/>
    <w:rsid w:val="00DE7056"/>
    <w:rsid w:val="00DF0D27"/>
    <w:rsid w:val="00DF70F9"/>
    <w:rsid w:val="00E20FCB"/>
    <w:rsid w:val="00E236E2"/>
    <w:rsid w:val="00E33317"/>
    <w:rsid w:val="00E54F14"/>
    <w:rsid w:val="00E5761E"/>
    <w:rsid w:val="00E95C63"/>
    <w:rsid w:val="00EA6269"/>
    <w:rsid w:val="00EC0951"/>
    <w:rsid w:val="00ED4A32"/>
    <w:rsid w:val="00F03360"/>
    <w:rsid w:val="00F1697F"/>
    <w:rsid w:val="00F33047"/>
    <w:rsid w:val="00F3352E"/>
    <w:rsid w:val="00F3399D"/>
    <w:rsid w:val="00F35068"/>
    <w:rsid w:val="00F372E8"/>
    <w:rsid w:val="00F37F80"/>
    <w:rsid w:val="00F85068"/>
    <w:rsid w:val="00FF42E9"/>
    <w:rsid w:val="00FF4737"/>
    <w:rsid w:val="00FF5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523"/>
    <w:rPr>
      <w:rFonts w:eastAsia="Time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E3523"/>
    <w:pPr>
      <w:tabs>
        <w:tab w:val="left" w:pos="360"/>
      </w:tabs>
      <w:spacing w:line="300" w:lineRule="atLeast"/>
    </w:pPr>
  </w:style>
  <w:style w:type="paragraph" w:customStyle="1" w:styleId="JCCAddress2ndline">
    <w:name w:val="JCC Address 2nd line"/>
    <w:basedOn w:val="JCCAddress1stline"/>
    <w:rsid w:val="003E3523"/>
    <w:pPr>
      <w:spacing w:before="0"/>
    </w:pPr>
  </w:style>
  <w:style w:type="paragraph" w:customStyle="1" w:styleId="JCCAddress1stline">
    <w:name w:val="JCC Address 1st line"/>
    <w:basedOn w:val="Normal"/>
    <w:rsid w:val="003E3523"/>
    <w:pPr>
      <w:spacing w:before="360" w:line="280" w:lineRule="exact"/>
      <w:jc w:val="center"/>
    </w:pPr>
    <w:rPr>
      <w:rFonts w:ascii="Goudy Old Style" w:eastAsia="Times New Roman" w:hAnsi="Goudy Old Style"/>
      <w:sz w:val="17"/>
    </w:rPr>
  </w:style>
  <w:style w:type="paragraph" w:customStyle="1" w:styleId="MemoSubhead">
    <w:name w:val="Memo Subhead"/>
    <w:next w:val="MemoHeaderText"/>
    <w:rsid w:val="003E3523"/>
    <w:pPr>
      <w:ind w:left="-86"/>
    </w:pPr>
    <w:rPr>
      <w:rFonts w:ascii="Arial Black" w:hAnsi="Arial Black"/>
      <w:sz w:val="17"/>
    </w:rPr>
  </w:style>
  <w:style w:type="paragraph" w:customStyle="1" w:styleId="MemoHeaderText">
    <w:name w:val="Memo Header Text"/>
    <w:basedOn w:val="BodyText"/>
    <w:rsid w:val="003E3523"/>
    <w:pPr>
      <w:ind w:left="-86"/>
    </w:pPr>
  </w:style>
  <w:style w:type="paragraph" w:customStyle="1" w:styleId="HeaderPageNumber">
    <w:name w:val="Header Page Number"/>
    <w:basedOn w:val="Normal"/>
    <w:rsid w:val="003E3523"/>
    <w:pPr>
      <w:tabs>
        <w:tab w:val="center" w:pos="4320"/>
        <w:tab w:val="right" w:pos="8640"/>
      </w:tabs>
      <w:spacing w:after="600"/>
    </w:pPr>
  </w:style>
  <w:style w:type="paragraph" w:customStyle="1" w:styleId="MemoTitle">
    <w:name w:val="Memo Title"/>
    <w:next w:val="BodyText"/>
    <w:rsid w:val="003E3523"/>
    <w:pPr>
      <w:jc w:val="center"/>
    </w:pPr>
    <w:rPr>
      <w:rFonts w:ascii="Goudy Old Style" w:hAnsi="Goudy Old Style"/>
      <w:caps/>
      <w:spacing w:val="80"/>
      <w:sz w:val="36"/>
    </w:rPr>
  </w:style>
  <w:style w:type="paragraph" w:styleId="Header">
    <w:name w:val="header"/>
    <w:basedOn w:val="Normal"/>
    <w:rsid w:val="003E3523"/>
    <w:pPr>
      <w:tabs>
        <w:tab w:val="center" w:pos="4320"/>
        <w:tab w:val="right" w:pos="8640"/>
      </w:tabs>
    </w:pPr>
  </w:style>
  <w:style w:type="character" w:styleId="Hyperlink">
    <w:name w:val="Hyperlink"/>
    <w:basedOn w:val="DefaultParagraphFont"/>
    <w:rsid w:val="003E3523"/>
    <w:rPr>
      <w:color w:val="0000FF"/>
      <w:u w:val="single"/>
    </w:rPr>
  </w:style>
  <w:style w:type="table" w:styleId="TableGrid">
    <w:name w:val="Table Grid"/>
    <w:basedOn w:val="TableNormal"/>
    <w:rsid w:val="00952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ctSheetTextGoudy">
    <w:name w:val="Fact Sheet Text/Goudy"/>
    <w:basedOn w:val="Normal"/>
    <w:link w:val="FactSheetTextGoudyChar"/>
    <w:rsid w:val="00952063"/>
    <w:pPr>
      <w:spacing w:after="200" w:line="300" w:lineRule="exact"/>
    </w:pPr>
    <w:rPr>
      <w:rFonts w:ascii="Goudy Old Style" w:hAnsi="Goudy Old Style"/>
      <w:sz w:val="22"/>
    </w:rPr>
  </w:style>
  <w:style w:type="character" w:customStyle="1" w:styleId="FactSheetTextGoudyChar">
    <w:name w:val="Fact Sheet Text/Goudy Char"/>
    <w:basedOn w:val="DefaultParagraphFont"/>
    <w:link w:val="FactSheetTextGoudy"/>
    <w:rsid w:val="00952063"/>
    <w:rPr>
      <w:rFonts w:ascii="Goudy Old Style" w:eastAsia="Times" w:hAnsi="Goudy Old Style"/>
      <w:sz w:val="22"/>
      <w:lang w:val="en-US" w:eastAsia="en-US" w:bidi="ar-SA"/>
    </w:rPr>
  </w:style>
  <w:style w:type="paragraph" w:styleId="FootnoteText">
    <w:name w:val="footnote text"/>
    <w:basedOn w:val="Normal"/>
    <w:semiHidden/>
    <w:rsid w:val="003356DC"/>
    <w:rPr>
      <w:sz w:val="20"/>
    </w:rPr>
  </w:style>
  <w:style w:type="character" w:styleId="FootnoteReference">
    <w:name w:val="footnote reference"/>
    <w:basedOn w:val="DefaultParagraphFont"/>
    <w:semiHidden/>
    <w:rsid w:val="003356DC"/>
    <w:rPr>
      <w:vertAlign w:val="superscript"/>
    </w:rPr>
  </w:style>
  <w:style w:type="paragraph" w:styleId="Footer">
    <w:name w:val="footer"/>
    <w:basedOn w:val="Normal"/>
    <w:rsid w:val="003F5A47"/>
    <w:pPr>
      <w:tabs>
        <w:tab w:val="center" w:pos="4320"/>
        <w:tab w:val="right" w:pos="8640"/>
      </w:tabs>
    </w:pPr>
  </w:style>
  <w:style w:type="paragraph" w:styleId="BalloonText">
    <w:name w:val="Balloon Text"/>
    <w:basedOn w:val="Normal"/>
    <w:semiHidden/>
    <w:rsid w:val="0028062D"/>
    <w:rPr>
      <w:rFonts w:ascii="Tahoma" w:hAnsi="Tahoma" w:cs="Tahoma"/>
      <w:sz w:val="16"/>
      <w:szCs w:val="16"/>
    </w:rPr>
  </w:style>
  <w:style w:type="paragraph" w:styleId="BodyTextIndent3">
    <w:name w:val="Body Text Indent 3"/>
    <w:basedOn w:val="Normal"/>
    <w:link w:val="BodyTextIndent3Char"/>
    <w:rsid w:val="003E22B6"/>
    <w:pPr>
      <w:spacing w:after="120"/>
      <w:ind w:left="360"/>
    </w:pPr>
    <w:rPr>
      <w:rFonts w:eastAsia="Times New Roman"/>
      <w:sz w:val="16"/>
      <w:szCs w:val="16"/>
    </w:rPr>
  </w:style>
  <w:style w:type="character" w:customStyle="1" w:styleId="BodyTextIndent3Char">
    <w:name w:val="Body Text Indent 3 Char"/>
    <w:basedOn w:val="DefaultParagraphFont"/>
    <w:link w:val="BodyTextIndent3"/>
    <w:semiHidden/>
    <w:locked/>
    <w:rsid w:val="003E22B6"/>
    <w:rPr>
      <w:sz w:val="16"/>
      <w:szCs w:val="16"/>
      <w:lang w:val="en-US" w:eastAsia="en-US" w:bidi="ar-SA"/>
    </w:rPr>
  </w:style>
  <w:style w:type="paragraph" w:styleId="CommentText">
    <w:name w:val="annotation text"/>
    <w:basedOn w:val="Normal"/>
    <w:link w:val="CommentTextChar"/>
    <w:semiHidden/>
    <w:rsid w:val="00991C24"/>
    <w:rPr>
      <w:rFonts w:eastAsia="Times New Roman"/>
      <w:sz w:val="20"/>
    </w:rPr>
  </w:style>
  <w:style w:type="character" w:customStyle="1" w:styleId="CommentTextChar">
    <w:name w:val="Comment Text Char"/>
    <w:basedOn w:val="DefaultParagraphFont"/>
    <w:link w:val="CommentText"/>
    <w:semiHidden/>
    <w:locked/>
    <w:rsid w:val="00991C24"/>
    <w:rPr>
      <w:lang w:val="en-US" w:eastAsia="en-US" w:bidi="ar-SA"/>
    </w:rPr>
  </w:style>
  <w:style w:type="character" w:styleId="CommentReference">
    <w:name w:val="annotation reference"/>
    <w:basedOn w:val="DefaultParagraphFont"/>
    <w:semiHidden/>
    <w:rsid w:val="00991C24"/>
    <w:rPr>
      <w:sz w:val="16"/>
      <w:szCs w:val="16"/>
    </w:rPr>
  </w:style>
  <w:style w:type="paragraph" w:styleId="CommentSubject">
    <w:name w:val="annotation subject"/>
    <w:basedOn w:val="CommentText"/>
    <w:next w:val="CommentText"/>
    <w:semiHidden/>
    <w:rsid w:val="00CC4812"/>
    <w:rPr>
      <w:rFonts w:eastAsia="Times"/>
      <w:b/>
      <w:bCs/>
    </w:rPr>
  </w:style>
  <w:style w:type="paragraph" w:styleId="Revision">
    <w:name w:val="Revision"/>
    <w:hidden/>
    <w:uiPriority w:val="99"/>
    <w:semiHidden/>
    <w:rsid w:val="00260391"/>
    <w:rPr>
      <w:rFonts w:eastAsia="Times"/>
      <w:sz w:val="24"/>
    </w:rPr>
  </w:style>
</w:styles>
</file>

<file path=word/webSettings.xml><?xml version="1.0" encoding="utf-8"?>
<w:webSettings xmlns:r="http://schemas.openxmlformats.org/officeDocument/2006/relationships" xmlns:w="http://schemas.openxmlformats.org/wordprocessingml/2006/main">
  <w:divs>
    <w:div w:id="154385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alswec.berkeley.edu/CalSWEC/CCCCA_Framework.v1.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7807</CharactersWithSpaces>
  <SharedDoc>false</SharedDoc>
  <HLinks>
    <vt:vector size="12" baseType="variant">
      <vt:variant>
        <vt:i4>3014750</vt:i4>
      </vt:variant>
      <vt:variant>
        <vt:i4>3</vt:i4>
      </vt:variant>
      <vt:variant>
        <vt:i4>0</vt:i4>
      </vt:variant>
      <vt:variant>
        <vt:i4>5</vt:i4>
      </vt:variant>
      <vt:variant>
        <vt:lpwstr>mailto:Solicitations@jud.ca.gov</vt:lpwstr>
      </vt:variant>
      <vt:variant>
        <vt:lpwstr/>
      </vt:variant>
      <vt:variant>
        <vt:i4>7340101</vt:i4>
      </vt:variant>
      <vt:variant>
        <vt:i4>0</vt:i4>
      </vt:variant>
      <vt:variant>
        <vt:i4>0</vt:i4>
      </vt:variant>
      <vt:variant>
        <vt:i4>5</vt:i4>
      </vt:variant>
      <vt:variant>
        <vt:lpwstr>http://calswec.berkeley.edu/CalSWEC/CCCCA_Framework.v1.2.html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Aleta</dc:creator>
  <cp:keywords/>
  <dc:description/>
  <cp:lastModifiedBy>Owner</cp:lastModifiedBy>
  <cp:revision>2</cp:revision>
  <cp:lastPrinted>2009-04-09T22:30:00Z</cp:lastPrinted>
  <dcterms:created xsi:type="dcterms:W3CDTF">2010-08-30T15:22:00Z</dcterms:created>
  <dcterms:modified xsi:type="dcterms:W3CDTF">2010-08-30T15:22:00Z</dcterms:modified>
</cp:coreProperties>
</file>