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798" w:rsidRPr="00094E5C" w:rsidRDefault="00F03798" w:rsidP="00F03798">
      <w:pPr>
        <w:pStyle w:val="Heading10"/>
        <w:keepNext w:val="0"/>
        <w:ind w:right="288"/>
      </w:pPr>
      <w:r w:rsidRPr="00094E5C">
        <w:t>IRAN contracting act certification</w:t>
      </w: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rsidR="00F03798" w:rsidRPr="00094E5C" w:rsidRDefault="00F03798" w:rsidP="00F03798">
      <w:pPr>
        <w:jc w:val="both"/>
        <w:rPr>
          <w:sz w:val="24"/>
          <w:szCs w:val="24"/>
        </w:rPr>
      </w:pPr>
    </w:p>
    <w:p w:rsidR="00F03798" w:rsidRPr="00094E5C" w:rsidRDefault="009B3C04" w:rsidP="00B74333">
      <w:pPr>
        <w:rPr>
          <w:sz w:val="24"/>
          <w:szCs w:val="24"/>
        </w:rPr>
      </w:pPr>
      <w:r w:rsidRPr="00094E5C">
        <w:rPr>
          <w:sz w:val="24"/>
          <w:szCs w:val="24"/>
        </w:rPr>
        <w:t xml:space="preserve">To submit a </w:t>
      </w:r>
      <w:r w:rsidR="00F03798" w:rsidRPr="00094E5C">
        <w:rPr>
          <w:sz w:val="24"/>
          <w:szCs w:val="24"/>
        </w:rPr>
        <w:t xml:space="preserve">proposal to the </w:t>
      </w:r>
      <w:r w:rsidR="00801525">
        <w:rPr>
          <w:sz w:val="24"/>
          <w:szCs w:val="24"/>
        </w:rPr>
        <w:t>Judicial Council</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rsidR="00F03798" w:rsidRPr="00094E5C" w:rsidRDefault="00F03798" w:rsidP="00F03798">
      <w:pPr>
        <w:rPr>
          <w:sz w:val="24"/>
          <w:szCs w:val="24"/>
        </w:rPr>
      </w:pPr>
    </w:p>
    <w:p w:rsidR="00F03798" w:rsidRPr="00094E5C" w:rsidRDefault="00F03798" w:rsidP="00F03798">
      <w:pPr>
        <w:jc w:val="both"/>
        <w:rPr>
          <w:sz w:val="24"/>
          <w:szCs w:val="24"/>
        </w:rPr>
      </w:pPr>
    </w:p>
    <w:p w:rsidR="00F03798" w:rsidRPr="00094E5C" w:rsidRDefault="00F03798" w:rsidP="00F03798">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Pr>
          <w:sz w:val="24"/>
          <w:szCs w:val="24"/>
        </w:rPr>
        <w:t xml:space="preserve"> </w:t>
      </w:r>
      <w:r w:rsidRPr="00094E5C">
        <w:rPr>
          <w:sz w:val="24"/>
          <w:szCs w:val="24"/>
        </w:rPr>
        <w:br/>
        <w:t xml:space="preserve">     </w:t>
      </w:r>
    </w:p>
    <w:p w:rsidR="00F03798" w:rsidRPr="00094E5C" w:rsidRDefault="00F03798" w:rsidP="00F03798">
      <w:pPr>
        <w:jc w:val="both"/>
        <w:rPr>
          <w:b/>
          <w:bCs/>
          <w:i/>
          <w:sz w:val="24"/>
          <w:szCs w:val="24"/>
        </w:rPr>
      </w:pPr>
      <w:r w:rsidRPr="00094E5C">
        <w:rPr>
          <w:b/>
          <w:bCs/>
          <w:i/>
          <w:sz w:val="24"/>
          <w:szCs w:val="24"/>
        </w:rPr>
        <w:t xml:space="preserve">OR </w:t>
      </w:r>
    </w:p>
    <w:p w:rsidR="00F03798" w:rsidRPr="00094E5C" w:rsidRDefault="00F03798" w:rsidP="00F03798">
      <w:pPr>
        <w:jc w:val="both"/>
        <w:rPr>
          <w:sz w:val="24"/>
          <w:szCs w:val="24"/>
        </w:rPr>
      </w:pPr>
    </w:p>
    <w:p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801525">
        <w:rPr>
          <w:sz w:val="24"/>
          <w:szCs w:val="24"/>
        </w:rPr>
        <w:t>Judicial Council</w:t>
      </w:r>
      <w:r w:rsidR="00B07941" w:rsidRPr="00094E5C">
        <w:rPr>
          <w:sz w:val="24"/>
          <w:szCs w:val="24"/>
        </w:rPr>
        <w:t xml:space="preserve"> </w:t>
      </w:r>
      <w:r w:rsidR="009B3C04" w:rsidRPr="00094E5C">
        <w:rPr>
          <w:sz w:val="24"/>
          <w:szCs w:val="24"/>
        </w:rPr>
        <w:t xml:space="preserve">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801525">
        <w:rPr>
          <w:i/>
          <w:sz w:val="24"/>
          <w:szCs w:val="24"/>
        </w:rPr>
        <w:t>Judicial Council</w:t>
      </w:r>
      <w:r w:rsidR="00B07941" w:rsidRPr="00094E5C">
        <w:rPr>
          <w:i/>
          <w:sz w:val="24"/>
          <w:szCs w:val="24"/>
        </w:rPr>
        <w:t xml:space="preserve"> </w:t>
      </w:r>
      <w:r w:rsidR="009B3C04" w:rsidRPr="00094E5C">
        <w:rPr>
          <w:i/>
          <w:sz w:val="24"/>
          <w:szCs w:val="24"/>
        </w:rPr>
        <w:t xml:space="preserve">is included with our </w:t>
      </w:r>
      <w:r w:rsidRPr="00094E5C">
        <w:rPr>
          <w:i/>
          <w:sz w:val="24"/>
          <w:szCs w:val="24"/>
        </w:rPr>
        <w:t xml:space="preserve">proposal.  </w:t>
      </w:r>
    </w:p>
    <w:p w:rsidR="00F03798" w:rsidRPr="00094E5C" w:rsidRDefault="00F03798" w:rsidP="00F03798">
      <w:pPr>
        <w:tabs>
          <w:tab w:val="left" w:pos="720"/>
        </w:tabs>
        <w:ind w:left="1440" w:hanging="1440"/>
        <w:jc w:val="both"/>
        <w:rPr>
          <w:sz w:val="24"/>
          <w:szCs w:val="24"/>
        </w:rPr>
      </w:pPr>
    </w:p>
    <w:p w:rsidR="00F03798" w:rsidRPr="00094E5C" w:rsidRDefault="00F03798" w:rsidP="00C64C94">
      <w:pPr>
        <w:rPr>
          <w:sz w:val="24"/>
          <w:szCs w:val="24"/>
        </w:rPr>
      </w:pPr>
    </w:p>
    <w:p w:rsidR="00F03798" w:rsidRPr="00094E5C" w:rsidRDefault="00F03798" w:rsidP="00F03798">
      <w:pPr>
        <w:jc w:val="both"/>
        <w:rPr>
          <w:b/>
          <w:bCs/>
          <w:sz w:val="24"/>
          <w:szCs w:val="24"/>
          <w:u w:val="single"/>
        </w:rPr>
      </w:pPr>
      <w:r w:rsidRPr="00094E5C">
        <w:rPr>
          <w:b/>
          <w:bCs/>
          <w:sz w:val="24"/>
          <w:szCs w:val="24"/>
          <w:u w:val="single"/>
        </w:rPr>
        <w:t>CERTIFICATION FOR PARAGRAPH 1:</w:t>
      </w:r>
    </w:p>
    <w:p w:rsidR="00F03798" w:rsidRPr="00094E5C" w:rsidRDefault="00F03798" w:rsidP="00F03798">
      <w:pPr>
        <w:jc w:val="both"/>
        <w:rPr>
          <w:sz w:val="24"/>
          <w:szCs w:val="24"/>
        </w:rPr>
      </w:pPr>
    </w:p>
    <w:p w:rsidR="00F03798" w:rsidRPr="00094E5C" w:rsidRDefault="00F03798" w:rsidP="00B74333">
      <w:pPr>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rsidR="00F03798" w:rsidRPr="00094E5C" w:rsidRDefault="00F03798" w:rsidP="00F03798">
      <w:pPr>
        <w:rPr>
          <w:sz w:val="24"/>
          <w:szCs w:val="24"/>
        </w:rPr>
      </w:pPr>
    </w:p>
    <w:tbl>
      <w:tblPr>
        <w:tblW w:w="0" w:type="auto"/>
        <w:tblInd w:w="75" w:type="dxa"/>
        <w:tblCellMar>
          <w:left w:w="0" w:type="dxa"/>
          <w:right w:w="0" w:type="dxa"/>
        </w:tblCellMar>
        <w:tblLook w:val="0000"/>
      </w:tblPr>
      <w:tblGrid>
        <w:gridCol w:w="3772"/>
        <w:gridCol w:w="2629"/>
        <w:gridCol w:w="2314"/>
      </w:tblGrid>
      <w:tr w:rsidR="00F03798" w:rsidRPr="00094E5C"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rsidR="00F03798" w:rsidRPr="00094E5C" w:rsidRDefault="00F03798" w:rsidP="00F03798">
      <w:pPr>
        <w:rPr>
          <w:b/>
          <w:sz w:val="24"/>
          <w:szCs w:val="24"/>
          <w:u w:val="single"/>
        </w:rPr>
      </w:pPr>
    </w:p>
    <w:p w:rsidR="00F03798" w:rsidRPr="00094E5C" w:rsidRDefault="00F03798" w:rsidP="00C64C94">
      <w:pPr>
        <w:rPr>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pPr>
        <w:rPr>
          <w:sz w:val="24"/>
          <w:szCs w:val="24"/>
        </w:rPr>
      </w:pPr>
    </w:p>
    <w:sectPr w:rsidR="00EA241C" w:rsidRPr="00094E5C" w:rsidSect="00C64C94">
      <w:footerReference w:type="default" r:id="rId6"/>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9D8" w:rsidRDefault="00BB49D8" w:rsidP="006037DD">
      <w:r>
        <w:separator/>
      </w:r>
    </w:p>
  </w:endnote>
  <w:endnote w:type="continuationSeparator" w:id="0">
    <w:p w:rsidR="00BB49D8" w:rsidRDefault="00BB49D8" w:rsidP="006037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7DD" w:rsidRDefault="00AA0080">
    <w:pPr>
      <w:pStyle w:val="Footer"/>
    </w:pPr>
    <w:sdt>
      <w:sdtPr>
        <w:id w:val="18165802"/>
        <w:docPartObj>
          <w:docPartGallery w:val="Page Numbers (Bottom of Page)"/>
          <w:docPartUnique/>
        </w:docPartObj>
      </w:sdtPr>
      <w:sdtContent>
        <w:fldSimple w:instr=" PAGE   \* MERGEFORMAT ">
          <w:r w:rsidR="00801525">
            <w:rPr>
              <w:noProof/>
            </w:rPr>
            <w:t>1</w:t>
          </w:r>
        </w:fldSimple>
        <w:r w:rsidR="006037DD">
          <w:tab/>
        </w:r>
        <w:r w:rsidR="006037DD">
          <w:tab/>
          <w:t xml:space="preserve">rev </w:t>
        </w:r>
        <w:r w:rsidR="00630D4E">
          <w:t>1/3/14</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9D8" w:rsidRDefault="00BB49D8" w:rsidP="006037DD">
      <w:r>
        <w:separator/>
      </w:r>
    </w:p>
  </w:footnote>
  <w:footnote w:type="continuationSeparator" w:id="0">
    <w:p w:rsidR="00BB49D8" w:rsidRDefault="00BB49D8" w:rsidP="006037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C64C94"/>
    <w:rsid w:val="00094E5C"/>
    <w:rsid w:val="000E4FAE"/>
    <w:rsid w:val="0011220F"/>
    <w:rsid w:val="00146F48"/>
    <w:rsid w:val="00153664"/>
    <w:rsid w:val="00160155"/>
    <w:rsid w:val="00183692"/>
    <w:rsid w:val="001935D1"/>
    <w:rsid w:val="00211E4D"/>
    <w:rsid w:val="002541EC"/>
    <w:rsid w:val="002A1397"/>
    <w:rsid w:val="002B2642"/>
    <w:rsid w:val="002B4880"/>
    <w:rsid w:val="00322485"/>
    <w:rsid w:val="00332C12"/>
    <w:rsid w:val="00366C9B"/>
    <w:rsid w:val="00394671"/>
    <w:rsid w:val="003C2EE7"/>
    <w:rsid w:val="003E0B30"/>
    <w:rsid w:val="004050EC"/>
    <w:rsid w:val="00426CB0"/>
    <w:rsid w:val="00490E01"/>
    <w:rsid w:val="004A7398"/>
    <w:rsid w:val="005321B1"/>
    <w:rsid w:val="005C6F02"/>
    <w:rsid w:val="005F462B"/>
    <w:rsid w:val="006037DD"/>
    <w:rsid w:val="00630D4E"/>
    <w:rsid w:val="006414FD"/>
    <w:rsid w:val="0064350C"/>
    <w:rsid w:val="006B6DAD"/>
    <w:rsid w:val="006F7CD1"/>
    <w:rsid w:val="007179CE"/>
    <w:rsid w:val="007458FB"/>
    <w:rsid w:val="007778E4"/>
    <w:rsid w:val="007845D2"/>
    <w:rsid w:val="007E16AC"/>
    <w:rsid w:val="00801525"/>
    <w:rsid w:val="0081111A"/>
    <w:rsid w:val="0083647A"/>
    <w:rsid w:val="0089014A"/>
    <w:rsid w:val="008E5B3B"/>
    <w:rsid w:val="009078AA"/>
    <w:rsid w:val="009B3C04"/>
    <w:rsid w:val="009C45A7"/>
    <w:rsid w:val="00A1557A"/>
    <w:rsid w:val="00A338BF"/>
    <w:rsid w:val="00A40461"/>
    <w:rsid w:val="00A74A0F"/>
    <w:rsid w:val="00A90758"/>
    <w:rsid w:val="00AA0080"/>
    <w:rsid w:val="00AA751B"/>
    <w:rsid w:val="00B07941"/>
    <w:rsid w:val="00B35057"/>
    <w:rsid w:val="00B74333"/>
    <w:rsid w:val="00BB49D8"/>
    <w:rsid w:val="00BB59EB"/>
    <w:rsid w:val="00BC3477"/>
    <w:rsid w:val="00C10231"/>
    <w:rsid w:val="00C64C94"/>
    <w:rsid w:val="00CA4F40"/>
    <w:rsid w:val="00D80B1F"/>
    <w:rsid w:val="00E53FAB"/>
    <w:rsid w:val="00EA1521"/>
    <w:rsid w:val="00EA241C"/>
    <w:rsid w:val="00EF25F4"/>
    <w:rsid w:val="00F03798"/>
    <w:rsid w:val="00F06975"/>
    <w:rsid w:val="00F15B08"/>
    <w:rsid w:val="00F34D15"/>
    <w:rsid w:val="00F36882"/>
    <w:rsid w:val="00F41D17"/>
    <w:rsid w:val="00F95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unhideWhenUsed/>
    <w:rsid w:val="006037DD"/>
    <w:pPr>
      <w:tabs>
        <w:tab w:val="center" w:pos="4680"/>
        <w:tab w:val="right" w:pos="9360"/>
      </w:tabs>
    </w:pPr>
  </w:style>
  <w:style w:type="character" w:customStyle="1" w:styleId="HeaderChar">
    <w:name w:val="Header Char"/>
    <w:basedOn w:val="DefaultParagraphFont"/>
    <w:link w:val="Header"/>
    <w:uiPriority w:val="99"/>
    <w:semiHidden/>
    <w:rsid w:val="006037DD"/>
    <w:rPr>
      <w:sz w:val="20"/>
      <w:szCs w:val="20"/>
    </w:rPr>
  </w:style>
  <w:style w:type="paragraph" w:styleId="Footer">
    <w:name w:val="footer"/>
    <w:basedOn w:val="Normal"/>
    <w:link w:val="FooterChar"/>
    <w:uiPriority w:val="99"/>
    <w:semiHidden/>
    <w:unhideWhenUsed/>
    <w:rsid w:val="006037DD"/>
    <w:pPr>
      <w:tabs>
        <w:tab w:val="center" w:pos="4680"/>
        <w:tab w:val="right" w:pos="9360"/>
      </w:tabs>
    </w:pPr>
  </w:style>
  <w:style w:type="character" w:customStyle="1" w:styleId="FooterChar">
    <w:name w:val="Footer Char"/>
    <w:basedOn w:val="DefaultParagraphFont"/>
    <w:link w:val="Footer"/>
    <w:uiPriority w:val="99"/>
    <w:semiHidden/>
    <w:rsid w:val="006037D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1389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John McGlynn</cp:lastModifiedBy>
  <cp:revision>2</cp:revision>
  <dcterms:created xsi:type="dcterms:W3CDTF">2014-10-24T19:14:00Z</dcterms:created>
  <dcterms:modified xsi:type="dcterms:W3CDTF">2014-10-24T19:14:00Z</dcterms:modified>
</cp:coreProperties>
</file>