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75" w:rsidRDefault="00E91F75"/>
    <w:p w:rsidR="00AF4C5B" w:rsidRDefault="00AF4C5B"/>
    <w:p w:rsidR="00AF4C5B" w:rsidRPr="007E49E1" w:rsidRDefault="00EE7296" w:rsidP="00EE7296">
      <w:pPr>
        <w:jc w:val="center"/>
        <w:rPr>
          <w:rFonts w:asciiTheme="minorHAnsi" w:hAnsiTheme="minorHAnsi"/>
        </w:rPr>
      </w:pPr>
      <w:r w:rsidRPr="007E49E1">
        <w:rPr>
          <w:rFonts w:asciiTheme="minorHAnsi" w:hAnsiTheme="minorHAnsi"/>
        </w:rPr>
        <w:t>New Lakeport Courthouse</w:t>
      </w:r>
    </w:p>
    <w:p w:rsidR="00EE7296" w:rsidRPr="007E49E1" w:rsidRDefault="00EE7296" w:rsidP="00EE7296">
      <w:pPr>
        <w:jc w:val="center"/>
        <w:rPr>
          <w:rFonts w:asciiTheme="minorHAnsi" w:hAnsiTheme="minorHAnsi"/>
        </w:rPr>
      </w:pPr>
      <w:r w:rsidRPr="007E49E1">
        <w:rPr>
          <w:rFonts w:asciiTheme="minorHAnsi" w:hAnsiTheme="minorHAnsi"/>
        </w:rPr>
        <w:t>RFQ/P Number: JBCP-2014-06-BR</w:t>
      </w:r>
    </w:p>
    <w:p w:rsidR="00EE7296" w:rsidRPr="007E49E1" w:rsidRDefault="00EE7296" w:rsidP="00EE7296">
      <w:pPr>
        <w:jc w:val="center"/>
        <w:rPr>
          <w:rFonts w:asciiTheme="minorHAnsi" w:hAnsiTheme="minorHAnsi"/>
        </w:rPr>
      </w:pPr>
    </w:p>
    <w:p w:rsidR="00AF4C5B" w:rsidRPr="007E49E1" w:rsidRDefault="00EE7296" w:rsidP="00EE7296">
      <w:pPr>
        <w:jc w:val="center"/>
        <w:rPr>
          <w:rFonts w:asciiTheme="minorHAnsi" w:hAnsiTheme="minorHAnsi"/>
        </w:rPr>
      </w:pPr>
      <w:r w:rsidRPr="007E49E1">
        <w:rPr>
          <w:rFonts w:asciiTheme="minorHAnsi" w:hAnsiTheme="minorHAnsi"/>
        </w:rPr>
        <w:t>Addendum No. 1</w:t>
      </w:r>
    </w:p>
    <w:p w:rsidR="00AF4C5B" w:rsidRPr="001F1017" w:rsidRDefault="00AF4C5B" w:rsidP="00AF4C5B">
      <w:pPr>
        <w:pStyle w:val="PldCentrL1"/>
        <w:numPr>
          <w:ilvl w:val="0"/>
          <w:numId w:val="0"/>
        </w:numPr>
        <w:spacing w:after="0"/>
        <w:outlineLvl w:val="9"/>
        <w:rPr>
          <w:sz w:val="20"/>
        </w:rPr>
      </w:pPr>
    </w:p>
    <w:tbl>
      <w:tblPr>
        <w:tblW w:w="13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501"/>
        <w:gridCol w:w="2746"/>
        <w:gridCol w:w="4950"/>
        <w:gridCol w:w="5310"/>
      </w:tblGrid>
      <w:tr w:rsidR="00AF4C5B" w:rsidRPr="001F1017" w:rsidTr="007E49E1">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AF4C5B" w:rsidRPr="001F1017" w:rsidRDefault="00AF4C5B" w:rsidP="00EE7296">
            <w:pPr>
              <w:pStyle w:val="TableTitle"/>
              <w:jc w:val="center"/>
              <w:rPr>
                <w:rFonts w:ascii="Times New Roman" w:hAnsi="Times New Roman"/>
                <w:sz w:val="20"/>
                <w:szCs w:val="20"/>
              </w:rPr>
            </w:pPr>
          </w:p>
        </w:tc>
        <w:tc>
          <w:tcPr>
            <w:tcW w:w="13006" w:type="dxa"/>
            <w:gridSpan w:val="3"/>
            <w:tcBorders>
              <w:top w:val="thinThickSmallGap" w:sz="24" w:space="0" w:color="000066"/>
              <w:left w:val="single" w:sz="4" w:space="0" w:color="FFFFFF"/>
              <w:bottom w:val="single" w:sz="4" w:space="0" w:color="auto"/>
            </w:tcBorders>
            <w:shd w:val="clear" w:color="auto" w:fill="000066"/>
          </w:tcPr>
          <w:p w:rsidR="00AF4C5B" w:rsidRPr="001F1017" w:rsidRDefault="00AF4C5B" w:rsidP="00EE7296">
            <w:pPr>
              <w:pStyle w:val="TableTitle"/>
              <w:rPr>
                <w:rFonts w:ascii="Times New Roman" w:hAnsi="Times New Roman"/>
                <w:sz w:val="20"/>
                <w:szCs w:val="20"/>
              </w:rPr>
            </w:pPr>
          </w:p>
        </w:tc>
      </w:tr>
      <w:tr w:rsidR="00AF4C5B" w:rsidRPr="001F1017" w:rsidTr="007E49E1">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AF4C5B" w:rsidRPr="001F1017" w:rsidRDefault="00AF4C5B" w:rsidP="00EE7296">
            <w:pPr>
              <w:pStyle w:val="TableTitle"/>
              <w:jc w:val="center"/>
              <w:rPr>
                <w:rFonts w:ascii="Times New Roman" w:hAnsi="Times New Roman"/>
                <w:sz w:val="20"/>
                <w:szCs w:val="20"/>
              </w:rPr>
            </w:pPr>
            <w:r w:rsidRPr="001F1017">
              <w:rPr>
                <w:rFonts w:ascii="Times New Roman" w:hAnsi="Times New Roman"/>
                <w:sz w:val="20"/>
                <w:szCs w:val="20"/>
              </w:rPr>
              <w:t>#</w:t>
            </w:r>
          </w:p>
        </w:tc>
        <w:tc>
          <w:tcPr>
            <w:tcW w:w="2746" w:type="dxa"/>
            <w:tcBorders>
              <w:top w:val="thinThickSmallGap" w:sz="24" w:space="0" w:color="000066"/>
              <w:left w:val="single" w:sz="4" w:space="0" w:color="FFFFFF"/>
              <w:bottom w:val="single" w:sz="4" w:space="0" w:color="auto"/>
              <w:right w:val="single" w:sz="4" w:space="0" w:color="FFFFFF"/>
            </w:tcBorders>
            <w:shd w:val="clear" w:color="auto" w:fill="000066"/>
          </w:tcPr>
          <w:p w:rsidR="00AF4C5B" w:rsidRPr="001F1017" w:rsidRDefault="00AF4C5B" w:rsidP="00EE7296">
            <w:pPr>
              <w:pStyle w:val="TableTitle"/>
              <w:rPr>
                <w:rFonts w:ascii="Times New Roman" w:hAnsi="Times New Roman"/>
                <w:sz w:val="20"/>
                <w:szCs w:val="20"/>
              </w:rPr>
            </w:pPr>
            <w:r w:rsidRPr="001F1017">
              <w:rPr>
                <w:rFonts w:ascii="Times New Roman" w:hAnsi="Times New Roman"/>
                <w:sz w:val="20"/>
                <w:szCs w:val="20"/>
              </w:rPr>
              <w:t>RFQ</w:t>
            </w:r>
            <w:r w:rsidR="00EE7296">
              <w:rPr>
                <w:rFonts w:ascii="Times New Roman" w:hAnsi="Times New Roman"/>
                <w:sz w:val="20"/>
                <w:szCs w:val="20"/>
              </w:rPr>
              <w:t>P</w:t>
            </w:r>
            <w:r w:rsidRPr="001F1017">
              <w:rPr>
                <w:rFonts w:ascii="Times New Roman" w:hAnsi="Times New Roman"/>
                <w:sz w:val="20"/>
                <w:szCs w:val="20"/>
              </w:rPr>
              <w:t xml:space="preserve"> Reference</w:t>
            </w:r>
          </w:p>
        </w:tc>
        <w:tc>
          <w:tcPr>
            <w:tcW w:w="4950" w:type="dxa"/>
            <w:tcBorders>
              <w:top w:val="thinThickSmallGap" w:sz="24" w:space="0" w:color="000066"/>
              <w:left w:val="single" w:sz="4" w:space="0" w:color="FFFFFF"/>
              <w:bottom w:val="single" w:sz="4" w:space="0" w:color="auto"/>
              <w:right w:val="single" w:sz="4" w:space="0" w:color="FFFFFF"/>
            </w:tcBorders>
            <w:shd w:val="clear" w:color="auto" w:fill="000066"/>
          </w:tcPr>
          <w:p w:rsidR="00AF4C5B" w:rsidRPr="001F1017" w:rsidRDefault="00AF4C5B" w:rsidP="00EE7296">
            <w:pPr>
              <w:pStyle w:val="TableTitle"/>
              <w:rPr>
                <w:rFonts w:ascii="Times New Roman" w:hAnsi="Times New Roman"/>
                <w:sz w:val="20"/>
                <w:szCs w:val="20"/>
              </w:rPr>
            </w:pPr>
            <w:r w:rsidRPr="001F1017">
              <w:rPr>
                <w:rFonts w:ascii="Times New Roman" w:hAnsi="Times New Roman"/>
                <w:sz w:val="20"/>
                <w:szCs w:val="20"/>
              </w:rPr>
              <w:t>Question</w:t>
            </w:r>
            <w:r w:rsidR="0065699E">
              <w:rPr>
                <w:rFonts w:ascii="Times New Roman" w:hAnsi="Times New Roman"/>
                <w:sz w:val="20"/>
                <w:szCs w:val="20"/>
              </w:rPr>
              <w:t>s</w:t>
            </w:r>
          </w:p>
        </w:tc>
        <w:tc>
          <w:tcPr>
            <w:tcW w:w="5310" w:type="dxa"/>
            <w:tcBorders>
              <w:top w:val="thinThickSmallGap" w:sz="24" w:space="0" w:color="000066"/>
              <w:left w:val="single" w:sz="4" w:space="0" w:color="FFFFFF"/>
              <w:bottom w:val="single" w:sz="4" w:space="0" w:color="auto"/>
            </w:tcBorders>
            <w:shd w:val="clear" w:color="auto" w:fill="000066"/>
          </w:tcPr>
          <w:p w:rsidR="00AF4C5B" w:rsidRPr="001F1017" w:rsidRDefault="00AF4C5B" w:rsidP="00EE7296">
            <w:pPr>
              <w:pStyle w:val="TableTitle"/>
              <w:rPr>
                <w:rFonts w:ascii="Times New Roman" w:hAnsi="Times New Roman"/>
                <w:sz w:val="20"/>
                <w:szCs w:val="20"/>
              </w:rPr>
            </w:pPr>
            <w:r w:rsidRPr="001F1017">
              <w:rPr>
                <w:rFonts w:ascii="Times New Roman" w:hAnsi="Times New Roman"/>
                <w:sz w:val="20"/>
                <w:szCs w:val="20"/>
              </w:rPr>
              <w:t>Answers</w:t>
            </w:r>
          </w:p>
        </w:tc>
      </w:tr>
      <w:tr w:rsidR="00AF4C5B" w:rsidRPr="001F1017" w:rsidTr="007E49E1">
        <w:trPr>
          <w:cantSplit/>
        </w:trPr>
        <w:tc>
          <w:tcPr>
            <w:tcW w:w="501" w:type="dxa"/>
            <w:shd w:val="clear" w:color="auto" w:fill="EDE8CB"/>
          </w:tcPr>
          <w:p w:rsidR="00AF4C5B" w:rsidRPr="00424034" w:rsidRDefault="00AF4C5B" w:rsidP="00EE7296">
            <w:pPr>
              <w:pStyle w:val="TableSection"/>
              <w:jc w:val="center"/>
              <w:rPr>
                <w:rFonts w:ascii="Times New Roman" w:hAnsi="Times New Roman"/>
                <w:sz w:val="20"/>
              </w:rPr>
            </w:pPr>
            <w:r w:rsidRPr="00424034">
              <w:rPr>
                <w:rFonts w:ascii="Times New Roman" w:hAnsi="Times New Roman"/>
                <w:sz w:val="20"/>
              </w:rPr>
              <w:t>1</w:t>
            </w:r>
          </w:p>
        </w:tc>
        <w:tc>
          <w:tcPr>
            <w:tcW w:w="2746" w:type="dxa"/>
            <w:shd w:val="clear" w:color="auto" w:fill="auto"/>
          </w:tcPr>
          <w:p w:rsidR="00AF4C5B" w:rsidRPr="00240C4E" w:rsidRDefault="00EE7296" w:rsidP="00EE7296">
            <w:pPr>
              <w:pStyle w:val="TableBullet"/>
              <w:numPr>
                <w:ilvl w:val="0"/>
                <w:numId w:val="0"/>
              </w:numPr>
              <w:spacing w:before="0" w:after="0"/>
              <w:ind w:left="162"/>
              <w:rPr>
                <w:rFonts w:cs="Calibri"/>
                <w:color w:val="auto"/>
                <w:sz w:val="20"/>
              </w:rPr>
            </w:pPr>
            <w:r w:rsidRPr="00240C4E">
              <w:rPr>
                <w:sz w:val="20"/>
              </w:rPr>
              <w:t>Exhibit H – 10.1.2.2</w:t>
            </w:r>
          </w:p>
        </w:tc>
        <w:tc>
          <w:tcPr>
            <w:tcW w:w="4950" w:type="dxa"/>
            <w:vAlign w:val="bottom"/>
          </w:tcPr>
          <w:p w:rsidR="00AF4C5B" w:rsidRPr="00240C4E" w:rsidRDefault="00EE7296" w:rsidP="00240C4E">
            <w:pPr>
              <w:pStyle w:val="TableBodyText"/>
              <w:spacing w:before="0" w:after="0"/>
              <w:rPr>
                <w:sz w:val="20"/>
                <w:szCs w:val="20"/>
              </w:rPr>
            </w:pPr>
            <w:r w:rsidRPr="00240C4E">
              <w:rPr>
                <w:sz w:val="20"/>
                <w:szCs w:val="20"/>
              </w:rPr>
              <w:t xml:space="preserve">Please confirm that this line item should be deleted in </w:t>
            </w:r>
            <w:proofErr w:type="spellStart"/>
            <w:r w:rsidRPr="00240C4E">
              <w:rPr>
                <w:sz w:val="20"/>
                <w:szCs w:val="20"/>
              </w:rPr>
              <w:t>it’s</w:t>
            </w:r>
            <w:proofErr w:type="spellEnd"/>
            <w:r w:rsidRPr="00240C4E">
              <w:rPr>
                <w:sz w:val="20"/>
                <w:szCs w:val="20"/>
              </w:rPr>
              <w:t xml:space="preserve"> entirety to align with Exhibit A – 5.3.3 and 5.4.7, as well as Exhibit H 3.20 that states the Judicial Council will be preparing and providing the SWPPS for the project as the QSD.  Installation, maintenance, and removal of SWPPS measures per the plan provided by the Judicial Council should be considered Direct Cost of Work (DCOW) items</w:t>
            </w:r>
          </w:p>
          <w:p w:rsidR="00240C4E" w:rsidRPr="00240C4E" w:rsidRDefault="00240C4E" w:rsidP="00240C4E">
            <w:pPr>
              <w:pStyle w:val="TableBodyText"/>
              <w:spacing w:before="0" w:after="0"/>
              <w:rPr>
                <w:rFonts w:cs="Calibri"/>
                <w:sz w:val="20"/>
                <w:szCs w:val="20"/>
              </w:rPr>
            </w:pPr>
          </w:p>
        </w:tc>
        <w:tc>
          <w:tcPr>
            <w:tcW w:w="5310" w:type="dxa"/>
            <w:shd w:val="clear" w:color="auto" w:fill="auto"/>
          </w:tcPr>
          <w:p w:rsidR="00AF4C5B" w:rsidRPr="00240C4E" w:rsidRDefault="00EE7296" w:rsidP="00EE7296">
            <w:pPr>
              <w:pStyle w:val="TableBodyText"/>
              <w:spacing w:before="0" w:after="0"/>
              <w:rPr>
                <w:rFonts w:cs="Calibri"/>
                <w:sz w:val="20"/>
                <w:szCs w:val="20"/>
              </w:rPr>
            </w:pPr>
            <w:r w:rsidRPr="00240C4E">
              <w:rPr>
                <w:sz w:val="20"/>
                <w:szCs w:val="20"/>
              </w:rPr>
              <w:t>The CMR will be responsible for implementing the Judicial Council provided SWPPP as the QSP.</w:t>
            </w:r>
          </w:p>
        </w:tc>
      </w:tr>
      <w:tr w:rsidR="00AF4C5B" w:rsidRPr="001F1017" w:rsidTr="007E49E1">
        <w:trPr>
          <w:cantSplit/>
        </w:trPr>
        <w:tc>
          <w:tcPr>
            <w:tcW w:w="501" w:type="dxa"/>
            <w:tcBorders>
              <w:bottom w:val="single" w:sz="4" w:space="0" w:color="auto"/>
            </w:tcBorders>
            <w:shd w:val="clear" w:color="auto" w:fill="EDE8CB"/>
          </w:tcPr>
          <w:p w:rsidR="00AF4C5B" w:rsidRPr="00424034" w:rsidRDefault="00AF4C5B" w:rsidP="00EE7296">
            <w:pPr>
              <w:pStyle w:val="TableSection"/>
              <w:jc w:val="center"/>
              <w:rPr>
                <w:rFonts w:ascii="Times New Roman" w:hAnsi="Times New Roman"/>
                <w:sz w:val="20"/>
              </w:rPr>
            </w:pPr>
            <w:r w:rsidRPr="00424034">
              <w:rPr>
                <w:rFonts w:ascii="Times New Roman" w:hAnsi="Times New Roman"/>
                <w:sz w:val="20"/>
              </w:rPr>
              <w:t>2</w:t>
            </w:r>
          </w:p>
        </w:tc>
        <w:tc>
          <w:tcPr>
            <w:tcW w:w="2746" w:type="dxa"/>
            <w:tcBorders>
              <w:bottom w:val="single" w:sz="4" w:space="0" w:color="auto"/>
            </w:tcBorders>
            <w:shd w:val="clear" w:color="auto" w:fill="auto"/>
          </w:tcPr>
          <w:p w:rsidR="00AF4C5B" w:rsidRPr="00240C4E" w:rsidRDefault="00240C4E" w:rsidP="00240C4E">
            <w:pPr>
              <w:autoSpaceDE w:val="0"/>
              <w:autoSpaceDN w:val="0"/>
              <w:adjustRightInd w:val="0"/>
              <w:ind w:left="162"/>
              <w:rPr>
                <w:rFonts w:ascii="Verdana" w:hAnsi="Verdana" w:cs="Calibri"/>
                <w:sz w:val="20"/>
                <w:lang w:val="en-GB"/>
              </w:rPr>
            </w:pPr>
            <w:r w:rsidRPr="00240C4E">
              <w:rPr>
                <w:rFonts w:ascii="Verdana" w:hAnsi="Verdana"/>
                <w:sz w:val="20"/>
              </w:rPr>
              <w:t>Exhibit A – 5.3.1.4</w:t>
            </w:r>
          </w:p>
        </w:tc>
        <w:tc>
          <w:tcPr>
            <w:tcW w:w="4950" w:type="dxa"/>
            <w:tcBorders>
              <w:bottom w:val="single" w:sz="4" w:space="0" w:color="auto"/>
            </w:tcBorders>
            <w:vAlign w:val="bottom"/>
          </w:tcPr>
          <w:p w:rsidR="00AF4C5B" w:rsidRDefault="00240C4E" w:rsidP="00EE7296">
            <w:pPr>
              <w:autoSpaceDE w:val="0"/>
              <w:autoSpaceDN w:val="0"/>
              <w:adjustRightInd w:val="0"/>
              <w:rPr>
                <w:rFonts w:ascii="Verdana" w:hAnsi="Verdana"/>
                <w:sz w:val="20"/>
              </w:rPr>
            </w:pPr>
            <w:r w:rsidRPr="00240C4E">
              <w:rPr>
                <w:rFonts w:ascii="Verdana" w:hAnsi="Verdana"/>
                <w:sz w:val="20"/>
              </w:rPr>
              <w:t>Please confirm that the reconciliation effort between the CMR’s estimates for the cost of work with independent estimating services provided by either the Architect or other are limited to the milestone estimate efforts indicated within the Contract.</w:t>
            </w:r>
          </w:p>
          <w:p w:rsidR="007E49E1" w:rsidRPr="00240C4E" w:rsidRDefault="007E49E1" w:rsidP="00EE7296">
            <w:pPr>
              <w:autoSpaceDE w:val="0"/>
              <w:autoSpaceDN w:val="0"/>
              <w:adjustRightInd w:val="0"/>
              <w:rPr>
                <w:rFonts w:ascii="Verdana" w:hAnsi="Verdana" w:cs="Calibri"/>
                <w:sz w:val="20"/>
                <w:lang w:val="en-GB"/>
              </w:rPr>
            </w:pPr>
          </w:p>
        </w:tc>
        <w:tc>
          <w:tcPr>
            <w:tcW w:w="5310" w:type="dxa"/>
            <w:tcBorders>
              <w:bottom w:val="single" w:sz="4" w:space="0" w:color="auto"/>
            </w:tcBorders>
            <w:shd w:val="clear" w:color="auto" w:fill="auto"/>
          </w:tcPr>
          <w:p w:rsidR="00AF4C5B" w:rsidRPr="00240C4E" w:rsidRDefault="00240C4E" w:rsidP="00240C4E">
            <w:pPr>
              <w:pStyle w:val="TableBodyText"/>
              <w:spacing w:before="0" w:after="0"/>
              <w:rPr>
                <w:rFonts w:asciiTheme="minorHAnsi" w:hAnsiTheme="minorHAnsi" w:cs="Calibri"/>
                <w:sz w:val="20"/>
                <w:szCs w:val="20"/>
              </w:rPr>
            </w:pPr>
            <w:r>
              <w:rPr>
                <w:sz w:val="20"/>
                <w:szCs w:val="20"/>
              </w:rPr>
              <w:t>In addition to milestones as listed, Judicial Council shall require a cost reconciliation effort of 100% DD/pre-WD set immediately upon contracting with the CMR.</w:t>
            </w:r>
          </w:p>
        </w:tc>
      </w:tr>
      <w:tr w:rsidR="00AF4C5B" w:rsidRPr="001F1017" w:rsidTr="007E49E1">
        <w:trPr>
          <w:cantSplit/>
        </w:trPr>
        <w:tc>
          <w:tcPr>
            <w:tcW w:w="501" w:type="dxa"/>
            <w:shd w:val="clear" w:color="auto" w:fill="EDE8CB"/>
          </w:tcPr>
          <w:p w:rsidR="00AF4C5B" w:rsidRPr="00424034" w:rsidRDefault="00AF4C5B" w:rsidP="00EE7296">
            <w:pPr>
              <w:pStyle w:val="TableSection"/>
              <w:jc w:val="center"/>
              <w:rPr>
                <w:rFonts w:ascii="Times New Roman" w:hAnsi="Times New Roman"/>
                <w:sz w:val="20"/>
              </w:rPr>
            </w:pPr>
            <w:r w:rsidRPr="00424034">
              <w:rPr>
                <w:rFonts w:ascii="Times New Roman" w:hAnsi="Times New Roman"/>
                <w:sz w:val="20"/>
              </w:rPr>
              <w:t>3</w:t>
            </w:r>
          </w:p>
        </w:tc>
        <w:tc>
          <w:tcPr>
            <w:tcW w:w="2746" w:type="dxa"/>
            <w:shd w:val="clear" w:color="auto" w:fill="auto"/>
          </w:tcPr>
          <w:p w:rsidR="00AF4C5B" w:rsidRPr="00240C4E" w:rsidRDefault="00240C4E" w:rsidP="00240C4E">
            <w:pPr>
              <w:pStyle w:val="TableBullet"/>
              <w:numPr>
                <w:ilvl w:val="0"/>
                <w:numId w:val="0"/>
              </w:numPr>
              <w:spacing w:before="0" w:after="0"/>
              <w:ind w:left="162"/>
              <w:rPr>
                <w:rFonts w:cs="Calibri"/>
                <w:color w:val="auto"/>
                <w:sz w:val="20"/>
              </w:rPr>
            </w:pPr>
            <w:r>
              <w:rPr>
                <w:sz w:val="20"/>
              </w:rPr>
              <w:t>Exhibit A – 5.1.15.3</w:t>
            </w:r>
          </w:p>
        </w:tc>
        <w:tc>
          <w:tcPr>
            <w:tcW w:w="4950" w:type="dxa"/>
          </w:tcPr>
          <w:p w:rsidR="00AF4C5B" w:rsidRPr="00240C4E" w:rsidRDefault="00240C4E" w:rsidP="00240C4E">
            <w:pPr>
              <w:pStyle w:val="TableBodyText"/>
              <w:spacing w:before="0" w:after="0"/>
              <w:rPr>
                <w:rFonts w:cs="Calibri"/>
                <w:sz w:val="20"/>
                <w:szCs w:val="20"/>
              </w:rPr>
            </w:pPr>
            <w:r>
              <w:rPr>
                <w:sz w:val="20"/>
                <w:szCs w:val="20"/>
              </w:rPr>
              <w:t>Please confirm that this scope is not requiring an independent licensed plan check service within the CMR’s General Conditions.</w:t>
            </w:r>
          </w:p>
        </w:tc>
        <w:tc>
          <w:tcPr>
            <w:tcW w:w="5310" w:type="dxa"/>
            <w:shd w:val="clear" w:color="auto" w:fill="auto"/>
            <w:vAlign w:val="bottom"/>
          </w:tcPr>
          <w:p w:rsidR="00AF4C5B" w:rsidRDefault="00240C4E" w:rsidP="00EE7296">
            <w:pPr>
              <w:pStyle w:val="TableBodyText"/>
              <w:spacing w:before="0" w:after="0"/>
              <w:rPr>
                <w:sz w:val="20"/>
                <w:szCs w:val="20"/>
              </w:rPr>
            </w:pPr>
            <w:r>
              <w:rPr>
                <w:sz w:val="20"/>
                <w:szCs w:val="20"/>
              </w:rPr>
              <w:t>The scope does not require an independent licensed plan check service. A person within the CMR firm with same professional qualifications and who was not directly responsible for creating the documents may do the QA/QC.</w:t>
            </w:r>
          </w:p>
          <w:p w:rsidR="007E49E1" w:rsidRPr="00240C4E" w:rsidRDefault="007E49E1" w:rsidP="00EE7296">
            <w:pPr>
              <w:pStyle w:val="TableBodyText"/>
              <w:spacing w:before="0" w:after="0"/>
              <w:rPr>
                <w:rFonts w:cs="Calibri"/>
                <w:sz w:val="20"/>
                <w:szCs w:val="20"/>
              </w:rPr>
            </w:pPr>
          </w:p>
        </w:tc>
      </w:tr>
      <w:tr w:rsidR="00AF4C5B" w:rsidRPr="001F1017" w:rsidTr="007E49E1">
        <w:trPr>
          <w:cantSplit/>
        </w:trPr>
        <w:tc>
          <w:tcPr>
            <w:tcW w:w="501" w:type="dxa"/>
            <w:shd w:val="clear" w:color="auto" w:fill="EDE8CB"/>
          </w:tcPr>
          <w:p w:rsidR="00AF4C5B" w:rsidRPr="00424034" w:rsidRDefault="00AF4C5B" w:rsidP="00EE7296">
            <w:pPr>
              <w:pStyle w:val="TableSection"/>
              <w:jc w:val="center"/>
              <w:rPr>
                <w:rFonts w:ascii="Times New Roman" w:hAnsi="Times New Roman"/>
                <w:sz w:val="20"/>
              </w:rPr>
            </w:pPr>
            <w:r w:rsidRPr="00424034">
              <w:rPr>
                <w:rFonts w:ascii="Times New Roman" w:hAnsi="Times New Roman"/>
                <w:sz w:val="20"/>
              </w:rPr>
              <w:lastRenderedPageBreak/>
              <w:t>4</w:t>
            </w:r>
          </w:p>
        </w:tc>
        <w:tc>
          <w:tcPr>
            <w:tcW w:w="2746" w:type="dxa"/>
            <w:shd w:val="clear" w:color="auto" w:fill="auto"/>
          </w:tcPr>
          <w:p w:rsidR="00AF4C5B" w:rsidRPr="007E49E1" w:rsidRDefault="00240C4E" w:rsidP="00240C4E">
            <w:pPr>
              <w:pStyle w:val="TableBullet"/>
              <w:numPr>
                <w:ilvl w:val="0"/>
                <w:numId w:val="0"/>
              </w:numPr>
              <w:spacing w:before="0" w:after="0"/>
              <w:ind w:left="162"/>
              <w:rPr>
                <w:rFonts w:cs="Calibri"/>
                <w:color w:val="auto"/>
                <w:sz w:val="20"/>
              </w:rPr>
            </w:pPr>
            <w:r w:rsidRPr="007E49E1">
              <w:rPr>
                <w:sz w:val="20"/>
              </w:rPr>
              <w:t>Exhibit A – 1.1.4, 5.3.8.12.2, 5.3.8.12.7, and 5.4.6</w:t>
            </w:r>
          </w:p>
        </w:tc>
        <w:tc>
          <w:tcPr>
            <w:tcW w:w="4950" w:type="dxa"/>
            <w:vAlign w:val="bottom"/>
          </w:tcPr>
          <w:p w:rsidR="00AF4C5B" w:rsidRDefault="00240C4E" w:rsidP="00EE7296">
            <w:pPr>
              <w:pStyle w:val="TableBodyText"/>
              <w:spacing w:before="0" w:after="0"/>
              <w:rPr>
                <w:sz w:val="20"/>
                <w:szCs w:val="20"/>
              </w:rPr>
            </w:pPr>
            <w:r w:rsidRPr="007E49E1">
              <w:rPr>
                <w:sz w:val="20"/>
                <w:szCs w:val="20"/>
              </w:rPr>
              <w:t>Please verify the scope of services relating to the advertisement, prequalification, solicitation and bid analysis for the FF&amp;E scopes of work.  Exhibit A – 1.1.4 states that these are to be included within the CMR’s scope of services.</w:t>
            </w:r>
          </w:p>
          <w:p w:rsidR="007E49E1" w:rsidRPr="007E49E1" w:rsidRDefault="007E49E1" w:rsidP="00EE7296">
            <w:pPr>
              <w:pStyle w:val="TableBodyText"/>
              <w:spacing w:before="0" w:after="0"/>
              <w:rPr>
                <w:rFonts w:cs="Calibri"/>
                <w:sz w:val="20"/>
                <w:szCs w:val="20"/>
              </w:rPr>
            </w:pPr>
          </w:p>
        </w:tc>
        <w:tc>
          <w:tcPr>
            <w:tcW w:w="5310" w:type="dxa"/>
            <w:shd w:val="clear" w:color="auto" w:fill="auto"/>
          </w:tcPr>
          <w:p w:rsidR="00AF4C5B" w:rsidRPr="007E49E1" w:rsidRDefault="00240C4E" w:rsidP="00240C4E">
            <w:pPr>
              <w:pStyle w:val="TableBodyText"/>
              <w:spacing w:before="0" w:after="0"/>
              <w:rPr>
                <w:rFonts w:cs="Calibri"/>
                <w:sz w:val="20"/>
                <w:szCs w:val="20"/>
              </w:rPr>
            </w:pPr>
            <w:r w:rsidRPr="007E49E1">
              <w:rPr>
                <w:sz w:val="20"/>
                <w:szCs w:val="20"/>
              </w:rPr>
              <w:t xml:space="preserve">Revise Exhibit A-1.1.4; 5.3.8.12.2, 5.3.8.12.7, and 5.4.6 to state that furniture purchase is not part of the scope of the CMR. However, CMR </w:t>
            </w:r>
            <w:r w:rsidR="00A90CC2" w:rsidRPr="007E49E1">
              <w:rPr>
                <w:sz w:val="20"/>
                <w:szCs w:val="20"/>
              </w:rPr>
              <w:t>will coordinate</w:t>
            </w:r>
            <w:r w:rsidRPr="007E49E1">
              <w:rPr>
                <w:sz w:val="20"/>
                <w:szCs w:val="20"/>
              </w:rPr>
              <w:t xml:space="preserve"> installation </w:t>
            </w:r>
            <w:r w:rsidR="00A90CC2" w:rsidRPr="007E49E1">
              <w:rPr>
                <w:sz w:val="20"/>
                <w:szCs w:val="20"/>
              </w:rPr>
              <w:t>of power</w:t>
            </w:r>
            <w:r w:rsidRPr="007E49E1">
              <w:rPr>
                <w:sz w:val="20"/>
                <w:szCs w:val="20"/>
              </w:rPr>
              <w:t>, audio visual, communication and data to the furniture.</w:t>
            </w:r>
          </w:p>
        </w:tc>
      </w:tr>
      <w:tr w:rsidR="00AF4C5B" w:rsidRPr="001F1017" w:rsidTr="007E49E1">
        <w:trPr>
          <w:cantSplit/>
        </w:trPr>
        <w:tc>
          <w:tcPr>
            <w:tcW w:w="501" w:type="dxa"/>
            <w:tcBorders>
              <w:bottom w:val="single" w:sz="4" w:space="0" w:color="auto"/>
            </w:tcBorders>
            <w:shd w:val="clear" w:color="auto" w:fill="EDE8CB"/>
          </w:tcPr>
          <w:p w:rsidR="00AF4C5B" w:rsidRPr="00424034" w:rsidRDefault="00AF4C5B" w:rsidP="00EE7296">
            <w:pPr>
              <w:pStyle w:val="TableSection"/>
              <w:jc w:val="center"/>
              <w:rPr>
                <w:rFonts w:ascii="Times New Roman" w:hAnsi="Times New Roman"/>
                <w:sz w:val="20"/>
              </w:rPr>
            </w:pPr>
            <w:r w:rsidRPr="00424034">
              <w:rPr>
                <w:rFonts w:ascii="Times New Roman" w:hAnsi="Times New Roman"/>
                <w:sz w:val="20"/>
              </w:rPr>
              <w:t>5</w:t>
            </w:r>
          </w:p>
        </w:tc>
        <w:tc>
          <w:tcPr>
            <w:tcW w:w="2746" w:type="dxa"/>
            <w:tcBorders>
              <w:bottom w:val="single" w:sz="4" w:space="0" w:color="auto"/>
            </w:tcBorders>
            <w:shd w:val="clear" w:color="auto" w:fill="auto"/>
          </w:tcPr>
          <w:p w:rsidR="00AF4C5B" w:rsidRPr="007E49E1" w:rsidRDefault="00240C4E" w:rsidP="00240C4E">
            <w:pPr>
              <w:autoSpaceDE w:val="0"/>
              <w:autoSpaceDN w:val="0"/>
              <w:adjustRightInd w:val="0"/>
              <w:rPr>
                <w:rFonts w:ascii="Verdana" w:hAnsi="Verdana" w:cs="Calibri"/>
                <w:sz w:val="20"/>
                <w:lang w:val="en-GB"/>
              </w:rPr>
            </w:pPr>
            <w:r w:rsidRPr="007E49E1">
              <w:rPr>
                <w:rFonts w:ascii="Verdana" w:hAnsi="Verdana"/>
                <w:sz w:val="20"/>
              </w:rPr>
              <w:t>Exhibit G – Excluded Contractor</w:t>
            </w:r>
            <w:r w:rsidR="00F67017">
              <w:rPr>
                <w:rFonts w:ascii="Verdana" w:hAnsi="Verdana"/>
                <w:sz w:val="20"/>
              </w:rPr>
              <w:t>s</w:t>
            </w:r>
          </w:p>
        </w:tc>
        <w:tc>
          <w:tcPr>
            <w:tcW w:w="4950" w:type="dxa"/>
            <w:tcBorders>
              <w:bottom w:val="single" w:sz="4" w:space="0" w:color="auto"/>
            </w:tcBorders>
          </w:tcPr>
          <w:p w:rsidR="00AF4C5B" w:rsidRPr="007E49E1" w:rsidRDefault="00240C4E" w:rsidP="007E49E1">
            <w:pPr>
              <w:autoSpaceDE w:val="0"/>
              <w:autoSpaceDN w:val="0"/>
              <w:adjustRightInd w:val="0"/>
              <w:rPr>
                <w:rFonts w:ascii="Verdana" w:hAnsi="Verdana" w:cs="Calibri"/>
                <w:sz w:val="20"/>
                <w:lang w:val="en-GB"/>
              </w:rPr>
            </w:pPr>
            <w:r w:rsidRPr="007E49E1">
              <w:rPr>
                <w:rFonts w:ascii="Verdana" w:hAnsi="Verdana"/>
                <w:sz w:val="20"/>
              </w:rPr>
              <w:t>The excluded contractors section of the OCIP manual provided in Exhibit G indicates that any subcontractors may be excluded in dealing with hazardous materials (such as grading of the naturally occurring asbestos materials that are likely to be found on-site).  Please confirm that the insurance costs for those subcontractors that are excluded from the OCIP will have those premiums considered a Direct Cost of Work and that those premiums will be allowable with respect to changes and mark-ups (contrary to the Exhibit H limitations on insurances)</w:t>
            </w:r>
          </w:p>
        </w:tc>
        <w:tc>
          <w:tcPr>
            <w:tcW w:w="5310" w:type="dxa"/>
            <w:tcBorders>
              <w:bottom w:val="single" w:sz="4" w:space="0" w:color="auto"/>
            </w:tcBorders>
            <w:shd w:val="clear" w:color="auto" w:fill="auto"/>
          </w:tcPr>
          <w:p w:rsidR="00240C4E" w:rsidRPr="007E49E1" w:rsidRDefault="00240C4E" w:rsidP="00240C4E">
            <w:pPr>
              <w:rPr>
                <w:rFonts w:ascii="Verdana" w:hAnsi="Verdana"/>
                <w:sz w:val="20"/>
              </w:rPr>
            </w:pPr>
            <w:r w:rsidRPr="007E49E1">
              <w:rPr>
                <w:rFonts w:ascii="Verdana" w:hAnsi="Verdana"/>
                <w:sz w:val="20"/>
              </w:rPr>
              <w:t xml:space="preserve">Pursuant to section 8.1.5.1 of Exhibit H, General Conditions of the </w:t>
            </w:r>
            <w:r w:rsidRPr="007E49E1">
              <w:rPr>
                <w:rFonts w:ascii="Verdana" w:hAnsi="Verdana"/>
                <w:sz w:val="20"/>
                <w:u w:val="single"/>
              </w:rPr>
              <w:t>CM at Risk Agreement for Preconstruction and Construction Phase Services</w:t>
            </w:r>
            <w:r w:rsidRPr="007E49E1">
              <w:rPr>
                <w:rFonts w:ascii="Verdana" w:hAnsi="Verdana"/>
                <w:sz w:val="20"/>
              </w:rPr>
              <w:t xml:space="preserve"> any contractually required insurance, other than OCIP insurance, is a direct cost of the work, as defined.  Excluded contractors will be required to provide the insurance a</w:t>
            </w:r>
            <w:r w:rsidR="00F67017">
              <w:rPr>
                <w:rFonts w:ascii="Verdana" w:hAnsi="Verdana"/>
                <w:sz w:val="20"/>
              </w:rPr>
              <w:t>s</w:t>
            </w:r>
            <w:r w:rsidRPr="007E49E1">
              <w:rPr>
                <w:rFonts w:ascii="Verdana" w:hAnsi="Verdana"/>
                <w:sz w:val="20"/>
              </w:rPr>
              <w:t xml:space="preserve"> required under Exhibit H, section 11.1.1.4 and these costs will be considered direct costs of the work.</w:t>
            </w:r>
          </w:p>
          <w:p w:rsidR="00AF4C5B" w:rsidRPr="007E49E1" w:rsidRDefault="00AF4C5B" w:rsidP="00240C4E">
            <w:pPr>
              <w:pStyle w:val="TableBodyText"/>
              <w:spacing w:before="0" w:after="0"/>
              <w:rPr>
                <w:rFonts w:cs="Calibri"/>
                <w:sz w:val="20"/>
                <w:szCs w:val="20"/>
              </w:rPr>
            </w:pPr>
          </w:p>
          <w:p w:rsidR="00240C4E" w:rsidRPr="007E49E1" w:rsidRDefault="00240C4E" w:rsidP="00240C4E">
            <w:pPr>
              <w:rPr>
                <w:rFonts w:ascii="Verdana" w:hAnsi="Verdana"/>
                <w:sz w:val="20"/>
              </w:rPr>
            </w:pPr>
            <w:r w:rsidRPr="007E49E1">
              <w:rPr>
                <w:rFonts w:ascii="Verdana" w:hAnsi="Verdana"/>
                <w:sz w:val="20"/>
              </w:rPr>
              <w:t>Excluded contractor insurance costs are a direct cost of the work, e.g. Exhibit H section 6.3.3.1.  The costs would be included in the CMR's proposed price to be added or deducted from the GMP due to the change, authenticated in full by completely detailed price estimates and other authenticators of the cost by the CMR, Subcontractors, Sub-subcontractors, vendors or material suppliers, and any adjustments of time for completion of the entire work that is directly attributable to the proposed change in the Work.  Therefore, the insurance costs would not be an allowable mark-up for added work.</w:t>
            </w:r>
          </w:p>
          <w:p w:rsidR="00240C4E" w:rsidRPr="007E49E1" w:rsidRDefault="00240C4E" w:rsidP="00240C4E">
            <w:pPr>
              <w:pStyle w:val="TableBodyText"/>
              <w:spacing w:before="0" w:after="0"/>
              <w:rPr>
                <w:rFonts w:cs="Calibri"/>
                <w:sz w:val="20"/>
                <w:szCs w:val="20"/>
              </w:rPr>
            </w:pPr>
          </w:p>
        </w:tc>
      </w:tr>
      <w:tr w:rsidR="00AF4C5B" w:rsidRPr="001F1017" w:rsidTr="007E49E1">
        <w:trPr>
          <w:cantSplit/>
        </w:trPr>
        <w:tc>
          <w:tcPr>
            <w:tcW w:w="501" w:type="dxa"/>
            <w:shd w:val="clear" w:color="auto" w:fill="EDE8CB"/>
          </w:tcPr>
          <w:p w:rsidR="00AF4C5B" w:rsidRPr="00424034" w:rsidRDefault="00AF4C5B" w:rsidP="00EE7296">
            <w:pPr>
              <w:pStyle w:val="TableSection"/>
              <w:jc w:val="center"/>
              <w:rPr>
                <w:rFonts w:ascii="Times New Roman" w:hAnsi="Times New Roman"/>
                <w:sz w:val="20"/>
              </w:rPr>
            </w:pPr>
          </w:p>
        </w:tc>
        <w:tc>
          <w:tcPr>
            <w:tcW w:w="2746" w:type="dxa"/>
            <w:shd w:val="clear" w:color="auto" w:fill="auto"/>
            <w:vAlign w:val="bottom"/>
          </w:tcPr>
          <w:p w:rsidR="00AF4C5B" w:rsidRPr="00240C4E" w:rsidRDefault="00CA54A1" w:rsidP="00EE7296">
            <w:pPr>
              <w:autoSpaceDE w:val="0"/>
              <w:autoSpaceDN w:val="0"/>
              <w:adjustRightInd w:val="0"/>
              <w:rPr>
                <w:rFonts w:ascii="Verdana" w:hAnsi="Verdana" w:cs="Calibri"/>
                <w:sz w:val="20"/>
                <w:lang w:val="en-GB"/>
              </w:rPr>
            </w:pPr>
            <w:r w:rsidRPr="00240C4E">
              <w:rPr>
                <w:rFonts w:ascii="Verdana" w:hAnsi="Verdana" w:cs="Calibri"/>
                <w:sz w:val="20"/>
                <w:lang w:val="en-GB"/>
              </w:rPr>
              <w:fldChar w:fldCharType="begin">
                <w:ffData>
                  <w:name w:val="Text122"/>
                  <w:enabled/>
                  <w:calcOnExit w:val="0"/>
                  <w:textInput/>
                </w:ffData>
              </w:fldChar>
            </w:r>
            <w:bookmarkStart w:id="0" w:name="Text122"/>
            <w:r w:rsidR="00AF4C5B" w:rsidRPr="00240C4E">
              <w:rPr>
                <w:rFonts w:ascii="Verdana" w:hAnsi="Verdana" w:cs="Calibri"/>
                <w:sz w:val="20"/>
                <w:lang w:val="en-GB"/>
              </w:rPr>
              <w:instrText xml:space="preserve"> FORMTEXT </w:instrText>
            </w:r>
            <w:r w:rsidRPr="00240C4E">
              <w:rPr>
                <w:rFonts w:ascii="Verdana" w:hAnsi="Verdana" w:cs="Calibri"/>
                <w:sz w:val="20"/>
                <w:lang w:val="en-GB"/>
              </w:rPr>
            </w:r>
            <w:r w:rsidRPr="00240C4E">
              <w:rPr>
                <w:rFonts w:ascii="Verdana" w:hAnsi="Verdana" w:cs="Calibri"/>
                <w:sz w:val="20"/>
                <w:lang w:val="en-GB"/>
              </w:rPr>
              <w:fldChar w:fldCharType="separate"/>
            </w:r>
            <w:r w:rsidR="00AF4C5B" w:rsidRPr="00240C4E">
              <w:rPr>
                <w:rFonts w:asciiTheme="minorHAnsi" w:hAnsiTheme="minorHAnsi" w:cs="Calibri"/>
                <w:noProof/>
                <w:sz w:val="20"/>
                <w:lang w:val="en-GB"/>
              </w:rPr>
              <w:t> </w:t>
            </w:r>
            <w:r w:rsidR="00AF4C5B" w:rsidRPr="00240C4E">
              <w:rPr>
                <w:rFonts w:asciiTheme="minorHAnsi" w:hAnsiTheme="minorHAnsi" w:cs="Calibri"/>
                <w:noProof/>
                <w:sz w:val="20"/>
                <w:lang w:val="en-GB"/>
              </w:rPr>
              <w:t> </w:t>
            </w:r>
            <w:r w:rsidR="00AF4C5B" w:rsidRPr="00240C4E">
              <w:rPr>
                <w:rFonts w:asciiTheme="minorHAnsi" w:hAnsiTheme="minorHAnsi" w:cs="Calibri"/>
                <w:noProof/>
                <w:sz w:val="20"/>
                <w:lang w:val="en-GB"/>
              </w:rPr>
              <w:t> </w:t>
            </w:r>
            <w:r w:rsidR="00AF4C5B" w:rsidRPr="00240C4E">
              <w:rPr>
                <w:rFonts w:asciiTheme="minorHAnsi" w:hAnsiTheme="minorHAnsi" w:cs="Calibri"/>
                <w:noProof/>
                <w:sz w:val="20"/>
                <w:lang w:val="en-GB"/>
              </w:rPr>
              <w:t> </w:t>
            </w:r>
            <w:r w:rsidR="00AF4C5B" w:rsidRPr="00240C4E">
              <w:rPr>
                <w:rFonts w:asciiTheme="minorHAnsi" w:hAnsiTheme="minorHAnsi" w:cs="Calibri"/>
                <w:noProof/>
                <w:sz w:val="20"/>
                <w:lang w:val="en-GB"/>
              </w:rPr>
              <w:t> </w:t>
            </w:r>
            <w:r w:rsidRPr="00240C4E">
              <w:rPr>
                <w:rFonts w:ascii="Verdana" w:hAnsi="Verdana" w:cs="Calibri"/>
                <w:sz w:val="20"/>
                <w:lang w:val="en-GB"/>
              </w:rPr>
              <w:fldChar w:fldCharType="end"/>
            </w:r>
            <w:bookmarkEnd w:id="0"/>
          </w:p>
        </w:tc>
        <w:tc>
          <w:tcPr>
            <w:tcW w:w="4950" w:type="dxa"/>
            <w:vAlign w:val="bottom"/>
          </w:tcPr>
          <w:p w:rsidR="00AF4C5B" w:rsidRPr="00240C4E" w:rsidRDefault="00CA54A1" w:rsidP="00EE7296">
            <w:pPr>
              <w:autoSpaceDE w:val="0"/>
              <w:autoSpaceDN w:val="0"/>
              <w:adjustRightInd w:val="0"/>
              <w:rPr>
                <w:rFonts w:ascii="Verdana" w:hAnsi="Verdana" w:cs="Calibri"/>
                <w:sz w:val="20"/>
                <w:lang w:val="en-GB"/>
              </w:rPr>
            </w:pPr>
            <w:r w:rsidRPr="00240C4E">
              <w:rPr>
                <w:rFonts w:ascii="Verdana" w:hAnsi="Verdana" w:cs="Calibri"/>
                <w:sz w:val="20"/>
                <w:lang w:val="en-GB"/>
              </w:rPr>
              <w:fldChar w:fldCharType="begin">
                <w:ffData>
                  <w:name w:val="Text147"/>
                  <w:enabled/>
                  <w:calcOnExit w:val="0"/>
                  <w:textInput/>
                </w:ffData>
              </w:fldChar>
            </w:r>
            <w:bookmarkStart w:id="1" w:name="Text147"/>
            <w:r w:rsidR="00AF4C5B" w:rsidRPr="00240C4E">
              <w:rPr>
                <w:rFonts w:ascii="Verdana" w:hAnsi="Verdana" w:cs="Calibri"/>
                <w:sz w:val="20"/>
                <w:lang w:val="en-GB"/>
              </w:rPr>
              <w:instrText xml:space="preserve"> FORMTEXT </w:instrText>
            </w:r>
            <w:r w:rsidRPr="00240C4E">
              <w:rPr>
                <w:rFonts w:ascii="Verdana" w:hAnsi="Verdana" w:cs="Calibri"/>
                <w:sz w:val="20"/>
                <w:lang w:val="en-GB"/>
              </w:rPr>
            </w:r>
            <w:r w:rsidRPr="00240C4E">
              <w:rPr>
                <w:rFonts w:ascii="Verdana" w:hAnsi="Verdana" w:cs="Calibri"/>
                <w:sz w:val="20"/>
                <w:lang w:val="en-GB"/>
              </w:rPr>
              <w:fldChar w:fldCharType="separate"/>
            </w:r>
            <w:r w:rsidR="00AF4C5B" w:rsidRPr="00240C4E">
              <w:rPr>
                <w:rFonts w:asciiTheme="minorHAnsi" w:hAnsiTheme="minorHAnsi" w:cs="Calibri"/>
                <w:noProof/>
                <w:sz w:val="20"/>
                <w:lang w:val="en-GB"/>
              </w:rPr>
              <w:t> </w:t>
            </w:r>
            <w:r w:rsidR="00AF4C5B" w:rsidRPr="00240C4E">
              <w:rPr>
                <w:rFonts w:asciiTheme="minorHAnsi" w:hAnsiTheme="minorHAnsi" w:cs="Calibri"/>
                <w:noProof/>
                <w:sz w:val="20"/>
                <w:lang w:val="en-GB"/>
              </w:rPr>
              <w:t> </w:t>
            </w:r>
            <w:r w:rsidR="00AF4C5B" w:rsidRPr="00240C4E">
              <w:rPr>
                <w:rFonts w:asciiTheme="minorHAnsi" w:hAnsiTheme="minorHAnsi" w:cs="Calibri"/>
                <w:noProof/>
                <w:sz w:val="20"/>
                <w:lang w:val="en-GB"/>
              </w:rPr>
              <w:t> </w:t>
            </w:r>
            <w:r w:rsidR="00AF4C5B" w:rsidRPr="00240C4E">
              <w:rPr>
                <w:rFonts w:asciiTheme="minorHAnsi" w:hAnsiTheme="minorHAnsi" w:cs="Calibri"/>
                <w:noProof/>
                <w:sz w:val="20"/>
                <w:lang w:val="en-GB"/>
              </w:rPr>
              <w:t> </w:t>
            </w:r>
            <w:r w:rsidR="00AF4C5B" w:rsidRPr="00240C4E">
              <w:rPr>
                <w:rFonts w:asciiTheme="minorHAnsi" w:hAnsiTheme="minorHAnsi" w:cs="Calibri"/>
                <w:noProof/>
                <w:sz w:val="20"/>
                <w:lang w:val="en-GB"/>
              </w:rPr>
              <w:t> </w:t>
            </w:r>
            <w:r w:rsidRPr="00240C4E">
              <w:rPr>
                <w:rFonts w:ascii="Verdana" w:hAnsi="Verdana" w:cs="Calibri"/>
                <w:sz w:val="20"/>
                <w:lang w:val="en-GB"/>
              </w:rPr>
              <w:fldChar w:fldCharType="end"/>
            </w:r>
            <w:bookmarkEnd w:id="1"/>
          </w:p>
        </w:tc>
        <w:tc>
          <w:tcPr>
            <w:tcW w:w="5310" w:type="dxa"/>
            <w:shd w:val="clear" w:color="auto" w:fill="auto"/>
            <w:vAlign w:val="bottom"/>
          </w:tcPr>
          <w:p w:rsidR="00AF4C5B" w:rsidRPr="00240C4E" w:rsidRDefault="00CA54A1" w:rsidP="00EE7296">
            <w:pPr>
              <w:pStyle w:val="TableBodyText"/>
              <w:spacing w:before="0" w:after="0"/>
              <w:rPr>
                <w:rFonts w:cs="Calibri"/>
                <w:sz w:val="20"/>
                <w:szCs w:val="20"/>
              </w:rPr>
            </w:pPr>
            <w:r w:rsidRPr="00240C4E">
              <w:rPr>
                <w:rFonts w:cs="Calibri"/>
                <w:sz w:val="20"/>
              </w:rPr>
              <w:fldChar w:fldCharType="begin">
                <w:ffData>
                  <w:name w:val="Text172"/>
                  <w:enabled/>
                  <w:calcOnExit w:val="0"/>
                  <w:textInput/>
                </w:ffData>
              </w:fldChar>
            </w:r>
            <w:bookmarkStart w:id="2" w:name="Text172"/>
            <w:r w:rsidR="00AF4C5B" w:rsidRPr="00240C4E">
              <w:rPr>
                <w:rFonts w:cs="Calibri"/>
                <w:sz w:val="20"/>
                <w:szCs w:val="20"/>
              </w:rPr>
              <w:instrText xml:space="preserve"> FORMTEXT </w:instrText>
            </w:r>
            <w:r w:rsidRPr="00240C4E">
              <w:rPr>
                <w:rFonts w:cs="Calibri"/>
                <w:sz w:val="20"/>
              </w:rPr>
            </w:r>
            <w:r w:rsidRPr="00240C4E">
              <w:rPr>
                <w:rFonts w:cs="Calibri"/>
                <w:sz w:val="20"/>
              </w:rPr>
              <w:fldChar w:fldCharType="separate"/>
            </w:r>
            <w:r w:rsidR="00AF4C5B" w:rsidRPr="00240C4E">
              <w:rPr>
                <w:rFonts w:asciiTheme="minorHAnsi" w:hAnsiTheme="minorHAnsi" w:cs="Calibri"/>
                <w:noProof/>
                <w:sz w:val="20"/>
                <w:szCs w:val="20"/>
              </w:rPr>
              <w:t> </w:t>
            </w:r>
            <w:r w:rsidR="00AF4C5B" w:rsidRPr="00240C4E">
              <w:rPr>
                <w:rFonts w:asciiTheme="minorHAnsi" w:hAnsiTheme="minorHAnsi" w:cs="Calibri"/>
                <w:noProof/>
                <w:sz w:val="20"/>
                <w:szCs w:val="20"/>
              </w:rPr>
              <w:t> </w:t>
            </w:r>
            <w:r w:rsidR="00AF4C5B" w:rsidRPr="00240C4E">
              <w:rPr>
                <w:rFonts w:asciiTheme="minorHAnsi" w:hAnsiTheme="minorHAnsi" w:cs="Calibri"/>
                <w:noProof/>
                <w:sz w:val="20"/>
                <w:szCs w:val="20"/>
              </w:rPr>
              <w:t> </w:t>
            </w:r>
            <w:r w:rsidR="00AF4C5B" w:rsidRPr="00240C4E">
              <w:rPr>
                <w:rFonts w:asciiTheme="minorHAnsi" w:hAnsiTheme="minorHAnsi" w:cs="Calibri"/>
                <w:noProof/>
                <w:sz w:val="20"/>
                <w:szCs w:val="20"/>
              </w:rPr>
              <w:t> </w:t>
            </w:r>
            <w:r w:rsidR="00AF4C5B" w:rsidRPr="00240C4E">
              <w:rPr>
                <w:rFonts w:asciiTheme="minorHAnsi" w:hAnsiTheme="minorHAnsi" w:cs="Calibri"/>
                <w:noProof/>
                <w:sz w:val="20"/>
                <w:szCs w:val="20"/>
              </w:rPr>
              <w:t> </w:t>
            </w:r>
            <w:r w:rsidRPr="00240C4E">
              <w:rPr>
                <w:rFonts w:cs="Calibri"/>
                <w:sz w:val="20"/>
              </w:rPr>
              <w:fldChar w:fldCharType="end"/>
            </w:r>
            <w:bookmarkEnd w:id="2"/>
          </w:p>
        </w:tc>
      </w:tr>
    </w:tbl>
    <w:p w:rsidR="00AF4C5B" w:rsidRDefault="00AF4C5B"/>
    <w:sectPr w:rsidR="00AF4C5B" w:rsidSect="00EE729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AF4C5B"/>
    <w:rsid w:val="00003D0B"/>
    <w:rsid w:val="00240C4E"/>
    <w:rsid w:val="00241BE6"/>
    <w:rsid w:val="0065699E"/>
    <w:rsid w:val="007A19B4"/>
    <w:rsid w:val="007E49E1"/>
    <w:rsid w:val="00A90CC2"/>
    <w:rsid w:val="00AF4C5B"/>
    <w:rsid w:val="00CA54A1"/>
    <w:rsid w:val="00CF1CF6"/>
    <w:rsid w:val="00E91F75"/>
    <w:rsid w:val="00EE7296"/>
    <w:rsid w:val="00F67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5B"/>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dCentrL1">
    <w:name w:val="PldCentr_L1"/>
    <w:basedOn w:val="Normal"/>
    <w:next w:val="BalloonText"/>
    <w:link w:val="PldCentrL1Char"/>
    <w:locked/>
    <w:rsid w:val="00AF4C5B"/>
    <w:pPr>
      <w:widowControl w:val="0"/>
      <w:numPr>
        <w:ilvl w:val="7"/>
        <w:numId w:val="1"/>
      </w:numPr>
      <w:tabs>
        <w:tab w:val="clear" w:pos="5040"/>
        <w:tab w:val="num" w:pos="0"/>
      </w:tabs>
      <w:spacing w:after="240"/>
      <w:ind w:left="0" w:firstLine="0"/>
      <w:jc w:val="center"/>
      <w:outlineLvl w:val="0"/>
    </w:pPr>
    <w:rPr>
      <w:rFonts w:ascii="Times New Roman" w:eastAsia="Times" w:hAnsi="Times New Roman"/>
      <w:b/>
    </w:rPr>
  </w:style>
  <w:style w:type="character" w:customStyle="1" w:styleId="PldCentrL1Char">
    <w:name w:val="PldCentr_L1 Char"/>
    <w:link w:val="PldCentrL1"/>
    <w:locked/>
    <w:rsid w:val="00AF4C5B"/>
    <w:rPr>
      <w:rFonts w:ascii="Times New Roman" w:eastAsia="Times" w:hAnsi="Times New Roman" w:cs="Times New Roman"/>
      <w:b/>
      <w:sz w:val="24"/>
      <w:szCs w:val="20"/>
    </w:rPr>
  </w:style>
  <w:style w:type="paragraph" w:customStyle="1" w:styleId="PldCentrL2">
    <w:name w:val="PldCentr_L2"/>
    <w:basedOn w:val="PldCentrL1"/>
    <w:next w:val="BodyText"/>
    <w:locked/>
    <w:rsid w:val="00AF4C5B"/>
    <w:pPr>
      <w:numPr>
        <w:ilvl w:val="1"/>
      </w:numPr>
      <w:jc w:val="left"/>
      <w:outlineLvl w:val="1"/>
    </w:pPr>
    <w:rPr>
      <w:b w:val="0"/>
    </w:rPr>
  </w:style>
  <w:style w:type="paragraph" w:customStyle="1" w:styleId="PldCentrL3">
    <w:name w:val="PldCentr_L3"/>
    <w:basedOn w:val="PldCentrL2"/>
    <w:next w:val="BodyText"/>
    <w:locked/>
    <w:rsid w:val="00AF4C5B"/>
    <w:pPr>
      <w:numPr>
        <w:ilvl w:val="2"/>
      </w:numPr>
      <w:ind w:left="0"/>
      <w:outlineLvl w:val="2"/>
    </w:pPr>
  </w:style>
  <w:style w:type="paragraph" w:customStyle="1" w:styleId="PldCentrL4">
    <w:name w:val="PldCentr_L4"/>
    <w:basedOn w:val="PldCentrL3"/>
    <w:next w:val="BodyText"/>
    <w:locked/>
    <w:rsid w:val="00AF4C5B"/>
    <w:pPr>
      <w:numPr>
        <w:ilvl w:val="3"/>
      </w:numPr>
      <w:outlineLvl w:val="3"/>
    </w:pPr>
  </w:style>
  <w:style w:type="paragraph" w:customStyle="1" w:styleId="PldCentrL5">
    <w:name w:val="PldCentr_L5"/>
    <w:basedOn w:val="PldCentrL4"/>
    <w:next w:val="BodyText"/>
    <w:locked/>
    <w:rsid w:val="00AF4C5B"/>
    <w:pPr>
      <w:numPr>
        <w:ilvl w:val="4"/>
      </w:numPr>
      <w:outlineLvl w:val="4"/>
    </w:pPr>
  </w:style>
  <w:style w:type="paragraph" w:customStyle="1" w:styleId="PldCentrL6">
    <w:name w:val="PldCentr_L6"/>
    <w:basedOn w:val="PldCentrL5"/>
    <w:next w:val="BodyText"/>
    <w:locked/>
    <w:rsid w:val="00AF4C5B"/>
    <w:pPr>
      <w:numPr>
        <w:ilvl w:val="5"/>
      </w:numPr>
      <w:outlineLvl w:val="5"/>
    </w:pPr>
  </w:style>
  <w:style w:type="paragraph" w:customStyle="1" w:styleId="PldCentrL7">
    <w:name w:val="PldCentr_L7"/>
    <w:basedOn w:val="PldCentrL6"/>
    <w:next w:val="BodyText"/>
    <w:locked/>
    <w:rsid w:val="00AF4C5B"/>
    <w:pPr>
      <w:numPr>
        <w:ilvl w:val="6"/>
      </w:numPr>
      <w:outlineLvl w:val="6"/>
    </w:pPr>
  </w:style>
  <w:style w:type="paragraph" w:customStyle="1" w:styleId="PldCentrL9">
    <w:name w:val="PldCentr_L9"/>
    <w:basedOn w:val="Normal"/>
    <w:next w:val="BodyText"/>
    <w:locked/>
    <w:rsid w:val="00AF4C5B"/>
    <w:pPr>
      <w:widowControl w:val="0"/>
      <w:numPr>
        <w:ilvl w:val="8"/>
        <w:numId w:val="1"/>
      </w:numPr>
      <w:spacing w:before="240"/>
      <w:outlineLvl w:val="8"/>
    </w:pPr>
    <w:rPr>
      <w:rFonts w:ascii="Times New Roman" w:eastAsia="Times" w:hAnsi="Times New Roman"/>
    </w:rPr>
  </w:style>
  <w:style w:type="paragraph" w:customStyle="1" w:styleId="TableSection">
    <w:name w:val="Table Section"/>
    <w:basedOn w:val="Normal"/>
    <w:link w:val="TableSectionChar"/>
    <w:locked/>
    <w:rsid w:val="00AF4C5B"/>
    <w:pPr>
      <w:spacing w:before="60" w:after="60"/>
    </w:pPr>
    <w:rPr>
      <w:rFonts w:ascii="Verdana" w:hAnsi="Verdana"/>
      <w:b/>
      <w:sz w:val="16"/>
    </w:rPr>
  </w:style>
  <w:style w:type="character" w:customStyle="1" w:styleId="TableSectionChar">
    <w:name w:val="Table Section Char"/>
    <w:link w:val="TableSection"/>
    <w:rsid w:val="00AF4C5B"/>
    <w:rPr>
      <w:rFonts w:ascii="Verdana" w:eastAsia="Times New Roman" w:hAnsi="Verdana" w:cs="Times New Roman"/>
      <w:b/>
      <w:sz w:val="16"/>
      <w:szCs w:val="20"/>
    </w:rPr>
  </w:style>
  <w:style w:type="paragraph" w:customStyle="1" w:styleId="TableBodyText">
    <w:name w:val="Table Body Text"/>
    <w:basedOn w:val="Normal"/>
    <w:locked/>
    <w:rsid w:val="00AF4C5B"/>
    <w:pPr>
      <w:spacing w:before="60" w:after="60"/>
    </w:pPr>
    <w:rPr>
      <w:rFonts w:ascii="Verdana" w:hAnsi="Verdana"/>
      <w:sz w:val="16"/>
      <w:szCs w:val="16"/>
    </w:rPr>
  </w:style>
  <w:style w:type="paragraph" w:customStyle="1" w:styleId="TableTitle">
    <w:name w:val="Table Title"/>
    <w:basedOn w:val="Normal"/>
    <w:locked/>
    <w:rsid w:val="00AF4C5B"/>
    <w:pPr>
      <w:spacing w:before="60" w:after="60"/>
    </w:pPr>
    <w:rPr>
      <w:rFonts w:ascii="Verdana" w:hAnsi="Verdana"/>
      <w:b/>
      <w:color w:val="FFFFFF"/>
      <w:sz w:val="16"/>
      <w:szCs w:val="16"/>
    </w:rPr>
  </w:style>
  <w:style w:type="paragraph" w:customStyle="1" w:styleId="TableBullet">
    <w:name w:val="Table Bullet"/>
    <w:basedOn w:val="Normal"/>
    <w:locked/>
    <w:rsid w:val="00AF4C5B"/>
    <w:pPr>
      <w:numPr>
        <w:numId w:val="2"/>
      </w:numPr>
      <w:tabs>
        <w:tab w:val="clear" w:pos="360"/>
      </w:tabs>
      <w:spacing w:before="60" w:after="60"/>
      <w:ind w:left="342" w:hanging="180"/>
    </w:pPr>
    <w:rPr>
      <w:rFonts w:ascii="Verdana" w:hAnsi="Verdana"/>
      <w:color w:val="000000"/>
      <w:sz w:val="16"/>
    </w:rPr>
  </w:style>
  <w:style w:type="paragraph" w:styleId="BodyText">
    <w:name w:val="Body Text"/>
    <w:basedOn w:val="Normal"/>
    <w:link w:val="BodyTextChar"/>
    <w:uiPriority w:val="99"/>
    <w:semiHidden/>
    <w:unhideWhenUsed/>
    <w:rsid w:val="00AF4C5B"/>
    <w:pPr>
      <w:spacing w:after="120"/>
    </w:pPr>
  </w:style>
  <w:style w:type="character" w:customStyle="1" w:styleId="BodyTextChar">
    <w:name w:val="Body Text Char"/>
    <w:basedOn w:val="DefaultParagraphFont"/>
    <w:link w:val="BodyText"/>
    <w:uiPriority w:val="99"/>
    <w:semiHidden/>
    <w:rsid w:val="00AF4C5B"/>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EE7296"/>
    <w:rPr>
      <w:rFonts w:ascii="Tahoma" w:hAnsi="Tahoma" w:cs="Tahoma"/>
      <w:sz w:val="16"/>
      <w:szCs w:val="16"/>
    </w:rPr>
  </w:style>
  <w:style w:type="character" w:customStyle="1" w:styleId="BalloonTextChar">
    <w:name w:val="Balloon Text Char"/>
    <w:basedOn w:val="DefaultParagraphFont"/>
    <w:link w:val="BalloonText"/>
    <w:uiPriority w:val="99"/>
    <w:semiHidden/>
    <w:rsid w:val="00EE72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3065</Characters>
  <Application>Microsoft Office Word</Application>
  <DocSecurity>0</DocSecurity>
  <Lines>113</Lines>
  <Paragraphs>37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Robinson</dc:creator>
  <cp:lastModifiedBy>Barbara Robinson</cp:lastModifiedBy>
  <cp:revision>2</cp:revision>
  <dcterms:created xsi:type="dcterms:W3CDTF">2015-01-14T18:52:00Z</dcterms:created>
  <dcterms:modified xsi:type="dcterms:W3CDTF">2015-01-14T18:52:00Z</dcterms:modified>
</cp:coreProperties>
</file>