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3773BE" w:rsidP="00147E6D">
            <w:pPr>
              <w:pStyle w:val="JCCReportCoverSubhead"/>
              <w:rPr>
                <w:rFonts w:ascii="Arial" w:hAnsi="Arial" w:cs="Arial"/>
                <w:b/>
                <w:szCs w:val="28"/>
              </w:rPr>
            </w:pPr>
            <w:r>
              <w:rPr>
                <w:rFonts w:ascii="Arial" w:hAnsi="Arial" w:cs="Arial"/>
                <w:b/>
                <w:szCs w:val="28"/>
              </w:rPr>
              <w:t>Judicial council of Ca</w:t>
            </w:r>
          </w:p>
          <w:p w:rsidR="00C37FF7" w:rsidRPr="009E10B7" w:rsidRDefault="00C37FF7" w:rsidP="00147E6D">
            <w:pPr>
              <w:pStyle w:val="JCCReportCoverSubhead"/>
              <w:rPr>
                <w:rFonts w:ascii="Arial" w:hAnsi="Arial" w:cs="Arial"/>
                <w:b/>
                <w:szCs w:val="28"/>
              </w:rPr>
            </w:pPr>
          </w:p>
          <w:p w:rsidR="00C37FF7" w:rsidRPr="0031453A" w:rsidRDefault="00C37FF7" w:rsidP="00147E6D">
            <w:pPr>
              <w:pStyle w:val="JCCReportCoverSubhead"/>
              <w:rPr>
                <w:rFonts w:ascii="Arial" w:hAnsi="Arial" w:cs="Arial"/>
                <w:szCs w:val="28"/>
              </w:rPr>
            </w:pPr>
            <w:r>
              <w:rPr>
                <w:rFonts w:ascii="Arial" w:hAnsi="Arial" w:cs="Arial"/>
                <w:b/>
                <w:szCs w:val="28"/>
              </w:rPr>
              <w:t>Regarding:</w:t>
            </w:r>
            <w:r w:rsidR="0031453A">
              <w:rPr>
                <w:rFonts w:ascii="Arial" w:hAnsi="Arial" w:cs="Arial"/>
                <w:b/>
                <w:szCs w:val="28"/>
              </w:rPr>
              <w:t xml:space="preserve"> </w:t>
            </w:r>
            <w:r w:rsidR="0031453A" w:rsidRPr="0031453A">
              <w:rPr>
                <w:b/>
                <w:i/>
                <w:color w:val="0000FF"/>
                <w:sz w:val="22"/>
                <w:szCs w:val="22"/>
              </w:rPr>
              <w:t>Dell OptiPlex 9020</w:t>
            </w:r>
            <w:r w:rsidR="00E2023A">
              <w:rPr>
                <w:b/>
                <w:i/>
                <w:color w:val="0000FF"/>
                <w:sz w:val="22"/>
                <w:szCs w:val="22"/>
              </w:rPr>
              <w:t xml:space="preserve"> Small</w:t>
            </w:r>
            <w:r w:rsidR="0031453A" w:rsidRPr="0031453A">
              <w:rPr>
                <w:b/>
                <w:i/>
                <w:color w:val="0000FF"/>
                <w:sz w:val="22"/>
                <w:szCs w:val="22"/>
              </w:rPr>
              <w:t xml:space="preserve"> Form Factor with and without Monitors /Equipment</w:t>
            </w:r>
            <w:r w:rsidR="0031453A">
              <w:rPr>
                <w:b/>
                <w:i/>
                <w:color w:val="0000FF"/>
                <w:sz w:val="22"/>
                <w:szCs w:val="22"/>
              </w:rPr>
              <w:t xml:space="preserve"> </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FD3159"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Wednesday</w:t>
            </w:r>
            <w:r w:rsidR="00041467">
              <w:rPr>
                <w:rFonts w:ascii="Arial" w:hAnsi="Arial" w:cs="Arial"/>
                <w:b/>
                <w:i/>
                <w:color w:val="FF0000"/>
                <w:sz w:val="28"/>
                <w:szCs w:val="28"/>
              </w:rPr>
              <w:t xml:space="preserve"> </w:t>
            </w:r>
            <w:r w:rsidR="00935BD7">
              <w:rPr>
                <w:rFonts w:ascii="Arial" w:hAnsi="Arial" w:cs="Arial"/>
                <w:b/>
                <w:i/>
                <w:color w:val="FF0000"/>
                <w:sz w:val="28"/>
                <w:szCs w:val="28"/>
              </w:rPr>
              <w:t xml:space="preserve"> </w:t>
            </w:r>
            <w:r w:rsidR="00613242">
              <w:rPr>
                <w:rFonts w:ascii="Arial" w:hAnsi="Arial" w:cs="Arial"/>
                <w:b/>
                <w:i/>
                <w:color w:val="FF0000"/>
                <w:sz w:val="28"/>
                <w:szCs w:val="28"/>
              </w:rPr>
              <w:t xml:space="preserve"> </w:t>
            </w:r>
            <w:r w:rsidR="002C5046">
              <w:rPr>
                <w:rFonts w:ascii="Arial" w:hAnsi="Arial" w:cs="Arial"/>
                <w:b/>
                <w:i/>
                <w:color w:val="FF0000"/>
                <w:sz w:val="28"/>
                <w:szCs w:val="28"/>
              </w:rPr>
              <w:t xml:space="preserve"> </w:t>
            </w:r>
            <w:r w:rsidR="0088452C">
              <w:rPr>
                <w:rFonts w:ascii="Arial" w:hAnsi="Arial" w:cs="Arial"/>
                <w:b/>
                <w:i/>
                <w:color w:val="FF0000"/>
                <w:sz w:val="28"/>
                <w:szCs w:val="28"/>
              </w:rPr>
              <w:t>0</w:t>
            </w:r>
            <w:r>
              <w:rPr>
                <w:rFonts w:ascii="Arial" w:hAnsi="Arial" w:cs="Arial"/>
                <w:b/>
                <w:i/>
                <w:color w:val="FF0000"/>
                <w:sz w:val="28"/>
                <w:szCs w:val="28"/>
              </w:rPr>
              <w:t>5/27</w:t>
            </w:r>
            <w:r w:rsidR="00CA4342">
              <w:rPr>
                <w:rFonts w:ascii="Arial" w:hAnsi="Arial" w:cs="Arial"/>
                <w:b/>
                <w:i/>
                <w:color w:val="FF0000"/>
                <w:sz w:val="28"/>
                <w:szCs w:val="28"/>
              </w:rPr>
              <w:t>/1</w:t>
            </w:r>
            <w:r w:rsidR="00177D94">
              <w:rPr>
                <w:rFonts w:ascii="Arial" w:hAnsi="Arial" w:cs="Arial"/>
                <w:b/>
                <w:i/>
                <w:color w:val="FF0000"/>
                <w:sz w:val="28"/>
                <w:szCs w:val="28"/>
              </w:rPr>
              <w:t>5</w:t>
            </w:r>
            <w:r w:rsidR="00691887">
              <w:rPr>
                <w:rFonts w:ascii="Arial" w:hAnsi="Arial" w:cs="Arial"/>
                <w:b/>
                <w:i/>
                <w:color w:val="FF0000"/>
                <w:sz w:val="28"/>
                <w:szCs w:val="28"/>
              </w:rPr>
              <w:t xml:space="preserve">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w:t>
      </w:r>
      <w:r w:rsidR="003773BE">
        <w:rPr>
          <w:u w:val="single"/>
        </w:rPr>
        <w:t>California.</w:t>
      </w:r>
      <w:r w:rsidR="00574253">
        <w:t xml:space="preserve">  </w:t>
      </w:r>
      <w:r>
        <w:t>The Judicial Council of California</w:t>
      </w:r>
      <w:r w:rsidR="002E63B1">
        <w:t xml:space="preserve"> (JCC)</w:t>
      </w:r>
      <w:r>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rsidR="003773BE">
        <w:t>Judicial Council</w:t>
      </w:r>
      <w:r>
        <w:t xml:space="preserve">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2E63B1" w:rsidP="00C37FF7">
      <w:pPr>
        <w:pStyle w:val="BodyTextIndent2"/>
        <w:spacing w:after="0" w:line="240" w:lineRule="auto"/>
        <w:ind w:left="720"/>
      </w:pPr>
      <w:r>
        <w:t>The JCC</w:t>
      </w:r>
      <w:r w:rsidR="0011184D">
        <w:t xml:space="preserve"> seeks goods meeting the following specifications: </w:t>
      </w:r>
    </w:p>
    <w:p w:rsidR="00EF04EC" w:rsidRDefault="00EF04EC" w:rsidP="00C37FF7">
      <w:pPr>
        <w:pStyle w:val="BodyTextIndent2"/>
        <w:spacing w:after="0" w:line="240" w:lineRule="auto"/>
        <w:ind w:left="720"/>
      </w:pPr>
    </w:p>
    <w:p w:rsidR="00EF04EC" w:rsidRPr="00EF04EC" w:rsidRDefault="00EF04EC" w:rsidP="00EF04EC">
      <w:pPr>
        <w:shd w:val="clear" w:color="auto" w:fill="FFFFFF"/>
        <w:spacing w:after="345" w:line="240" w:lineRule="atLeast"/>
        <w:rPr>
          <w:rFonts w:ascii="Arial" w:hAnsi="Arial" w:cs="Arial"/>
          <w:b/>
          <w:color w:val="333333"/>
        </w:rPr>
      </w:pPr>
      <w:r w:rsidRPr="00EF04EC">
        <w:rPr>
          <w:rFonts w:ascii="Arial" w:hAnsi="Arial" w:cs="Arial"/>
          <w:b/>
          <w:color w:val="333333"/>
        </w:rPr>
        <w:t>NOTE:  Winning vendor agrees to honor the IFB-ISD-</w:t>
      </w:r>
      <w:r w:rsidR="0031453A">
        <w:rPr>
          <w:rFonts w:ascii="Arial" w:hAnsi="Arial" w:cs="Arial"/>
          <w:b/>
          <w:color w:val="333333"/>
        </w:rPr>
        <w:t>042015</w:t>
      </w:r>
      <w:r w:rsidR="003773BE">
        <w:rPr>
          <w:rFonts w:ascii="Arial" w:hAnsi="Arial" w:cs="Arial"/>
          <w:b/>
          <w:color w:val="333333"/>
        </w:rPr>
        <w:t>-AA</w:t>
      </w:r>
      <w:r w:rsidRPr="00EF04EC">
        <w:rPr>
          <w:rFonts w:ascii="Arial" w:hAnsi="Arial" w:cs="Arial"/>
          <w:b/>
          <w:color w:val="333333"/>
        </w:rPr>
        <w:t xml:space="preserve"> winning bid pricing (for additional unspec</w:t>
      </w:r>
      <w:r w:rsidR="00041467">
        <w:rPr>
          <w:rFonts w:ascii="Arial" w:hAnsi="Arial" w:cs="Arial"/>
          <w:b/>
          <w:color w:val="333333"/>
        </w:rPr>
        <w:t>ified equipment quantities</w:t>
      </w:r>
      <w:r w:rsidR="003773BE">
        <w:rPr>
          <w:rFonts w:ascii="Arial" w:hAnsi="Arial" w:cs="Arial"/>
          <w:b/>
          <w:color w:val="333333"/>
        </w:rPr>
        <w:t>) until the end of June 30, 2015</w:t>
      </w:r>
      <w:r w:rsidRPr="00EF04EC">
        <w:rPr>
          <w:rFonts w:ascii="Arial" w:hAnsi="Arial" w:cs="Arial"/>
          <w:b/>
          <w:color w:val="333333"/>
        </w:rPr>
        <w:t>, after the vendor is notified on the Intent to Award bid notice. This is based on the Ca. courts year end funding resources to purchase additional equipment.</w:t>
      </w: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002E63B1">
        <w:rPr>
          <w:bCs/>
        </w:rPr>
        <w:t>JCC</w:t>
      </w:r>
      <w:r w:rsidRPr="00D74462">
        <w:rPr>
          <w:bCs/>
        </w:rPr>
        <w:t xml:space="preserve"> has developed the following list of key events </w:t>
      </w:r>
      <w:r>
        <w:rPr>
          <w:bCs/>
        </w:rPr>
        <w:t>related to this IFB</w:t>
      </w:r>
      <w:r w:rsidRPr="00D74462">
        <w:rPr>
          <w:bCs/>
        </w:rPr>
        <w:t xml:space="preserve">.  All dates are subject to change at the discretion of </w:t>
      </w:r>
      <w:r>
        <w:rPr>
          <w:bCs/>
        </w:rPr>
        <w:t>the</w:t>
      </w:r>
      <w:r w:rsidR="002E63B1">
        <w:rPr>
          <w:bCs/>
        </w:rPr>
        <w:t xml:space="preserve"> JCC</w:t>
      </w:r>
      <w:r w:rsidRPr="00D74462">
        <w:rPr>
          <w:bCs/>
        </w:rPr>
        <w:t>.</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FD3159" w:rsidP="00E758DD">
            <w:pPr>
              <w:widowControl w:val="0"/>
              <w:tabs>
                <w:tab w:val="left" w:pos="2178"/>
              </w:tabs>
              <w:jc w:val="center"/>
              <w:rPr>
                <w:b/>
                <w:bCs/>
                <w:i/>
                <w:sz w:val="22"/>
                <w:szCs w:val="22"/>
              </w:rPr>
            </w:pPr>
            <w:r>
              <w:rPr>
                <w:b/>
                <w:bCs/>
                <w:i/>
                <w:sz w:val="22"/>
                <w:szCs w:val="22"/>
                <w:highlight w:val="yellow"/>
              </w:rPr>
              <w:t>Monday 05/04</w:t>
            </w:r>
            <w:r w:rsidR="004A542D" w:rsidRPr="003773BE">
              <w:rPr>
                <w:b/>
                <w:bCs/>
                <w:i/>
                <w:sz w:val="22"/>
                <w:szCs w:val="22"/>
                <w:highlight w:val="yellow"/>
              </w:rPr>
              <w:t>/</w:t>
            </w:r>
            <w:r w:rsidR="00CA4342" w:rsidRPr="003773BE">
              <w:rPr>
                <w:b/>
                <w:bCs/>
                <w:i/>
                <w:sz w:val="22"/>
                <w:szCs w:val="22"/>
                <w:highlight w:val="yellow"/>
              </w:rPr>
              <w:t>1</w:t>
            </w:r>
            <w:r w:rsidR="00F82DC9" w:rsidRPr="00F82DC9">
              <w:rPr>
                <w:b/>
                <w:bCs/>
                <w:i/>
                <w:sz w:val="22"/>
                <w:szCs w:val="22"/>
                <w:highlight w:val="yellow"/>
              </w:rPr>
              <w:t>5</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FD3159" w:rsidP="00D678B7">
            <w:pPr>
              <w:widowControl w:val="0"/>
              <w:tabs>
                <w:tab w:val="left" w:pos="2178"/>
              </w:tabs>
              <w:jc w:val="center"/>
              <w:rPr>
                <w:b/>
                <w:bCs/>
                <w:i/>
                <w:color w:val="000000"/>
                <w:sz w:val="22"/>
                <w:szCs w:val="22"/>
              </w:rPr>
            </w:pPr>
            <w:r>
              <w:rPr>
                <w:b/>
                <w:bCs/>
                <w:i/>
                <w:color w:val="000000"/>
                <w:sz w:val="22"/>
                <w:szCs w:val="22"/>
                <w:highlight w:val="yellow"/>
              </w:rPr>
              <w:t>Monday</w:t>
            </w:r>
            <w:r w:rsidR="00D678B7" w:rsidRPr="003773BE">
              <w:rPr>
                <w:b/>
                <w:bCs/>
                <w:i/>
                <w:color w:val="000000"/>
                <w:sz w:val="22"/>
                <w:szCs w:val="22"/>
                <w:highlight w:val="yellow"/>
              </w:rPr>
              <w:t xml:space="preserve"> </w:t>
            </w:r>
            <w:r w:rsidR="0031453A">
              <w:rPr>
                <w:b/>
                <w:bCs/>
                <w:i/>
                <w:color w:val="000000"/>
                <w:sz w:val="22"/>
                <w:szCs w:val="22"/>
                <w:highlight w:val="yellow"/>
              </w:rPr>
              <w:t>05</w:t>
            </w:r>
            <w:r w:rsidR="00F82DC9">
              <w:rPr>
                <w:b/>
                <w:bCs/>
                <w:i/>
                <w:color w:val="000000"/>
                <w:sz w:val="22"/>
                <w:szCs w:val="22"/>
                <w:highlight w:val="yellow"/>
              </w:rPr>
              <w:t>/</w:t>
            </w:r>
            <w:r>
              <w:rPr>
                <w:b/>
                <w:bCs/>
                <w:i/>
                <w:color w:val="000000"/>
                <w:sz w:val="22"/>
                <w:szCs w:val="22"/>
                <w:highlight w:val="yellow"/>
              </w:rPr>
              <w:t>1</w:t>
            </w:r>
            <w:r w:rsidR="0031453A">
              <w:rPr>
                <w:b/>
                <w:bCs/>
                <w:i/>
                <w:color w:val="000000"/>
                <w:sz w:val="22"/>
                <w:szCs w:val="22"/>
                <w:highlight w:val="yellow"/>
              </w:rPr>
              <w:t>1/</w:t>
            </w:r>
            <w:r w:rsidR="00F82DC9">
              <w:rPr>
                <w:b/>
                <w:bCs/>
                <w:i/>
                <w:color w:val="000000"/>
                <w:sz w:val="22"/>
                <w:szCs w:val="22"/>
                <w:highlight w:val="yellow"/>
              </w:rPr>
              <w:t>15</w:t>
            </w:r>
            <w:r w:rsidR="004A542D" w:rsidRPr="003773BE">
              <w:rPr>
                <w:b/>
                <w:bCs/>
                <w:i/>
                <w:color w:val="000000"/>
                <w:sz w:val="22"/>
                <w:szCs w:val="22"/>
                <w:highlight w:val="yellow"/>
              </w:rPr>
              <w:t xml:space="preserve"> </w:t>
            </w:r>
            <w:r w:rsidR="004A542D" w:rsidRPr="003773BE">
              <w:rPr>
                <w:b/>
                <w:bCs/>
                <w:i/>
                <w:sz w:val="22"/>
                <w:szCs w:val="22"/>
                <w:highlight w:val="yellow"/>
              </w:rPr>
              <w:t xml:space="preserve"> at 10:00am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FD3159" w:rsidP="00E758DD">
            <w:pPr>
              <w:widowControl w:val="0"/>
              <w:tabs>
                <w:tab w:val="left" w:pos="2178"/>
              </w:tabs>
              <w:jc w:val="center"/>
              <w:rPr>
                <w:b/>
                <w:bCs/>
                <w:i/>
                <w:color w:val="000000"/>
                <w:sz w:val="22"/>
                <w:szCs w:val="22"/>
              </w:rPr>
            </w:pPr>
            <w:r>
              <w:rPr>
                <w:b/>
                <w:bCs/>
                <w:i/>
                <w:color w:val="000000"/>
                <w:sz w:val="22"/>
                <w:szCs w:val="22"/>
                <w:highlight w:val="yellow"/>
              </w:rPr>
              <w:t>Monday</w:t>
            </w:r>
            <w:r w:rsidR="00B55F04" w:rsidRPr="003773BE">
              <w:rPr>
                <w:b/>
                <w:bCs/>
                <w:i/>
                <w:color w:val="000000"/>
                <w:sz w:val="22"/>
                <w:szCs w:val="22"/>
                <w:highlight w:val="yellow"/>
              </w:rPr>
              <w:t xml:space="preserve"> </w:t>
            </w:r>
            <w:r w:rsidR="00D678B7" w:rsidRPr="003773BE">
              <w:rPr>
                <w:b/>
                <w:bCs/>
                <w:i/>
                <w:color w:val="000000"/>
                <w:sz w:val="22"/>
                <w:szCs w:val="22"/>
                <w:highlight w:val="yellow"/>
              </w:rPr>
              <w:t xml:space="preserve"> </w:t>
            </w:r>
            <w:r w:rsidR="00B55F04" w:rsidRPr="003773BE">
              <w:rPr>
                <w:b/>
                <w:bCs/>
                <w:i/>
                <w:color w:val="000000"/>
                <w:sz w:val="22"/>
                <w:szCs w:val="22"/>
                <w:highlight w:val="yellow"/>
              </w:rPr>
              <w:t>05</w:t>
            </w:r>
            <w:r w:rsidR="00B55D1D" w:rsidRPr="003773BE">
              <w:rPr>
                <w:b/>
                <w:bCs/>
                <w:i/>
                <w:color w:val="000000"/>
                <w:sz w:val="22"/>
                <w:szCs w:val="22"/>
                <w:highlight w:val="yellow"/>
              </w:rPr>
              <w:t>/</w:t>
            </w:r>
            <w:r>
              <w:rPr>
                <w:b/>
                <w:bCs/>
                <w:i/>
                <w:color w:val="000000"/>
                <w:sz w:val="22"/>
                <w:szCs w:val="22"/>
                <w:highlight w:val="yellow"/>
              </w:rPr>
              <w:t>18</w:t>
            </w:r>
            <w:r w:rsidR="004A542D" w:rsidRPr="003773BE">
              <w:rPr>
                <w:b/>
                <w:bCs/>
                <w:i/>
                <w:color w:val="000000"/>
                <w:sz w:val="22"/>
                <w:szCs w:val="22"/>
                <w:highlight w:val="yellow"/>
              </w:rPr>
              <w:t>/</w:t>
            </w:r>
            <w:r w:rsidR="00F82DC9">
              <w:rPr>
                <w:b/>
                <w:bCs/>
                <w:i/>
                <w:color w:val="000000"/>
                <w:sz w:val="22"/>
                <w:szCs w:val="22"/>
                <w:highlight w:val="yellow"/>
              </w:rPr>
              <w:t xml:space="preserve">15 </w:t>
            </w:r>
            <w:r w:rsidR="004A542D" w:rsidRPr="003773BE">
              <w:rPr>
                <w:b/>
                <w:bCs/>
                <w:i/>
                <w:color w:val="000000"/>
                <w:sz w:val="22"/>
                <w:szCs w:val="22"/>
                <w:highlight w:val="yellow"/>
              </w:rPr>
              <w:t xml:space="preserve">at </w:t>
            </w:r>
            <w:r w:rsidR="004A542D" w:rsidRPr="003773BE">
              <w:rPr>
                <w:b/>
                <w:bCs/>
                <w:i/>
                <w:sz w:val="22"/>
                <w:szCs w:val="22"/>
                <w:highlight w:val="yellow"/>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FD3159" w:rsidP="00CA0946">
            <w:pPr>
              <w:widowControl w:val="0"/>
              <w:jc w:val="center"/>
              <w:rPr>
                <w:b/>
                <w:bCs/>
                <w:i/>
                <w:sz w:val="22"/>
                <w:szCs w:val="22"/>
              </w:rPr>
            </w:pPr>
            <w:r>
              <w:rPr>
                <w:b/>
                <w:bCs/>
                <w:i/>
                <w:sz w:val="22"/>
                <w:szCs w:val="22"/>
                <w:highlight w:val="yellow"/>
              </w:rPr>
              <w:t>Wednesday</w:t>
            </w:r>
            <w:r w:rsidR="0088452C" w:rsidRPr="003773BE">
              <w:rPr>
                <w:b/>
                <w:bCs/>
                <w:i/>
                <w:sz w:val="22"/>
                <w:szCs w:val="22"/>
                <w:highlight w:val="yellow"/>
              </w:rPr>
              <w:t xml:space="preserve"> </w:t>
            </w:r>
            <w:r>
              <w:rPr>
                <w:b/>
                <w:bCs/>
                <w:i/>
                <w:sz w:val="22"/>
                <w:szCs w:val="22"/>
                <w:highlight w:val="yellow"/>
              </w:rPr>
              <w:t>05/27</w:t>
            </w:r>
            <w:r w:rsidR="00F82DC9">
              <w:rPr>
                <w:b/>
                <w:bCs/>
                <w:i/>
                <w:sz w:val="22"/>
                <w:szCs w:val="22"/>
                <w:highlight w:val="yellow"/>
              </w:rPr>
              <w:t>/15</w:t>
            </w:r>
            <w:r w:rsidR="00CA0946" w:rsidRPr="003773BE">
              <w:rPr>
                <w:b/>
                <w:bCs/>
                <w:i/>
                <w:sz w:val="22"/>
                <w:szCs w:val="22"/>
                <w:highlight w:val="yellow"/>
              </w:rPr>
              <w:t xml:space="preserve"> no later than</w:t>
            </w:r>
            <w:r w:rsidR="00CA0946" w:rsidRPr="008C03BF">
              <w:rPr>
                <w:b/>
                <w:bCs/>
                <w:i/>
                <w:sz w:val="22"/>
                <w:szCs w:val="22"/>
              </w:rPr>
              <w:t xml:space="preserve">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FD3159" w:rsidP="00E758DD">
            <w:pPr>
              <w:widowControl w:val="0"/>
              <w:jc w:val="center"/>
              <w:rPr>
                <w:b/>
                <w:bCs/>
                <w:sz w:val="12"/>
                <w:szCs w:val="12"/>
              </w:rPr>
            </w:pPr>
            <w:r>
              <w:rPr>
                <w:b/>
                <w:bCs/>
                <w:i/>
                <w:sz w:val="22"/>
                <w:szCs w:val="22"/>
                <w:highlight w:val="yellow"/>
              </w:rPr>
              <w:t>Thursday</w:t>
            </w:r>
            <w:r w:rsidR="0088452C" w:rsidRPr="003773BE">
              <w:rPr>
                <w:b/>
                <w:bCs/>
                <w:i/>
                <w:sz w:val="22"/>
                <w:szCs w:val="22"/>
                <w:highlight w:val="yellow"/>
              </w:rPr>
              <w:t xml:space="preserve"> </w:t>
            </w:r>
            <w:r>
              <w:rPr>
                <w:b/>
                <w:bCs/>
                <w:i/>
                <w:sz w:val="22"/>
                <w:szCs w:val="22"/>
                <w:highlight w:val="yellow"/>
              </w:rPr>
              <w:t>05/28</w:t>
            </w:r>
            <w:r w:rsidR="00F82DC9">
              <w:rPr>
                <w:b/>
                <w:bCs/>
                <w:i/>
                <w:sz w:val="22"/>
                <w:szCs w:val="22"/>
                <w:highlight w:val="yellow"/>
              </w:rPr>
              <w:t>/15</w:t>
            </w:r>
            <w:r w:rsidR="00CA0946" w:rsidRPr="003773BE">
              <w:rPr>
                <w:b/>
                <w:bCs/>
                <w:i/>
                <w:sz w:val="22"/>
                <w:szCs w:val="22"/>
                <w:highlight w:val="yellow"/>
              </w:rPr>
              <w:t>, at</w:t>
            </w:r>
            <w:r w:rsidR="00CA0946" w:rsidRPr="008C03BF">
              <w:rPr>
                <w:b/>
                <w:bCs/>
                <w:i/>
                <w:sz w:val="22"/>
                <w:szCs w:val="22"/>
              </w:rPr>
              <w:t xml:space="preserve"> </w:t>
            </w:r>
            <w:r w:rsidR="00CA4342">
              <w:rPr>
                <w:b/>
                <w:bCs/>
                <w:i/>
                <w:sz w:val="22"/>
                <w:szCs w:val="22"/>
              </w:rPr>
              <w:t>10:00</w:t>
            </w:r>
            <w:r w:rsidR="00CA0946" w:rsidRPr="008C03BF">
              <w:rPr>
                <w:b/>
                <w:bCs/>
                <w:i/>
                <w:sz w:val="22"/>
                <w:szCs w:val="22"/>
              </w:rPr>
              <w:t>am</w:t>
            </w:r>
            <w:r w:rsidR="004A542D">
              <w:rPr>
                <w:b/>
                <w:bCs/>
                <w:i/>
                <w:sz w:val="22"/>
                <w:szCs w:val="22"/>
              </w:rPr>
              <w:t xml:space="preserve"> </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lastRenderedPageBreak/>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3773BE" w:rsidRDefault="00FD3159" w:rsidP="00CA0946">
            <w:pPr>
              <w:widowControl w:val="0"/>
              <w:jc w:val="center"/>
              <w:rPr>
                <w:b/>
                <w:bCs/>
                <w:i/>
                <w:sz w:val="22"/>
                <w:szCs w:val="22"/>
                <w:highlight w:val="yellow"/>
              </w:rPr>
            </w:pPr>
            <w:r>
              <w:rPr>
                <w:b/>
                <w:bCs/>
                <w:i/>
                <w:sz w:val="22"/>
                <w:szCs w:val="22"/>
                <w:highlight w:val="yellow"/>
              </w:rPr>
              <w:t>06/05</w:t>
            </w:r>
            <w:r w:rsidR="00F82DC9">
              <w:rPr>
                <w:b/>
                <w:bCs/>
                <w:i/>
                <w:sz w:val="22"/>
                <w:szCs w:val="22"/>
                <w:highlight w:val="yellow"/>
              </w:rPr>
              <w:t>/15</w:t>
            </w:r>
          </w:p>
          <w:p w:rsidR="00CA0946" w:rsidRPr="003773BE" w:rsidRDefault="00CA0946" w:rsidP="00CA0946">
            <w:pPr>
              <w:widowControl w:val="0"/>
              <w:jc w:val="center"/>
              <w:rPr>
                <w:b/>
                <w:bCs/>
                <w:sz w:val="22"/>
                <w:szCs w:val="22"/>
                <w:highlight w:val="yellow"/>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3773BE" w:rsidRDefault="00FD3159" w:rsidP="00E758DD">
            <w:pPr>
              <w:widowControl w:val="0"/>
              <w:jc w:val="center"/>
              <w:rPr>
                <w:b/>
                <w:bCs/>
                <w:i/>
                <w:color w:val="000000"/>
                <w:sz w:val="22"/>
                <w:szCs w:val="22"/>
                <w:highlight w:val="yellow"/>
              </w:rPr>
            </w:pPr>
            <w:r>
              <w:rPr>
                <w:b/>
                <w:bCs/>
                <w:i/>
                <w:color w:val="000000"/>
                <w:sz w:val="22"/>
                <w:szCs w:val="22"/>
                <w:highlight w:val="yellow"/>
              </w:rPr>
              <w:t>06/1</w:t>
            </w:r>
            <w:r w:rsidR="0031453A">
              <w:rPr>
                <w:b/>
                <w:bCs/>
                <w:i/>
                <w:color w:val="000000"/>
                <w:sz w:val="22"/>
                <w:szCs w:val="22"/>
                <w:highlight w:val="yellow"/>
              </w:rPr>
              <w:t>2</w:t>
            </w:r>
            <w:r w:rsidR="00CA4342" w:rsidRPr="003773BE">
              <w:rPr>
                <w:b/>
                <w:bCs/>
                <w:i/>
                <w:color w:val="000000"/>
                <w:sz w:val="22"/>
                <w:szCs w:val="22"/>
                <w:highlight w:val="yellow"/>
              </w:rPr>
              <w:t>/1</w:t>
            </w:r>
            <w:r w:rsidR="00F82DC9">
              <w:rPr>
                <w:b/>
                <w:bCs/>
                <w:i/>
                <w:color w:val="000000"/>
                <w:sz w:val="22"/>
                <w:szCs w:val="22"/>
                <w:highlight w:val="yellow"/>
              </w:rPr>
              <w:t>5</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9C4382" w:rsidRDefault="0004342D" w:rsidP="009C4382">
            <w:pPr>
              <w:widowControl w:val="0"/>
            </w:pPr>
            <w:r>
              <w:t xml:space="preserve"> Equipment Specifications and </w:t>
            </w:r>
            <w:r w:rsidR="009C4382">
              <w:t xml:space="preserve">Quantities </w:t>
            </w:r>
            <w:r w:rsidR="00107CD6">
              <w:t>with Multiple ship to</w:t>
            </w:r>
            <w:r>
              <w:t xml:space="preserve"> court</w:t>
            </w:r>
            <w:r w:rsidR="00107CD6">
              <w:t xml:space="preserve"> locations:</w:t>
            </w:r>
          </w:p>
          <w:p w:rsidR="00EF04EC" w:rsidRDefault="00EF04EC" w:rsidP="009C4382">
            <w:pPr>
              <w:widowControl w:val="0"/>
            </w:pPr>
          </w:p>
          <w:p w:rsidR="00EF04EC" w:rsidRPr="00D20906" w:rsidRDefault="00EF04EC" w:rsidP="00EF04EC">
            <w:pPr>
              <w:shd w:val="clear" w:color="auto" w:fill="FFFFFF"/>
              <w:spacing w:after="345" w:line="240" w:lineRule="atLeast"/>
              <w:rPr>
                <w:rFonts w:ascii="Arial" w:hAnsi="Arial" w:cs="Arial"/>
                <w:b/>
                <w:color w:val="333333"/>
                <w:sz w:val="18"/>
                <w:szCs w:val="18"/>
              </w:rPr>
            </w:pPr>
            <w:r w:rsidRPr="00D20906">
              <w:rPr>
                <w:rFonts w:ascii="Arial" w:hAnsi="Arial" w:cs="Arial"/>
                <w:b/>
                <w:color w:val="333333"/>
                <w:sz w:val="18"/>
                <w:szCs w:val="18"/>
              </w:rPr>
              <w:t xml:space="preserve">NOTE:  Winning vendor agrees to honor the </w:t>
            </w:r>
            <w:r w:rsidR="00107CD6" w:rsidRPr="00107CD6">
              <w:rPr>
                <w:rFonts w:asciiTheme="majorHAnsi" w:hAnsiTheme="majorHAnsi" w:cstheme="majorHAnsi"/>
                <w:b/>
                <w:color w:val="000000" w:themeColor="text1"/>
                <w:sz w:val="20"/>
                <w:szCs w:val="20"/>
              </w:rPr>
              <w:t>IFB-ISD-</w:t>
            </w:r>
            <w:r w:rsidR="0031453A">
              <w:rPr>
                <w:rFonts w:asciiTheme="majorHAnsi" w:hAnsiTheme="majorHAnsi" w:cstheme="majorHAnsi"/>
                <w:b/>
                <w:color w:val="000000" w:themeColor="text1"/>
                <w:sz w:val="20"/>
                <w:szCs w:val="20"/>
              </w:rPr>
              <w:t>042015</w:t>
            </w:r>
            <w:r w:rsidR="00BD53D4">
              <w:rPr>
                <w:rFonts w:asciiTheme="majorHAnsi" w:hAnsiTheme="majorHAnsi" w:cstheme="majorHAnsi"/>
                <w:b/>
                <w:color w:val="000000" w:themeColor="text1"/>
                <w:sz w:val="20"/>
                <w:szCs w:val="20"/>
              </w:rPr>
              <w:t>-AA</w:t>
            </w:r>
            <w:r w:rsidR="00107CD6" w:rsidRPr="00107CD6">
              <w:rPr>
                <w:rFonts w:asciiTheme="majorHAnsi" w:hAnsiTheme="majorHAnsi" w:cstheme="majorHAnsi"/>
                <w:b/>
                <w:color w:val="333333"/>
                <w:sz w:val="20"/>
                <w:szCs w:val="20"/>
              </w:rPr>
              <w:t xml:space="preserve"> </w:t>
            </w:r>
            <w:r>
              <w:rPr>
                <w:rFonts w:ascii="Arial" w:hAnsi="Arial" w:cs="Arial"/>
                <w:b/>
                <w:color w:val="333333"/>
                <w:sz w:val="18"/>
                <w:szCs w:val="18"/>
              </w:rPr>
              <w:t>winning</w:t>
            </w:r>
            <w:r w:rsidRPr="00D20906">
              <w:rPr>
                <w:rFonts w:ascii="Arial" w:hAnsi="Arial" w:cs="Arial"/>
                <w:b/>
                <w:color w:val="333333"/>
                <w:sz w:val="18"/>
                <w:szCs w:val="18"/>
              </w:rPr>
              <w:t xml:space="preserve"> bid pricing</w:t>
            </w:r>
            <w:r>
              <w:rPr>
                <w:rFonts w:ascii="Arial" w:hAnsi="Arial" w:cs="Arial"/>
                <w:b/>
                <w:color w:val="333333"/>
                <w:sz w:val="18"/>
                <w:szCs w:val="18"/>
              </w:rPr>
              <w:t xml:space="preserve"> (for additional unspecified equipment quantities)</w:t>
            </w:r>
            <w:r w:rsidR="003773BE">
              <w:rPr>
                <w:rFonts w:ascii="Arial" w:hAnsi="Arial" w:cs="Arial"/>
                <w:b/>
                <w:color w:val="333333"/>
                <w:sz w:val="18"/>
                <w:szCs w:val="18"/>
              </w:rPr>
              <w:t xml:space="preserve"> before June 30, 2015</w:t>
            </w:r>
            <w:r w:rsidRPr="00D20906">
              <w:rPr>
                <w:rFonts w:ascii="Arial" w:hAnsi="Arial" w:cs="Arial"/>
                <w:b/>
                <w:color w:val="333333"/>
                <w:sz w:val="18"/>
                <w:szCs w:val="18"/>
              </w:rPr>
              <w:t>, after the vendor is notified on the Intent to Award bid notice.</w:t>
            </w:r>
            <w:r>
              <w:rPr>
                <w:rFonts w:ascii="Arial" w:hAnsi="Arial" w:cs="Arial"/>
                <w:b/>
                <w:color w:val="333333"/>
                <w:sz w:val="18"/>
                <w:szCs w:val="18"/>
              </w:rPr>
              <w:t xml:space="preserve"> This is based on the Ca. courts year end funding resources to purchase additional equipment.</w:t>
            </w:r>
          </w:p>
          <w:p w:rsidR="00EF04EC" w:rsidRDefault="00EF04EC" w:rsidP="009C4382">
            <w:pPr>
              <w:widowControl w:val="0"/>
            </w:pP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 xml:space="preserve">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623BE6"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Default="006A6393" w:rsidP="006A6393">
            <w:pPr>
              <w:widowControl w:val="0"/>
              <w:rPr>
                <w:bCs/>
                <w:color w:val="000000"/>
                <w:sz w:val="22"/>
                <w:szCs w:val="22"/>
              </w:rPr>
            </w:pPr>
            <w:r>
              <w:rPr>
                <w:bCs/>
                <w:color w:val="000000"/>
                <w:sz w:val="22"/>
                <w:szCs w:val="22"/>
              </w:rPr>
              <w:t>This form needs to be signed by (Bidder) and submitted with bid</w:t>
            </w:r>
            <w:r w:rsidR="00690128">
              <w:rPr>
                <w:bCs/>
                <w:color w:val="000000"/>
                <w:sz w:val="22"/>
                <w:szCs w:val="22"/>
              </w:rPr>
              <w:t>,</w:t>
            </w:r>
          </w:p>
          <w:p w:rsidR="00690128" w:rsidRDefault="00690128" w:rsidP="00690128">
            <w:pPr>
              <w:pStyle w:val="Default"/>
              <w:rPr>
                <w:sz w:val="23"/>
                <w:szCs w:val="23"/>
              </w:rPr>
            </w:pPr>
            <w:r w:rsidRPr="00690128">
              <w:rPr>
                <w:sz w:val="22"/>
                <w:szCs w:val="22"/>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lastRenderedPageBreak/>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Default="00AB047E" w:rsidP="00AB047E">
            <w:pPr>
              <w:widowControl w:val="0"/>
              <w:rPr>
                <w:bCs/>
                <w:color w:val="000000"/>
                <w:sz w:val="22"/>
                <w:szCs w:val="22"/>
              </w:rPr>
            </w:pPr>
            <w:r>
              <w:rPr>
                <w:bCs/>
                <w:color w:val="000000"/>
                <w:sz w:val="22"/>
                <w:szCs w:val="22"/>
              </w:rPr>
              <w:t>Proposer must complete the Darfur Contracting Act Certification and submit the completed certification with its proposal</w:t>
            </w:r>
          </w:p>
          <w:p w:rsidR="00532CB7" w:rsidRDefault="00532CB7" w:rsidP="00BD53D4">
            <w:pPr>
              <w:widowControl w:val="0"/>
              <w:rPr>
                <w:bCs/>
                <w:color w:val="000000"/>
                <w:sz w:val="22"/>
                <w:szCs w:val="22"/>
              </w:rPr>
            </w:pPr>
          </w:p>
          <w:p w:rsidR="00AB047E" w:rsidRDefault="00AB047E" w:rsidP="00BD53D4">
            <w:pPr>
              <w:widowControl w:val="0"/>
              <w:rPr>
                <w:bCs/>
                <w:color w:val="000000"/>
                <w:sz w:val="22"/>
                <w:szCs w:val="22"/>
              </w:rPr>
            </w:pPr>
          </w:p>
          <w:p w:rsidR="00AB047E" w:rsidRDefault="00AB047E" w:rsidP="00BD53D4">
            <w:pPr>
              <w:widowControl w:val="0"/>
              <w:rPr>
                <w:bCs/>
                <w:color w:val="000000"/>
                <w:sz w:val="22"/>
                <w:szCs w:val="22"/>
              </w:rPr>
            </w:pPr>
            <w:r>
              <w:rPr>
                <w:bCs/>
                <w:color w:val="000000"/>
                <w:sz w:val="22"/>
                <w:szCs w:val="22"/>
              </w:rPr>
              <w:t>This form needs to be signed by (Bidder) if vendor is participating for the DVEB incentive and submitted with bid</w:t>
            </w:r>
          </w:p>
          <w:p w:rsidR="00AB047E" w:rsidRDefault="00AB047E" w:rsidP="00BD53D4">
            <w:pPr>
              <w:widowControl w:val="0"/>
              <w:rPr>
                <w:bCs/>
                <w:color w:val="000000"/>
                <w:sz w:val="22"/>
                <w:szCs w:val="22"/>
              </w:rPr>
            </w:pPr>
          </w:p>
          <w:p w:rsidR="00B24894" w:rsidRDefault="00B24894" w:rsidP="00AB047E">
            <w:pPr>
              <w:widowControl w:val="0"/>
              <w:rPr>
                <w:bCs/>
                <w:color w:val="000000"/>
                <w:sz w:val="22"/>
                <w:szCs w:val="22"/>
              </w:rPr>
            </w:pPr>
            <w:r>
              <w:rPr>
                <w:bCs/>
                <w:color w:val="000000"/>
                <w:sz w:val="22"/>
                <w:szCs w:val="22"/>
              </w:rPr>
              <w:t>Complete this form only bidder will claim the small business preference associated with the solicitation</w:t>
            </w:r>
          </w:p>
          <w:p w:rsidR="00B24894" w:rsidRDefault="00B24894" w:rsidP="00AB047E">
            <w:pPr>
              <w:widowControl w:val="0"/>
              <w:rPr>
                <w:bCs/>
                <w:color w:val="000000"/>
                <w:sz w:val="22"/>
                <w:szCs w:val="22"/>
              </w:rPr>
            </w:pPr>
          </w:p>
          <w:p w:rsidR="00B24894" w:rsidRDefault="00B24894" w:rsidP="00AB047E">
            <w:pPr>
              <w:widowControl w:val="0"/>
              <w:rPr>
                <w:bCs/>
                <w:color w:val="000000"/>
                <w:sz w:val="22"/>
                <w:szCs w:val="22"/>
              </w:rPr>
            </w:pPr>
          </w:p>
          <w:p w:rsidR="00AB047E" w:rsidRDefault="00AB047E" w:rsidP="00AB047E">
            <w:pPr>
              <w:widowControl w:val="0"/>
              <w:rPr>
                <w:bCs/>
                <w:color w:val="000000"/>
                <w:sz w:val="22"/>
                <w:szCs w:val="22"/>
              </w:rPr>
            </w:pPr>
            <w:r w:rsidRPr="00FF455D">
              <w:rPr>
                <w:bCs/>
                <w:color w:val="000000"/>
                <w:sz w:val="22"/>
                <w:szCs w:val="22"/>
              </w:rPr>
              <w:t>This f</w:t>
            </w:r>
            <w:r w:rsidR="003773BE">
              <w:rPr>
                <w:bCs/>
                <w:color w:val="000000"/>
                <w:sz w:val="22"/>
                <w:szCs w:val="22"/>
              </w:rPr>
              <w:t>orm contains information the Judicial Council of Ca</w:t>
            </w:r>
            <w:r w:rsidRPr="00FF455D">
              <w:rPr>
                <w:bCs/>
                <w:color w:val="000000"/>
                <w:sz w:val="22"/>
                <w:szCs w:val="22"/>
              </w:rPr>
              <w:t xml:space="preserve"> </w:t>
            </w:r>
            <w:r>
              <w:rPr>
                <w:bCs/>
                <w:color w:val="000000"/>
                <w:sz w:val="22"/>
                <w:szCs w:val="22"/>
              </w:rPr>
              <w:t>requires</w:t>
            </w:r>
            <w:r w:rsidRPr="00FF455D">
              <w:rPr>
                <w:bCs/>
                <w:color w:val="000000"/>
                <w:sz w:val="22"/>
                <w:szCs w:val="22"/>
              </w:rPr>
              <w:t xml:space="preserve"> in order to process payments</w:t>
            </w:r>
            <w:r>
              <w:rPr>
                <w:bCs/>
                <w:color w:val="000000"/>
                <w:sz w:val="22"/>
                <w:szCs w:val="22"/>
              </w:rPr>
              <w:t>;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w:t>
      </w:r>
      <w:r w:rsidR="002E63B1">
        <w:rPr>
          <w:color w:val="000000"/>
        </w:rPr>
        <w:t>of) must be submitted to the JCC</w:t>
      </w:r>
      <w:r w:rsidR="00EF1349">
        <w:rPr>
          <w:color w:val="000000"/>
        </w:rPr>
        <w:t xml:space="preserve">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sidR="002E63B1">
        <w:rPr>
          <w:color w:val="000000"/>
        </w:rPr>
        <w:t>) must be submitted to the JCC</w:t>
      </w:r>
      <w:r>
        <w:rPr>
          <w:color w:val="000000"/>
        </w:rPr>
        <w:t xml:space="preserve">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2E63B1">
      <w:pPr>
        <w:ind w:left="2070" w:right="468"/>
        <w:rPr>
          <w:color w:val="000000"/>
        </w:rPr>
      </w:pPr>
      <w:r>
        <w:rPr>
          <w:color w:val="000000"/>
        </w:rPr>
        <w:t>Judicial Council of CA</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r w:rsidR="002E63B1">
        <w:rPr>
          <w:color w:val="000000"/>
        </w:rPr>
        <w:t xml:space="preserve"> 6th. </w:t>
      </w:r>
      <w:r w:rsidR="000F7BFB">
        <w:rPr>
          <w:color w:val="000000"/>
        </w:rPr>
        <w:t>Floor</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2E63B1">
        <w:t>JCC</w:t>
      </w:r>
      <w:r w:rsidR="00040D43">
        <w:t>,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 xml:space="preserve">California Rules of Court, which </w:t>
      </w:r>
      <w:r w:rsidR="00B8213C" w:rsidRPr="00380F9A">
        <w:lastRenderedPageBreak/>
        <w:t>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has never been issued a purchase order by or</w:t>
      </w:r>
      <w:r w:rsidR="002E63B1">
        <w:rPr>
          <w:color w:val="000000" w:themeColor="text1"/>
        </w:rPr>
        <w:t xml:space="preserve"> has had a contract with the JCC</w:t>
      </w:r>
      <w:r w:rsidR="00DC5E54">
        <w:rPr>
          <w:color w:val="000000" w:themeColor="text1"/>
        </w:rPr>
        <w:t xml:space="preserve">,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E63B1">
        <w:t>JCC</w:t>
      </w:r>
      <w:r w:rsidR="002F737D" w:rsidRPr="007F1631">
        <w:t>.</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002E63B1">
        <w:rPr>
          <w:bCs/>
        </w:rPr>
        <w:t xml:space="preserve"> day period, the JCC</w:t>
      </w:r>
      <w:r w:rsidRPr="007D20B2">
        <w:rPr>
          <w:bCs/>
        </w:rPr>
        <w:t xml:space="preserve">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2E63B1">
      <w:pPr>
        <w:ind w:left="720"/>
      </w:pPr>
      <w:r>
        <w:t>The JCC</w:t>
      </w:r>
      <w:r w:rsidR="00651E40">
        <w:t xml:space="preserve">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2E63B1">
        <w:t>JCC</w:t>
      </w:r>
      <w:r w:rsidR="006562BF">
        <w:t xml:space="preserve">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2E63B1">
        <w:t>at the JCC</w:t>
      </w:r>
      <w:r w:rsidR="006562BF">
        <w:t>’s of</w:t>
      </w:r>
      <w:r w:rsidR="002E63B1">
        <w:t>fices in San Francisco.  The JCC</w:t>
      </w:r>
      <w:r w:rsidR="006562BF">
        <w:t xml:space="preserve"> will not reimburse </w:t>
      </w:r>
      <w:r w:rsidR="00DB0944">
        <w:t>Bidder</w:t>
      </w:r>
      <w:r w:rsidR="00A66B5A">
        <w:t>s</w:t>
      </w:r>
      <w:r w:rsidR="006562BF">
        <w:t xml:space="preserve"> for any costs incurred in traveling to or from the interview location.  </w:t>
      </w:r>
      <w:r w:rsidR="002E63B1">
        <w:t>The JCC</w:t>
      </w:r>
      <w:r w:rsidR="006562BF" w:rsidRPr="005E0EE1">
        <w:t xml:space="preserve">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lastRenderedPageBreak/>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rsidR="002E63B1">
        <w:t>by the JCC</w:t>
      </w:r>
      <w:r>
        <w:t xml:space="preserve">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contains material noted or marked as confidential and</w:t>
      </w:r>
      <w:r w:rsidR="002E63B1">
        <w:t>/or proprietary that, in the JCC</w:t>
      </w:r>
      <w:r w:rsidRPr="00011B71">
        <w:t xml:space="preserve">’s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002E63B1">
        <w:t xml:space="preserve"> If the JCC</w:t>
      </w:r>
      <w:r w:rsidRPr="00953A7F">
        <w:t xml:space="preserve"> finds or reasonably believes that the material so marked is </w:t>
      </w:r>
      <w:r w:rsidRPr="00953A7F">
        <w:rPr>
          <w:b/>
        </w:rPr>
        <w:t>not</w:t>
      </w:r>
      <w:r w:rsidR="002E63B1">
        <w:t xml:space="preserve"> exempt from disclosure, the JCC</w:t>
      </w:r>
      <w:r w:rsidRPr="00953A7F">
        <w:t xml:space="preserve">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lastRenderedPageBreak/>
        <w:t xml:space="preserve"> 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2E63B1">
        <w:rPr>
          <w:color w:val="000000" w:themeColor="text1"/>
        </w:rPr>
        <w:t>JCC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2E63B1" w:rsidP="00053778">
      <w:pPr>
        <w:ind w:left="1440"/>
        <w:rPr>
          <w:color w:val="000000" w:themeColor="text1"/>
        </w:rPr>
      </w:pPr>
      <w:r>
        <w:rPr>
          <w:color w:val="000000" w:themeColor="text1"/>
        </w:rPr>
        <w:t>JCC</w:t>
      </w:r>
      <w:r w:rsidR="00053778">
        <w:rPr>
          <w:color w:val="000000" w:themeColor="text1"/>
        </w:rPr>
        <w:t xml:space="preserve">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53A" w:rsidRDefault="0031453A" w:rsidP="00C37FF7">
      <w:r>
        <w:separator/>
      </w:r>
    </w:p>
  </w:endnote>
  <w:endnote w:type="continuationSeparator" w:id="0">
    <w:p w:rsidR="0031453A" w:rsidRDefault="0031453A"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31453A" w:rsidRPr="00CA0946" w:rsidRDefault="0031453A">
            <w:pPr>
              <w:pStyle w:val="Footer"/>
              <w:jc w:val="center"/>
              <w:rPr>
                <w:sz w:val="22"/>
                <w:szCs w:val="22"/>
              </w:rPr>
            </w:pPr>
            <w:r w:rsidRPr="00C10D87">
              <w:rPr>
                <w:sz w:val="22"/>
                <w:szCs w:val="22"/>
              </w:rPr>
              <w:t xml:space="preserve">Page </w:t>
            </w:r>
            <w:r w:rsidR="00623BE6" w:rsidRPr="00C10D87">
              <w:rPr>
                <w:sz w:val="22"/>
                <w:szCs w:val="22"/>
              </w:rPr>
              <w:fldChar w:fldCharType="begin"/>
            </w:r>
            <w:r w:rsidRPr="00C10D87">
              <w:rPr>
                <w:sz w:val="22"/>
                <w:szCs w:val="22"/>
              </w:rPr>
              <w:instrText xml:space="preserve"> PAGE </w:instrText>
            </w:r>
            <w:r w:rsidR="00623BE6" w:rsidRPr="00C10D87">
              <w:rPr>
                <w:sz w:val="22"/>
                <w:szCs w:val="22"/>
              </w:rPr>
              <w:fldChar w:fldCharType="separate"/>
            </w:r>
            <w:r w:rsidR="00177D94">
              <w:rPr>
                <w:noProof/>
                <w:sz w:val="22"/>
                <w:szCs w:val="22"/>
              </w:rPr>
              <w:t>1</w:t>
            </w:r>
            <w:r w:rsidR="00623BE6" w:rsidRPr="00C10D87">
              <w:rPr>
                <w:sz w:val="22"/>
                <w:szCs w:val="22"/>
              </w:rPr>
              <w:fldChar w:fldCharType="end"/>
            </w:r>
            <w:r w:rsidRPr="00C10D87">
              <w:rPr>
                <w:sz w:val="22"/>
                <w:szCs w:val="22"/>
              </w:rPr>
              <w:t xml:space="preserve"> of </w:t>
            </w:r>
            <w:r w:rsidR="00623BE6" w:rsidRPr="00C10D87">
              <w:rPr>
                <w:sz w:val="22"/>
                <w:szCs w:val="22"/>
              </w:rPr>
              <w:fldChar w:fldCharType="begin"/>
            </w:r>
            <w:r w:rsidRPr="00C10D87">
              <w:rPr>
                <w:sz w:val="22"/>
                <w:szCs w:val="22"/>
              </w:rPr>
              <w:instrText xml:space="preserve"> NUMPAGES  </w:instrText>
            </w:r>
            <w:r w:rsidR="00623BE6" w:rsidRPr="00C10D87">
              <w:rPr>
                <w:sz w:val="22"/>
                <w:szCs w:val="22"/>
              </w:rPr>
              <w:fldChar w:fldCharType="separate"/>
            </w:r>
            <w:r w:rsidR="00177D94">
              <w:rPr>
                <w:noProof/>
                <w:sz w:val="22"/>
                <w:szCs w:val="22"/>
              </w:rPr>
              <w:t>8</w:t>
            </w:r>
            <w:r w:rsidR="00623BE6" w:rsidRPr="00C10D87">
              <w:rPr>
                <w:sz w:val="22"/>
                <w:szCs w:val="22"/>
              </w:rPr>
              <w:fldChar w:fldCharType="end"/>
            </w:r>
          </w:p>
        </w:sdtContent>
      </w:sdt>
    </w:sdtContent>
  </w:sdt>
  <w:p w:rsidR="0031453A" w:rsidRDefault="00314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53A" w:rsidRDefault="0031453A" w:rsidP="00C37FF7">
      <w:r>
        <w:separator/>
      </w:r>
    </w:p>
  </w:footnote>
  <w:footnote w:type="continuationSeparator" w:id="0">
    <w:p w:rsidR="0031453A" w:rsidRDefault="0031453A"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53A" w:rsidRDefault="0031453A"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 xml:space="preserve"> Dell OptiPlex 9020</w:t>
    </w:r>
    <w:r w:rsidR="00E2023A">
      <w:rPr>
        <w:b/>
        <w:i/>
        <w:color w:val="0000FF"/>
        <w:sz w:val="22"/>
        <w:szCs w:val="22"/>
      </w:rPr>
      <w:t xml:space="preserve"> Small</w:t>
    </w:r>
    <w:r>
      <w:rPr>
        <w:b/>
        <w:i/>
        <w:color w:val="0000FF"/>
        <w:sz w:val="22"/>
        <w:szCs w:val="22"/>
      </w:rPr>
      <w:t xml:space="preserve"> Form Factor with and without Monitors </w:t>
    </w:r>
    <w:r w:rsidRPr="00C10D87">
      <w:rPr>
        <w:b/>
        <w:i/>
        <w:color w:val="0000FF"/>
        <w:sz w:val="22"/>
        <w:szCs w:val="22"/>
      </w:rPr>
      <w:t>/Equipment</w:t>
    </w:r>
  </w:p>
  <w:p w:rsidR="0031453A" w:rsidRPr="009000D1" w:rsidRDefault="0031453A"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w:t>
    </w:r>
    <w:r>
      <w:rPr>
        <w:b/>
        <w:i/>
        <w:color w:val="0000FF"/>
        <w:sz w:val="22"/>
        <w:szCs w:val="22"/>
      </w:rPr>
      <w:tab/>
      <w:t>042015-AA</w:t>
    </w:r>
  </w:p>
  <w:p w:rsidR="0031453A" w:rsidRDefault="003145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3638E"/>
    <w:rsid w:val="00040620"/>
    <w:rsid w:val="00040D43"/>
    <w:rsid w:val="00041467"/>
    <w:rsid w:val="000420FB"/>
    <w:rsid w:val="0004342D"/>
    <w:rsid w:val="000522AA"/>
    <w:rsid w:val="00053778"/>
    <w:rsid w:val="00067FB4"/>
    <w:rsid w:val="00070FCA"/>
    <w:rsid w:val="00076CCF"/>
    <w:rsid w:val="00080391"/>
    <w:rsid w:val="00080542"/>
    <w:rsid w:val="00082230"/>
    <w:rsid w:val="0008232F"/>
    <w:rsid w:val="000934C4"/>
    <w:rsid w:val="000966E4"/>
    <w:rsid w:val="000A293A"/>
    <w:rsid w:val="000B0051"/>
    <w:rsid w:val="000B0813"/>
    <w:rsid w:val="000D43CC"/>
    <w:rsid w:val="000D4C75"/>
    <w:rsid w:val="000D5FD6"/>
    <w:rsid w:val="000E3585"/>
    <w:rsid w:val="000E58B0"/>
    <w:rsid w:val="000F7BFB"/>
    <w:rsid w:val="00100EED"/>
    <w:rsid w:val="00101C48"/>
    <w:rsid w:val="00103DBD"/>
    <w:rsid w:val="00107CD6"/>
    <w:rsid w:val="0011184D"/>
    <w:rsid w:val="0012621F"/>
    <w:rsid w:val="001303B1"/>
    <w:rsid w:val="00133F5A"/>
    <w:rsid w:val="00142C87"/>
    <w:rsid w:val="00146F80"/>
    <w:rsid w:val="00147E6D"/>
    <w:rsid w:val="00166197"/>
    <w:rsid w:val="00171623"/>
    <w:rsid w:val="00177D94"/>
    <w:rsid w:val="00181FDA"/>
    <w:rsid w:val="001C5FDE"/>
    <w:rsid w:val="001C7E5D"/>
    <w:rsid w:val="001E612A"/>
    <w:rsid w:val="001F13C9"/>
    <w:rsid w:val="0020192C"/>
    <w:rsid w:val="00201BD6"/>
    <w:rsid w:val="00204B2E"/>
    <w:rsid w:val="002054EC"/>
    <w:rsid w:val="002102F5"/>
    <w:rsid w:val="00224ABE"/>
    <w:rsid w:val="002252DD"/>
    <w:rsid w:val="00233D32"/>
    <w:rsid w:val="002345F1"/>
    <w:rsid w:val="00246470"/>
    <w:rsid w:val="00251CC8"/>
    <w:rsid w:val="00253633"/>
    <w:rsid w:val="002622C4"/>
    <w:rsid w:val="00262320"/>
    <w:rsid w:val="00273B2E"/>
    <w:rsid w:val="00292053"/>
    <w:rsid w:val="002966E5"/>
    <w:rsid w:val="002B1206"/>
    <w:rsid w:val="002B44C3"/>
    <w:rsid w:val="002C5046"/>
    <w:rsid w:val="002C64BD"/>
    <w:rsid w:val="002D07F1"/>
    <w:rsid w:val="002E42E9"/>
    <w:rsid w:val="002E63B1"/>
    <w:rsid w:val="002E7965"/>
    <w:rsid w:val="002F737D"/>
    <w:rsid w:val="00300050"/>
    <w:rsid w:val="003020A2"/>
    <w:rsid w:val="00306C7F"/>
    <w:rsid w:val="0031272D"/>
    <w:rsid w:val="0031453A"/>
    <w:rsid w:val="0031614E"/>
    <w:rsid w:val="00326DC0"/>
    <w:rsid w:val="00327099"/>
    <w:rsid w:val="0032785B"/>
    <w:rsid w:val="003360B1"/>
    <w:rsid w:val="003364C3"/>
    <w:rsid w:val="00347960"/>
    <w:rsid w:val="0036121D"/>
    <w:rsid w:val="00363D13"/>
    <w:rsid w:val="00374026"/>
    <w:rsid w:val="003773BE"/>
    <w:rsid w:val="003841F7"/>
    <w:rsid w:val="00385FC5"/>
    <w:rsid w:val="00390A6A"/>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19EA"/>
    <w:rsid w:val="004420EB"/>
    <w:rsid w:val="004425FB"/>
    <w:rsid w:val="00443584"/>
    <w:rsid w:val="004544A3"/>
    <w:rsid w:val="004644B8"/>
    <w:rsid w:val="004660B8"/>
    <w:rsid w:val="004A337A"/>
    <w:rsid w:val="004A542D"/>
    <w:rsid w:val="004B38F7"/>
    <w:rsid w:val="004D4899"/>
    <w:rsid w:val="004D4940"/>
    <w:rsid w:val="004E0249"/>
    <w:rsid w:val="004E669D"/>
    <w:rsid w:val="004F0DE1"/>
    <w:rsid w:val="00501FF0"/>
    <w:rsid w:val="00510171"/>
    <w:rsid w:val="005144F5"/>
    <w:rsid w:val="00532899"/>
    <w:rsid w:val="00532CB7"/>
    <w:rsid w:val="005422BB"/>
    <w:rsid w:val="005462D6"/>
    <w:rsid w:val="005479C6"/>
    <w:rsid w:val="005504B6"/>
    <w:rsid w:val="005602DF"/>
    <w:rsid w:val="00574253"/>
    <w:rsid w:val="00586BB5"/>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0433A"/>
    <w:rsid w:val="00611380"/>
    <w:rsid w:val="00611CAB"/>
    <w:rsid w:val="00612BD1"/>
    <w:rsid w:val="00613242"/>
    <w:rsid w:val="00615123"/>
    <w:rsid w:val="00616DB0"/>
    <w:rsid w:val="00623BE6"/>
    <w:rsid w:val="00624AEA"/>
    <w:rsid w:val="00626B27"/>
    <w:rsid w:val="00640DD7"/>
    <w:rsid w:val="0064108B"/>
    <w:rsid w:val="00646261"/>
    <w:rsid w:val="00651E40"/>
    <w:rsid w:val="00652F20"/>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408FD"/>
    <w:rsid w:val="008465EC"/>
    <w:rsid w:val="008618FA"/>
    <w:rsid w:val="00875A30"/>
    <w:rsid w:val="00877FA9"/>
    <w:rsid w:val="0088206E"/>
    <w:rsid w:val="0088452C"/>
    <w:rsid w:val="00893C52"/>
    <w:rsid w:val="00895BB6"/>
    <w:rsid w:val="008A46BC"/>
    <w:rsid w:val="008A6851"/>
    <w:rsid w:val="008B3420"/>
    <w:rsid w:val="008C03BF"/>
    <w:rsid w:val="008D3DA3"/>
    <w:rsid w:val="008E036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2DC6"/>
    <w:rsid w:val="00A437DA"/>
    <w:rsid w:val="00A50B42"/>
    <w:rsid w:val="00A51F97"/>
    <w:rsid w:val="00A55A9B"/>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22D82"/>
    <w:rsid w:val="00B23242"/>
    <w:rsid w:val="00B24894"/>
    <w:rsid w:val="00B3489C"/>
    <w:rsid w:val="00B45F27"/>
    <w:rsid w:val="00B508E0"/>
    <w:rsid w:val="00B53021"/>
    <w:rsid w:val="00B55D1D"/>
    <w:rsid w:val="00B55F04"/>
    <w:rsid w:val="00B56734"/>
    <w:rsid w:val="00B60F34"/>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1655C"/>
    <w:rsid w:val="00C34EA2"/>
    <w:rsid w:val="00C37FF7"/>
    <w:rsid w:val="00C662D1"/>
    <w:rsid w:val="00C738C0"/>
    <w:rsid w:val="00C9492B"/>
    <w:rsid w:val="00CA0946"/>
    <w:rsid w:val="00CA4342"/>
    <w:rsid w:val="00CB3054"/>
    <w:rsid w:val="00CB4253"/>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6B14"/>
    <w:rsid w:val="00E00E57"/>
    <w:rsid w:val="00E12AF0"/>
    <w:rsid w:val="00E12B26"/>
    <w:rsid w:val="00E2023A"/>
    <w:rsid w:val="00E328AB"/>
    <w:rsid w:val="00E46DBA"/>
    <w:rsid w:val="00E52B03"/>
    <w:rsid w:val="00E53C2F"/>
    <w:rsid w:val="00E72BA3"/>
    <w:rsid w:val="00E758DD"/>
    <w:rsid w:val="00EA31A4"/>
    <w:rsid w:val="00EB713B"/>
    <w:rsid w:val="00EC4775"/>
    <w:rsid w:val="00EE4622"/>
    <w:rsid w:val="00EF04EC"/>
    <w:rsid w:val="00EF1349"/>
    <w:rsid w:val="00EF153B"/>
    <w:rsid w:val="00F0059D"/>
    <w:rsid w:val="00F1701D"/>
    <w:rsid w:val="00F2329C"/>
    <w:rsid w:val="00F34996"/>
    <w:rsid w:val="00F55699"/>
    <w:rsid w:val="00F73B08"/>
    <w:rsid w:val="00F82DC9"/>
    <w:rsid w:val="00F85DDD"/>
    <w:rsid w:val="00F91141"/>
    <w:rsid w:val="00F96E28"/>
    <w:rsid w:val="00FA6747"/>
    <w:rsid w:val="00FC4A81"/>
    <w:rsid w:val="00FC5FEF"/>
    <w:rsid w:val="00FD3159"/>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6</cp:revision>
  <cp:lastPrinted>2015-05-11T16:39:00Z</cp:lastPrinted>
  <dcterms:created xsi:type="dcterms:W3CDTF">2015-04-22T17:23:00Z</dcterms:created>
  <dcterms:modified xsi:type="dcterms:W3CDTF">2015-05-11T16:40:00Z</dcterms:modified>
</cp:coreProperties>
</file>