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850190">
        <w:rPr>
          <w:color w:val="000000" w:themeColor="text1"/>
          <w:sz w:val="26"/>
          <w:szCs w:val="26"/>
        </w:rPr>
        <w:t>2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1A5B25">
        <w:t>s</w:t>
      </w:r>
      <w:bookmarkStart w:id="0" w:name="_GoBack"/>
      <w:bookmarkEnd w:id="0"/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12146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JCC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 </w:t>
      </w:r>
      <w:hyperlink r:id="rId7" w:history="1">
        <w:r w:rsidR="004C4568" w:rsidRPr="00D77FEF">
          <w:rPr>
            <w:rStyle w:val="Hyperlink"/>
            <w:bCs/>
            <w:iCs/>
            <w:sz w:val="22"/>
            <w:szCs w:val="22"/>
          </w:rPr>
          <w:t>solicitations@jud.ca.gov</w:t>
        </w:r>
      </w:hyperlink>
      <w:r w:rsidR="004C4568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</w:t>
      </w:r>
      <w:r>
        <w:rPr>
          <w:color w:val="000000" w:themeColor="text1"/>
        </w:rPr>
        <w:lastRenderedPageBreak/>
        <w:t xml:space="preserve">the Bidder may be allowed to withdraw its bid if the Bidder can demonstrate to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8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B52DD6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>Until a contract resulting from this IFB is signed, t</w:t>
      </w:r>
      <w:r w:rsidR="00AD197B" w:rsidRPr="00C32AF4">
        <w:rPr>
          <w:color w:val="000000" w:themeColor="text1"/>
        </w:rPr>
        <w:t xml:space="preserve">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 reserves the right to accept or reject any </w:t>
      </w:r>
      <w:r w:rsidR="00AD197B" w:rsidRPr="00C32AF4">
        <w:rPr>
          <w:color w:val="000000" w:themeColor="text1"/>
        </w:rPr>
        <w:lastRenderedPageBreak/>
        <w:t xml:space="preserve">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the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employees.  The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73A8B">
      <w:pPr>
        <w:pStyle w:val="ExhibitC2"/>
        <w:numPr>
          <w:ilvl w:val="0"/>
          <w:numId w:val="0"/>
        </w:numPr>
        <w:spacing w:before="120" w:after="120"/>
        <w:ind w:left="1440" w:hanging="720"/>
        <w:jc w:val="right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21467">
        <w:rPr>
          <w:b/>
          <w:color w:val="000000" w:themeColor="text1"/>
        </w:rPr>
        <w:t>JCC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08" w:rsidRDefault="00BD6708" w:rsidP="00EB34A4">
      <w:r>
        <w:separator/>
      </w:r>
    </w:p>
  </w:endnote>
  <w:endnote w:type="continuationSeparator" w:id="0">
    <w:p w:rsidR="00BD6708" w:rsidRDefault="00BD6708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08" w:rsidRDefault="00BD6708" w:rsidP="00EB34A4">
      <w:r>
        <w:separator/>
      </w:r>
    </w:p>
  </w:footnote>
  <w:footnote w:type="continuationSeparator" w:id="0">
    <w:p w:rsidR="00BD6708" w:rsidRDefault="00BD6708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90" w:rsidRDefault="00850190" w:rsidP="00850190">
    <w:pPr>
      <w:pStyle w:val="Header"/>
    </w:pPr>
    <w:r>
      <w:t xml:space="preserve">IFB Title:    JCC Yearly Move Services  </w:t>
    </w:r>
  </w:p>
  <w:p w:rsidR="00EB34A4" w:rsidRPr="00850190" w:rsidRDefault="00850190" w:rsidP="00850190">
    <w:pPr>
      <w:pStyle w:val="Header"/>
    </w:pPr>
    <w:r>
      <w:t>IFB Number:   IFB-BAP-06062017-RB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A5B25"/>
    <w:rsid w:val="001B2D6B"/>
    <w:rsid w:val="001F753D"/>
    <w:rsid w:val="00204B2E"/>
    <w:rsid w:val="00205E91"/>
    <w:rsid w:val="00212091"/>
    <w:rsid w:val="00220B58"/>
    <w:rsid w:val="0022154C"/>
    <w:rsid w:val="00227490"/>
    <w:rsid w:val="00257984"/>
    <w:rsid w:val="00287414"/>
    <w:rsid w:val="002B34E4"/>
    <w:rsid w:val="00307672"/>
    <w:rsid w:val="003159DF"/>
    <w:rsid w:val="003646C6"/>
    <w:rsid w:val="00371C7B"/>
    <w:rsid w:val="00373A8B"/>
    <w:rsid w:val="003869B6"/>
    <w:rsid w:val="00394041"/>
    <w:rsid w:val="003E19B4"/>
    <w:rsid w:val="00410195"/>
    <w:rsid w:val="00471BB7"/>
    <w:rsid w:val="00471CA0"/>
    <w:rsid w:val="00472189"/>
    <w:rsid w:val="004A571A"/>
    <w:rsid w:val="004C4568"/>
    <w:rsid w:val="004D26FC"/>
    <w:rsid w:val="005012FF"/>
    <w:rsid w:val="00507CB3"/>
    <w:rsid w:val="00530AD6"/>
    <w:rsid w:val="00531DF0"/>
    <w:rsid w:val="00555325"/>
    <w:rsid w:val="005A75FE"/>
    <w:rsid w:val="005F3E9B"/>
    <w:rsid w:val="005F46B8"/>
    <w:rsid w:val="00622015"/>
    <w:rsid w:val="0062489A"/>
    <w:rsid w:val="0063422C"/>
    <w:rsid w:val="0065558F"/>
    <w:rsid w:val="006F59BB"/>
    <w:rsid w:val="00713668"/>
    <w:rsid w:val="00756AE6"/>
    <w:rsid w:val="007D010E"/>
    <w:rsid w:val="008011C2"/>
    <w:rsid w:val="008036AF"/>
    <w:rsid w:val="00806692"/>
    <w:rsid w:val="00850190"/>
    <w:rsid w:val="0088206E"/>
    <w:rsid w:val="008A16CA"/>
    <w:rsid w:val="008A7439"/>
    <w:rsid w:val="008D4C7A"/>
    <w:rsid w:val="00915A18"/>
    <w:rsid w:val="009661F0"/>
    <w:rsid w:val="009931F5"/>
    <w:rsid w:val="009D1BBC"/>
    <w:rsid w:val="00A31F86"/>
    <w:rsid w:val="00A830A3"/>
    <w:rsid w:val="00AA1F23"/>
    <w:rsid w:val="00AB064B"/>
    <w:rsid w:val="00AB12FC"/>
    <w:rsid w:val="00AB5D79"/>
    <w:rsid w:val="00AC6D76"/>
    <w:rsid w:val="00AD197B"/>
    <w:rsid w:val="00B52DD6"/>
    <w:rsid w:val="00B5411A"/>
    <w:rsid w:val="00B976CD"/>
    <w:rsid w:val="00BA46D4"/>
    <w:rsid w:val="00BD3DD2"/>
    <w:rsid w:val="00BD6708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B6B27"/>
    <w:rsid w:val="00DC4B72"/>
    <w:rsid w:val="00DD1F4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77C5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BF32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Butler, Ray</cp:lastModifiedBy>
  <cp:revision>2</cp:revision>
  <cp:lastPrinted>2017-06-01T16:54:00Z</cp:lastPrinted>
  <dcterms:created xsi:type="dcterms:W3CDTF">2017-06-05T17:24:00Z</dcterms:created>
  <dcterms:modified xsi:type="dcterms:W3CDTF">2017-06-05T17:24:00Z</dcterms:modified>
</cp:coreProperties>
</file>