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FB9B22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A507BC">
        <w:rPr>
          <w:sz w:val="20"/>
        </w:rPr>
        <w:t xml:space="preserve">JCC” or “Judicial Council” or </w:t>
      </w:r>
      <w:r w:rsidR="00DE4306">
        <w:rPr>
          <w:sz w:val="20"/>
        </w:rPr>
        <w:t>“Judicial Branch Entity (</w:t>
      </w:r>
      <w:r w:rsidR="009B5E10">
        <w:rPr>
          <w:sz w:val="20"/>
        </w:rPr>
        <w:t>JBE</w:t>
      </w:r>
      <w:r w:rsidR="00DE4306">
        <w:rPr>
          <w:sz w:val="20"/>
        </w:rPr>
        <w:t>)</w:t>
      </w:r>
      <w:r w:rsidRPr="00C314CE">
        <w:rPr>
          <w:sz w:val="20"/>
        </w:rPr>
        <w:t xml:space="preserve">” refers to the </w:t>
      </w:r>
      <w:r w:rsidR="00DE4306">
        <w:rPr>
          <w:b/>
          <w:sz w:val="20"/>
        </w:rPr>
        <w:t>Judicial Council of California</w:t>
      </w:r>
      <w:r w:rsidRPr="00C314CE">
        <w:rPr>
          <w:sz w:val="20"/>
        </w:rPr>
        <w:t xml:space="preserve">. </w:t>
      </w:r>
    </w:p>
    <w:p w14:paraId="458BA7E3" w14:textId="14390DD2" w:rsidR="003B3C0B" w:rsidRPr="00287443" w:rsidRDefault="003B3C0B" w:rsidP="003B3C0B">
      <w:pPr>
        <w:ind w:left="-450" w:hanging="270"/>
        <w:rPr>
          <w:sz w:val="20"/>
        </w:rPr>
      </w:pPr>
      <w:r w:rsidRPr="00287443">
        <w:rPr>
          <w:sz w:val="20"/>
        </w:rPr>
        <w:t xml:space="preserve">2.  This Agreement is effective as of </w:t>
      </w:r>
      <w:r w:rsidR="008C7E8A" w:rsidRPr="008C7E8A">
        <w:rPr>
          <w:b/>
          <w:sz w:val="20"/>
        </w:rPr>
        <w:t>July 1, 2024</w:t>
      </w:r>
      <w:r w:rsidRPr="00287443">
        <w:rPr>
          <w:sz w:val="20"/>
        </w:rPr>
        <w:t xml:space="preserve"> </w:t>
      </w:r>
      <w:r>
        <w:rPr>
          <w:sz w:val="20"/>
        </w:rPr>
        <w:t>(</w:t>
      </w:r>
      <w:r w:rsidRPr="00287443">
        <w:rPr>
          <w:sz w:val="20"/>
        </w:rPr>
        <w:t xml:space="preserve">“Effective Date”) and expires on </w:t>
      </w:r>
      <w:r w:rsidR="008C7E8A" w:rsidRPr="008C7E8A">
        <w:rPr>
          <w:b/>
          <w:sz w:val="20"/>
        </w:rPr>
        <w:t>June 3</w:t>
      </w:r>
      <w:r w:rsidR="007E74CF">
        <w:rPr>
          <w:b/>
          <w:sz w:val="20"/>
        </w:rPr>
        <w:t>0</w:t>
      </w:r>
      <w:r w:rsidR="008C7E8A" w:rsidRPr="008C7E8A">
        <w:rPr>
          <w:b/>
          <w:sz w:val="20"/>
        </w:rPr>
        <w:t>, 2025</w:t>
      </w:r>
      <w:r w:rsidRPr="00287443">
        <w:rPr>
          <w:sz w:val="20"/>
        </w:rPr>
        <w:t xml:space="preserve"> (“Expiration Date”).  </w:t>
      </w:r>
    </w:p>
    <w:p w14:paraId="19B484F6" w14:textId="1E8CFA5E"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8C7E8A">
        <w:rPr>
          <w:sz w:val="20"/>
        </w:rPr>
        <w:t xml:space="preserve">three (3) consecutive one-year </w:t>
      </w:r>
      <w:r w:rsidRPr="00287443">
        <w:rPr>
          <w:sz w:val="20"/>
        </w:rPr>
        <w:t>option</w:t>
      </w:r>
      <w:r w:rsidR="008C7E8A">
        <w:rPr>
          <w:sz w:val="20"/>
        </w:rPr>
        <w:t xml:space="preserve"> terms</w:t>
      </w:r>
      <w:r w:rsidRPr="00287443">
        <w:rPr>
          <w:sz w:val="20"/>
        </w:rPr>
        <w:t xml:space="preserve"> to extend through </w:t>
      </w:r>
      <w:r w:rsidR="008C7E8A" w:rsidRPr="008C7E8A">
        <w:rPr>
          <w:b/>
          <w:sz w:val="20"/>
        </w:rPr>
        <w:t>June 30, 2028</w:t>
      </w:r>
      <w:r>
        <w:rPr>
          <w:sz w:val="20"/>
        </w:rPr>
        <w:t>.</w:t>
      </w:r>
      <w:r>
        <w:rPr>
          <w:sz w:val="20"/>
        </w:rPr>
        <w:tab/>
      </w:r>
    </w:p>
    <w:p w14:paraId="3D5D8E82" w14:textId="2E3D81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237995">
        <w:rPr>
          <w:sz w:val="20"/>
        </w:rPr>
        <w:t xml:space="preserve">First </w:t>
      </w:r>
      <w:r w:rsidR="003646A9">
        <w:rPr>
          <w:sz w:val="20"/>
        </w:rPr>
        <w:t>Option Term</w:t>
      </w:r>
      <w:r w:rsidR="00237995">
        <w:rPr>
          <w:sz w:val="20"/>
        </w:rPr>
        <w:t>, iii)</w:t>
      </w:r>
      <w:r w:rsidR="00237995" w:rsidRPr="00237995">
        <w:rPr>
          <w:sz w:val="20"/>
        </w:rPr>
        <w:t xml:space="preserve"> </w:t>
      </w:r>
      <w:bookmarkStart w:id="0" w:name="_Hlk150159148"/>
      <w:r w:rsidR="00237995" w:rsidRPr="00237995">
        <w:rPr>
          <w:sz w:val="20"/>
          <w:highlight w:val="yellow"/>
        </w:rPr>
        <w:t>$</w:t>
      </w:r>
      <w:r w:rsidR="00237995" w:rsidRPr="00237995">
        <w:rPr>
          <w:b/>
          <w:sz w:val="20"/>
          <w:highlight w:val="yellow"/>
        </w:rPr>
        <w:t>[Dollar amount]</w:t>
      </w:r>
      <w:r w:rsidR="00237995" w:rsidRPr="00237995">
        <w:rPr>
          <w:b/>
          <w:sz w:val="20"/>
        </w:rPr>
        <w:t xml:space="preserve"> </w:t>
      </w:r>
      <w:bookmarkEnd w:id="0"/>
      <w:r w:rsidR="00237995" w:rsidRPr="00237995">
        <w:rPr>
          <w:bCs/>
          <w:sz w:val="20"/>
        </w:rPr>
        <w:t>during the Second Option Term, and</w:t>
      </w:r>
      <w:r w:rsidR="00237995">
        <w:rPr>
          <w:b/>
          <w:sz w:val="20"/>
        </w:rPr>
        <w:t xml:space="preserve"> </w:t>
      </w:r>
      <w:r w:rsidR="00237995" w:rsidRPr="00237995">
        <w:rPr>
          <w:bCs/>
          <w:sz w:val="20"/>
        </w:rPr>
        <w:t>iv</w:t>
      </w:r>
      <w:r w:rsidR="00237995" w:rsidRPr="00237995">
        <w:rPr>
          <w:bCs/>
          <w:sz w:val="20"/>
          <w:highlight w:val="yellow"/>
        </w:rPr>
        <w:t>)</w:t>
      </w:r>
      <w:r w:rsidR="00237995" w:rsidRPr="00237995">
        <w:rPr>
          <w:b/>
          <w:sz w:val="20"/>
          <w:highlight w:val="yellow"/>
        </w:rPr>
        <w:t xml:space="preserve"> $[Dollar amount]</w:t>
      </w:r>
      <w:r w:rsidR="00237995" w:rsidRPr="00237995">
        <w:rPr>
          <w:b/>
          <w:sz w:val="20"/>
        </w:rPr>
        <w:t xml:space="preserve"> </w:t>
      </w:r>
      <w:r w:rsidR="00237995" w:rsidRPr="00237995">
        <w:rPr>
          <w:bCs/>
          <w:sz w:val="20"/>
        </w:rPr>
        <w:t>during the Third Option Term</w:t>
      </w:r>
      <w:r w:rsidR="008C1E27" w:rsidRPr="008C1E27">
        <w:rPr>
          <w:sz w:val="20"/>
        </w:rPr>
        <w:t>.</w:t>
      </w:r>
    </w:p>
    <w:p w14:paraId="4930F375" w14:textId="790465D4"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FA70A0">
        <w:rPr>
          <w:b/>
          <w:sz w:val="20"/>
          <w:highlight w:val="yellow"/>
        </w:rPr>
        <w:t>Claims Auditing Services</w:t>
      </w:r>
      <w:r w:rsidR="00237995">
        <w:rPr>
          <w:sz w:val="20"/>
        </w:rPr>
        <w:t>, pursuant to RFP No. HR-2023-54-DM</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3AF66B10"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supersedes all previous proposals, both oral and written, negotiations, representations, commitments, writing and all other communications between the parties</w:t>
      </w:r>
      <w:r w:rsidR="00081B0A">
        <w:rPr>
          <w:sz w:val="20"/>
        </w:rPr>
        <w:t>.</w:t>
      </w:r>
    </w:p>
    <w:p w14:paraId="78D927C6" w14:textId="77777777" w:rsidR="003B3C0B" w:rsidRDefault="003B3C0B" w:rsidP="003B3C0B">
      <w:pPr>
        <w:ind w:left="-450" w:hanging="270"/>
        <w:rPr>
          <w:sz w:val="20"/>
        </w:rPr>
      </w:pPr>
    </w:p>
    <w:p w14:paraId="3DD7BF28" w14:textId="5F48B284"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3284E9F6" w14:textId="4D91F0F6" w:rsidR="003B3C0B" w:rsidRDefault="009341F2" w:rsidP="002542A2">
      <w:pPr>
        <w:pBdr>
          <w:bottom w:val="single" w:sz="6" w:space="1" w:color="auto"/>
        </w:pBdr>
        <w:ind w:left="-450" w:hanging="270"/>
        <w:rPr>
          <w:b/>
          <w:i/>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 xml:space="preserve">[Only when </w:t>
      </w:r>
      <w:proofErr w:type="gramStart"/>
      <w:r w:rsidRPr="00A46FBE">
        <w:rPr>
          <w:b/>
          <w:i/>
          <w:sz w:val="20"/>
          <w:highlight w:val="yellow"/>
        </w:rPr>
        <w:t>entering into</w:t>
      </w:r>
      <w:proofErr w:type="gramEnd"/>
      <w:r w:rsidRPr="00A46FBE">
        <w:rPr>
          <w:b/>
          <w:i/>
          <w:sz w:val="20"/>
          <w:highlight w:val="yellow"/>
        </w:rPr>
        <w:t xml:space="preserve"> or renewing a contract $100,000 or more]</w:t>
      </w:r>
    </w:p>
    <w:p w14:paraId="72D5F092" w14:textId="55401E85" w:rsidR="009700D0" w:rsidRPr="00D8721B" w:rsidRDefault="00BA2C9D" w:rsidP="009700D0">
      <w:pPr>
        <w:pBdr>
          <w:bottom w:val="single" w:sz="6" w:space="1" w:color="auto"/>
        </w:pBdr>
        <w:ind w:left="-450" w:hanging="270"/>
        <w:rPr>
          <w:bCs/>
          <w:iCs/>
          <w:sz w:val="20"/>
        </w:rPr>
      </w:pPr>
      <w:r>
        <w:rPr>
          <w:b/>
          <w:i/>
          <w:sz w:val="20"/>
        </w:rPr>
        <w:tab/>
      </w:r>
      <w:r w:rsidR="00D8721B" w:rsidRPr="00D8721B">
        <w:rPr>
          <w:bCs/>
          <w:iCs/>
          <w:sz w:val="20"/>
        </w:rPr>
        <w:t>Appendix I - Judicial Branch Workers’ Compensation Program TPA Service Guidelines</w:t>
      </w: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70"/>
        <w:gridCol w:w="4710"/>
      </w:tblGrid>
      <w:tr w:rsidR="003B3C0B" w:rsidRPr="00114412" w14:paraId="26883AAC" w14:textId="77777777" w:rsidTr="002542A2">
        <w:trPr>
          <w:trHeight w:hRule="exact" w:val="495"/>
        </w:trPr>
        <w:tc>
          <w:tcPr>
            <w:tcW w:w="537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71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2542A2">
        <w:trPr>
          <w:trHeight w:hRule="exact" w:val="110"/>
        </w:trPr>
        <w:tc>
          <w:tcPr>
            <w:tcW w:w="537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71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2542A2">
        <w:trPr>
          <w:trHeight w:hRule="exact" w:val="999"/>
        </w:trPr>
        <w:tc>
          <w:tcPr>
            <w:tcW w:w="537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0A4F5301" w:rsidR="003B3C0B" w:rsidRPr="00114412" w:rsidRDefault="002542A2" w:rsidP="00D662AB">
            <w:pPr>
              <w:jc w:val="both"/>
              <w:rPr>
                <w:sz w:val="18"/>
              </w:rPr>
            </w:pPr>
            <w:r>
              <w:rPr>
                <w:b/>
                <w:sz w:val="20"/>
              </w:rPr>
              <w:t>The Judicial Council of California</w:t>
            </w:r>
          </w:p>
        </w:tc>
        <w:tc>
          <w:tcPr>
            <w:tcW w:w="471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2542A2">
        <w:trPr>
          <w:trHeight w:hRule="exact" w:val="100"/>
        </w:trPr>
        <w:tc>
          <w:tcPr>
            <w:tcW w:w="537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71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2542A2">
        <w:trPr>
          <w:trHeight w:hRule="exact" w:val="699"/>
        </w:trPr>
        <w:tc>
          <w:tcPr>
            <w:tcW w:w="5370" w:type="dxa"/>
            <w:tcBorders>
              <w:top w:val="nil"/>
              <w:left w:val="single" w:sz="8" w:space="0" w:color="auto"/>
              <w:bottom w:val="single" w:sz="8" w:space="0" w:color="auto"/>
              <w:right w:val="single" w:sz="8" w:space="0" w:color="auto"/>
            </w:tcBorders>
          </w:tcPr>
          <w:p w14:paraId="61828F32" w14:textId="4E45598A" w:rsidR="003B3C0B" w:rsidRPr="00114412" w:rsidRDefault="002542A2" w:rsidP="00D662AB">
            <w:pPr>
              <w:spacing w:before="20"/>
              <w:rPr>
                <w:sz w:val="14"/>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7AB3710E" wp14:editId="1D7F3223">
                      <wp:simplePos x="0" y="0"/>
                      <wp:positionH relativeFrom="column">
                        <wp:posOffset>1435100</wp:posOffset>
                      </wp:positionH>
                      <wp:positionV relativeFrom="paragraph">
                        <wp:posOffset>-17780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0C84D77" w14:textId="77777777" w:rsidR="002542A2" w:rsidRPr="00FB4888" w:rsidRDefault="002542A2" w:rsidP="002542A2">
                                  <w:pPr>
                                    <w:spacing w:before="360"/>
                                    <w:jc w:val="center"/>
                                    <w:rPr>
                                      <w:b/>
                                      <w:smallCaps/>
                                      <w:sz w:val="48"/>
                                    </w:rPr>
                                  </w:pPr>
                                  <w:permStart w:id="932852416" w:edGrp="everyone"/>
                                  <w:r w:rsidRPr="00631BBB">
                                    <w:rPr>
                                      <w:b/>
                                      <w:smallCaps/>
                                      <w:sz w:val="48"/>
                                    </w:rPr>
                                    <w:t>Sample Only – Do Not Sign</w:t>
                                  </w:r>
                                  <w:permEnd w:id="9328524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3710E" id="Rectangle 2" o:spid="_x0000_s1026" style="position:absolute;margin-left:113pt;margin-top:-1.4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" strokecolor="#fabf8f" strokeweight="1pt">
                      <v:fill color2="#fbd4b4" focus="100%" type="gradient"/>
                      <v:shadow on="t" color="#974706" opacity=".5" offset="1pt"/>
                      <v:textbox>
                        <w:txbxContent>
                          <w:p w14:paraId="50C84D77" w14:textId="77777777" w:rsidR="002542A2" w:rsidRPr="00FB4888" w:rsidRDefault="002542A2" w:rsidP="002542A2">
                            <w:pPr>
                              <w:spacing w:before="360"/>
                              <w:jc w:val="center"/>
                              <w:rPr>
                                <w:b/>
                                <w:smallCaps/>
                                <w:sz w:val="48"/>
                              </w:rPr>
                            </w:pPr>
                            <w:permStart w:id="932852416" w:edGrp="everyone"/>
                            <w:r w:rsidRPr="00631BBB">
                              <w:rPr>
                                <w:b/>
                                <w:smallCaps/>
                                <w:sz w:val="48"/>
                              </w:rPr>
                              <w:t>Sample Only – Do Not Sign</w:t>
                            </w:r>
                            <w:permEnd w:id="932852416"/>
                          </w:p>
                        </w:txbxContent>
                      </v:textbox>
                    </v:rect>
                  </w:pict>
                </mc:Fallback>
              </mc:AlternateContent>
            </w:r>
            <w:r w:rsidR="003B3C0B" w:rsidRPr="00C314CE">
              <w:rPr>
                <w:sz w:val="14"/>
              </w:rPr>
              <w:t xml:space="preserve"> BY </w:t>
            </w:r>
            <w:r w:rsidR="003B3C0B" w:rsidRPr="00C314CE">
              <w:rPr>
                <w:i/>
                <w:sz w:val="14"/>
              </w:rPr>
              <w:t>(Authorized Signature)</w:t>
            </w:r>
          </w:p>
          <w:p w14:paraId="68BC6A79" w14:textId="2F46E82A" w:rsidR="003B3C0B" w:rsidRPr="00114412" w:rsidRDefault="003B3C0B" w:rsidP="00D662AB">
            <w:pPr>
              <w:tabs>
                <w:tab w:val="left" w:pos="3600"/>
              </w:tabs>
              <w:rPr>
                <w:sz w:val="18"/>
              </w:rPr>
            </w:pPr>
            <w:r w:rsidRPr="00C314CE">
              <w:rPr>
                <w:sz w:val="28"/>
              </w:rPr>
              <w:sym w:font="Wingdings" w:char="F03F"/>
            </w:r>
          </w:p>
        </w:tc>
        <w:tc>
          <w:tcPr>
            <w:tcW w:w="471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2542A2">
        <w:trPr>
          <w:trHeight w:hRule="exact" w:val="100"/>
        </w:trPr>
        <w:tc>
          <w:tcPr>
            <w:tcW w:w="537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71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2542A2">
        <w:trPr>
          <w:trHeight w:hRule="exact" w:val="627"/>
        </w:trPr>
        <w:tc>
          <w:tcPr>
            <w:tcW w:w="537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71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2542A2">
        <w:trPr>
          <w:trHeight w:hRule="exact" w:val="627"/>
        </w:trPr>
        <w:tc>
          <w:tcPr>
            <w:tcW w:w="537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71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2542A2">
        <w:trPr>
          <w:trHeight w:hRule="exact" w:val="100"/>
        </w:trPr>
        <w:tc>
          <w:tcPr>
            <w:tcW w:w="537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71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2542A2">
        <w:trPr>
          <w:trHeight w:hRule="exact" w:val="1170"/>
        </w:trPr>
        <w:tc>
          <w:tcPr>
            <w:tcW w:w="537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098680" w14:textId="77777777" w:rsidR="002542A2" w:rsidRPr="00BA3559" w:rsidRDefault="002542A2" w:rsidP="002542A2">
            <w:pPr>
              <w:tabs>
                <w:tab w:val="left" w:pos="3600"/>
              </w:tabs>
              <w:rPr>
                <w:sz w:val="14"/>
              </w:rPr>
            </w:pPr>
            <w:r>
              <w:rPr>
                <w:b/>
                <w:sz w:val="20"/>
              </w:rPr>
              <w:t>Attn: Procurement</w:t>
            </w:r>
          </w:p>
          <w:p w14:paraId="367999B8" w14:textId="77777777" w:rsidR="002542A2" w:rsidRPr="00BA3559" w:rsidRDefault="002542A2" w:rsidP="002542A2">
            <w:pPr>
              <w:tabs>
                <w:tab w:val="left" w:pos="3600"/>
              </w:tabs>
              <w:rPr>
                <w:b/>
                <w:sz w:val="20"/>
              </w:rPr>
            </w:pPr>
            <w:r w:rsidRPr="00BA3559">
              <w:rPr>
                <w:b/>
                <w:sz w:val="20"/>
              </w:rPr>
              <w:t xml:space="preserve">Branch Accounting &amp; Procurement | Administrative Division </w:t>
            </w:r>
          </w:p>
          <w:p w14:paraId="720AEAAD" w14:textId="77777777" w:rsidR="002542A2" w:rsidRDefault="002542A2" w:rsidP="002542A2">
            <w:pPr>
              <w:tabs>
                <w:tab w:val="left" w:pos="3600"/>
              </w:tabs>
              <w:rPr>
                <w:b/>
                <w:sz w:val="20"/>
              </w:rPr>
            </w:pPr>
            <w:r w:rsidRPr="00BA3559">
              <w:rPr>
                <w:b/>
                <w:sz w:val="20"/>
              </w:rPr>
              <w:t xml:space="preserve">455 Golden Gate Avenue, 6th </w:t>
            </w:r>
            <w:proofErr w:type="gramStart"/>
            <w:r w:rsidRPr="00BA3559">
              <w:rPr>
                <w:b/>
                <w:sz w:val="20"/>
              </w:rPr>
              <w:t>Floor</w:t>
            </w:r>
            <w:proofErr w:type="gramEnd"/>
          </w:p>
          <w:p w14:paraId="72E182B9" w14:textId="27D9EFF3" w:rsidR="003B3C0B" w:rsidRPr="00287443" w:rsidRDefault="002542A2" w:rsidP="002542A2">
            <w:pPr>
              <w:tabs>
                <w:tab w:val="left" w:pos="3600"/>
              </w:tabs>
              <w:rPr>
                <w:sz w:val="20"/>
              </w:rPr>
            </w:pPr>
            <w:r w:rsidRPr="00BA3559">
              <w:rPr>
                <w:b/>
                <w:sz w:val="20"/>
              </w:rPr>
              <w:t>San Francisco, CA 94102-3688</w:t>
            </w:r>
          </w:p>
        </w:tc>
        <w:tc>
          <w:tcPr>
            <w:tcW w:w="471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50AB356F"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FA70A0"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53A90C4D" w14:textId="79F00C3A" w:rsidR="00FA70A0" w:rsidRPr="0042524F" w:rsidRDefault="00FA70A0" w:rsidP="00E93860">
      <w:pPr>
        <w:pStyle w:val="ListParagraph"/>
        <w:keepNext/>
        <w:numPr>
          <w:ilvl w:val="1"/>
          <w:numId w:val="30"/>
        </w:numPr>
        <w:ind w:left="1080"/>
      </w:pPr>
      <w:bookmarkStart w:id="1" w:name="_Hlk23173153"/>
      <w:r w:rsidRPr="0042524F">
        <w:rPr>
          <w:rFonts w:asciiTheme="minorHAnsi" w:hAnsiTheme="minorHAnsi" w:cstheme="minorHAnsi"/>
          <w:bCs/>
          <w:sz w:val="20"/>
        </w:rPr>
        <w:t>Judicial Council of California.  The Judicial Council of California (JCC) is the policymaking body of the California courts, the largest court system in the nation. Under the leadership of the Chief Justice and in accordance with the California Constitution, the council is responsible for ensuring the consistent, independent, impartial, and accessible administration of justice. Judicial Council staff help implement the council’s policies</w:t>
      </w:r>
      <w:r w:rsidR="00D36FB2">
        <w:rPr>
          <w:rFonts w:asciiTheme="minorHAnsi" w:hAnsiTheme="minorHAnsi" w:cstheme="minorHAnsi"/>
          <w:bCs/>
          <w:sz w:val="20"/>
        </w:rPr>
        <w:t xml:space="preserve"> and provide services to the following Judicial Branch Entities (JBE):</w:t>
      </w:r>
    </w:p>
    <w:p w14:paraId="1749C177" w14:textId="77777777" w:rsidR="00FA70A0" w:rsidRPr="0042524F" w:rsidRDefault="00FA70A0" w:rsidP="00FA70A0">
      <w:pPr>
        <w:keepNext/>
        <w:ind w:left="1440"/>
        <w:rPr>
          <w:rFonts w:asciiTheme="minorHAnsi" w:hAnsiTheme="minorHAnsi" w:cstheme="minorHAnsi"/>
          <w:bCs/>
          <w:sz w:val="20"/>
        </w:rPr>
      </w:pPr>
    </w:p>
    <w:p w14:paraId="3795D0C8" w14:textId="77777777" w:rsidR="00FA70A0" w:rsidRPr="0042524F" w:rsidRDefault="00FA70A0" w:rsidP="00FA70A0">
      <w:pPr>
        <w:keepNext/>
        <w:numPr>
          <w:ilvl w:val="0"/>
          <w:numId w:val="31"/>
        </w:numPr>
        <w:rPr>
          <w:rFonts w:asciiTheme="minorHAnsi" w:hAnsiTheme="minorHAnsi" w:cstheme="minorHAnsi"/>
          <w:bCs/>
          <w:sz w:val="20"/>
        </w:rPr>
      </w:pPr>
      <w:r w:rsidRPr="0042524F">
        <w:rPr>
          <w:rFonts w:asciiTheme="minorHAnsi" w:hAnsiTheme="minorHAnsi" w:cstheme="minorHAnsi"/>
          <w:bCs/>
          <w:sz w:val="20"/>
        </w:rPr>
        <w:t>The Supreme Court of California (SC)</w:t>
      </w:r>
    </w:p>
    <w:p w14:paraId="09775F21" w14:textId="5652D21B" w:rsidR="00FA70A0" w:rsidRDefault="00FA70A0" w:rsidP="00FA70A0">
      <w:pPr>
        <w:keepNext/>
        <w:numPr>
          <w:ilvl w:val="0"/>
          <w:numId w:val="31"/>
        </w:numPr>
        <w:rPr>
          <w:rFonts w:asciiTheme="minorHAnsi" w:hAnsiTheme="minorHAnsi" w:cstheme="minorHAnsi"/>
          <w:bCs/>
          <w:sz w:val="20"/>
        </w:rPr>
      </w:pPr>
      <w:r w:rsidRPr="0042524F">
        <w:rPr>
          <w:rFonts w:asciiTheme="minorHAnsi" w:hAnsiTheme="minorHAnsi" w:cstheme="minorHAnsi"/>
          <w:bCs/>
          <w:sz w:val="20"/>
        </w:rPr>
        <w:t>The Courts of Appeal (</w:t>
      </w:r>
      <w:r w:rsidR="00D36FB2">
        <w:rPr>
          <w:rFonts w:asciiTheme="minorHAnsi" w:hAnsiTheme="minorHAnsi" w:cstheme="minorHAnsi"/>
          <w:bCs/>
          <w:sz w:val="20"/>
        </w:rPr>
        <w:t>COA</w:t>
      </w:r>
      <w:r w:rsidRPr="0042524F">
        <w:rPr>
          <w:rFonts w:asciiTheme="minorHAnsi" w:hAnsiTheme="minorHAnsi" w:cstheme="minorHAnsi"/>
          <w:bCs/>
          <w:sz w:val="20"/>
        </w:rPr>
        <w:t>)</w:t>
      </w:r>
    </w:p>
    <w:p w14:paraId="76B2F9C2" w14:textId="7FB064A2" w:rsidR="00D36FB2" w:rsidRPr="00D36FB2" w:rsidRDefault="00D36FB2" w:rsidP="00D36FB2">
      <w:pPr>
        <w:keepNext/>
        <w:numPr>
          <w:ilvl w:val="0"/>
          <w:numId w:val="31"/>
        </w:numPr>
        <w:rPr>
          <w:rFonts w:asciiTheme="minorHAnsi" w:hAnsiTheme="minorHAnsi" w:cstheme="minorHAnsi"/>
          <w:bCs/>
          <w:sz w:val="20"/>
        </w:rPr>
      </w:pPr>
      <w:r w:rsidRPr="00D36FB2">
        <w:rPr>
          <w:rFonts w:asciiTheme="minorHAnsi" w:hAnsiTheme="minorHAnsi" w:cstheme="minorHAnsi"/>
          <w:bCs/>
          <w:sz w:val="20"/>
        </w:rPr>
        <w:t>The 58 Trial Courts (TC) of California located in each of the 58 Counties</w:t>
      </w:r>
      <w:r w:rsidR="00242B93">
        <w:rPr>
          <w:rFonts w:asciiTheme="minorHAnsi" w:hAnsiTheme="minorHAnsi" w:cstheme="minorHAnsi"/>
          <w:bCs/>
          <w:sz w:val="20"/>
        </w:rPr>
        <w:t>.</w:t>
      </w:r>
    </w:p>
    <w:p w14:paraId="438919A1" w14:textId="77777777" w:rsidR="00FA70A0" w:rsidRPr="0042524F" w:rsidRDefault="00FA70A0" w:rsidP="00FA70A0">
      <w:pPr>
        <w:keepNext/>
        <w:numPr>
          <w:ilvl w:val="0"/>
          <w:numId w:val="31"/>
        </w:numPr>
        <w:rPr>
          <w:rFonts w:asciiTheme="minorHAnsi" w:hAnsiTheme="minorHAnsi" w:cstheme="minorHAnsi"/>
          <w:bCs/>
          <w:sz w:val="20"/>
        </w:rPr>
      </w:pPr>
      <w:r w:rsidRPr="0042524F">
        <w:rPr>
          <w:rFonts w:asciiTheme="minorHAnsi" w:hAnsiTheme="minorHAnsi" w:cstheme="minorHAnsi"/>
          <w:bCs/>
          <w:sz w:val="20"/>
        </w:rPr>
        <w:t xml:space="preserve">The Habeas Corpus Resource Center (HCRC) </w:t>
      </w:r>
    </w:p>
    <w:p w14:paraId="7DA90881" w14:textId="77777777" w:rsidR="00FA70A0" w:rsidRPr="0042524F" w:rsidRDefault="00FA70A0" w:rsidP="00FA70A0">
      <w:pPr>
        <w:keepNext/>
        <w:numPr>
          <w:ilvl w:val="0"/>
          <w:numId w:val="31"/>
        </w:numPr>
        <w:rPr>
          <w:rFonts w:asciiTheme="minorHAnsi" w:hAnsiTheme="minorHAnsi" w:cstheme="minorHAnsi"/>
          <w:bCs/>
          <w:sz w:val="20"/>
        </w:rPr>
      </w:pPr>
      <w:r w:rsidRPr="0042524F">
        <w:rPr>
          <w:rFonts w:asciiTheme="minorHAnsi" w:hAnsiTheme="minorHAnsi" w:cstheme="minorHAnsi"/>
          <w:bCs/>
          <w:sz w:val="20"/>
        </w:rPr>
        <w:t xml:space="preserve">The Commission on Judicial Performance (CJP) </w:t>
      </w:r>
    </w:p>
    <w:p w14:paraId="58B846F4" w14:textId="77777777" w:rsidR="00FA70A0" w:rsidRPr="0042524F" w:rsidRDefault="00FA70A0" w:rsidP="00FA70A0">
      <w:pPr>
        <w:keepNext/>
        <w:numPr>
          <w:ilvl w:val="0"/>
          <w:numId w:val="31"/>
        </w:numPr>
        <w:rPr>
          <w:rFonts w:asciiTheme="minorHAnsi" w:hAnsiTheme="minorHAnsi" w:cstheme="minorHAnsi"/>
          <w:bCs/>
          <w:sz w:val="20"/>
        </w:rPr>
      </w:pPr>
      <w:r w:rsidRPr="0042524F">
        <w:rPr>
          <w:rFonts w:asciiTheme="minorHAnsi" w:hAnsiTheme="minorHAnsi" w:cstheme="minorHAnsi"/>
          <w:bCs/>
          <w:sz w:val="20"/>
        </w:rPr>
        <w:t>The JCC, there are two locations for the JCC - San Francisco and Sacramento.</w:t>
      </w:r>
    </w:p>
    <w:bookmarkEnd w:id="1"/>
    <w:p w14:paraId="3086F5DA" w14:textId="77777777" w:rsidR="00FA70A0" w:rsidRPr="0042524F" w:rsidRDefault="00FA70A0" w:rsidP="00FA70A0">
      <w:pPr>
        <w:rPr>
          <w:rFonts w:asciiTheme="minorHAnsi" w:hAnsiTheme="minorHAnsi" w:cstheme="minorHAnsi"/>
          <w:bCs/>
          <w:sz w:val="20"/>
        </w:rPr>
      </w:pPr>
    </w:p>
    <w:p w14:paraId="449285A9" w14:textId="77777777" w:rsidR="00FA70A0" w:rsidRPr="0042524F" w:rsidRDefault="00FA70A0" w:rsidP="008F33F0">
      <w:pPr>
        <w:numPr>
          <w:ilvl w:val="1"/>
          <w:numId w:val="30"/>
        </w:numPr>
        <w:ind w:left="1080"/>
        <w:rPr>
          <w:rFonts w:asciiTheme="minorHAnsi" w:hAnsiTheme="minorHAnsi" w:cstheme="minorHAnsi"/>
          <w:bCs/>
          <w:sz w:val="20"/>
        </w:rPr>
      </w:pPr>
      <w:r w:rsidRPr="0042524F">
        <w:rPr>
          <w:rFonts w:asciiTheme="minorHAnsi" w:hAnsiTheme="minorHAnsi" w:cstheme="minorHAnsi"/>
          <w:bCs/>
          <w:sz w:val="20"/>
        </w:rPr>
        <w:t>Judicial Branch Workers’ Compensation Program</w:t>
      </w:r>
    </w:p>
    <w:p w14:paraId="441E7997" w14:textId="77777777" w:rsidR="00FA70A0" w:rsidRPr="0042524F" w:rsidRDefault="00FA70A0" w:rsidP="00FA70A0">
      <w:pPr>
        <w:ind w:left="720"/>
        <w:rPr>
          <w:rFonts w:asciiTheme="minorHAnsi" w:hAnsiTheme="minorHAnsi" w:cstheme="minorHAnsi"/>
          <w:bCs/>
          <w:sz w:val="20"/>
        </w:rPr>
      </w:pPr>
    </w:p>
    <w:p w14:paraId="602B5D7C" w14:textId="77777777" w:rsidR="00FA70A0" w:rsidRPr="0042524F" w:rsidRDefault="00FA70A0" w:rsidP="00FA70A0">
      <w:pPr>
        <w:numPr>
          <w:ilvl w:val="2"/>
          <w:numId w:val="30"/>
        </w:numPr>
        <w:ind w:left="2160"/>
        <w:rPr>
          <w:rFonts w:asciiTheme="minorHAnsi" w:hAnsiTheme="minorHAnsi" w:cstheme="minorHAnsi"/>
          <w:bCs/>
          <w:sz w:val="20"/>
        </w:rPr>
      </w:pPr>
      <w:r w:rsidRPr="0042524F">
        <w:rPr>
          <w:rFonts w:asciiTheme="minorHAnsi" w:hAnsiTheme="minorHAnsi" w:cstheme="minorHAnsi"/>
          <w:bCs/>
          <w:sz w:val="20"/>
        </w:rPr>
        <w:t xml:space="preserve">The JCC serves as the program administrator for the Judicial Branch Workers’ Compensation Program (JBWCP). The program consists of three components: </w:t>
      </w:r>
    </w:p>
    <w:p w14:paraId="7AAE50C2" w14:textId="77777777" w:rsidR="00FA70A0" w:rsidRPr="0042524F" w:rsidRDefault="00FA70A0" w:rsidP="00FA70A0">
      <w:pPr>
        <w:ind w:left="2160"/>
        <w:rPr>
          <w:rFonts w:asciiTheme="minorHAnsi" w:hAnsiTheme="minorHAnsi" w:cstheme="minorHAnsi"/>
          <w:bCs/>
          <w:sz w:val="20"/>
        </w:rPr>
      </w:pPr>
    </w:p>
    <w:p w14:paraId="0C5D2634" w14:textId="42DBC4E4" w:rsidR="00FA70A0" w:rsidRPr="0042524F" w:rsidRDefault="00FA70A0" w:rsidP="00FA70A0">
      <w:pPr>
        <w:numPr>
          <w:ilvl w:val="0"/>
          <w:numId w:val="32"/>
        </w:numPr>
        <w:rPr>
          <w:rFonts w:asciiTheme="minorHAnsi" w:hAnsiTheme="minorHAnsi" w:cstheme="minorHAnsi"/>
          <w:bCs/>
          <w:sz w:val="20"/>
        </w:rPr>
      </w:pPr>
      <w:r w:rsidRPr="0042524F">
        <w:rPr>
          <w:rFonts w:asciiTheme="minorHAnsi" w:hAnsiTheme="minorHAnsi" w:cstheme="minorHAnsi"/>
          <w:bCs/>
          <w:sz w:val="20"/>
        </w:rPr>
        <w:t>The Trial Courts</w:t>
      </w:r>
    </w:p>
    <w:p w14:paraId="6C8F58F4" w14:textId="0162BB57" w:rsidR="00FA70A0" w:rsidRPr="0042524F" w:rsidRDefault="00FA70A0" w:rsidP="00FA70A0">
      <w:pPr>
        <w:numPr>
          <w:ilvl w:val="0"/>
          <w:numId w:val="32"/>
        </w:numPr>
        <w:rPr>
          <w:rFonts w:asciiTheme="minorHAnsi" w:hAnsiTheme="minorHAnsi" w:cstheme="minorHAnsi"/>
          <w:bCs/>
          <w:sz w:val="20"/>
        </w:rPr>
      </w:pPr>
      <w:r w:rsidRPr="0042524F">
        <w:rPr>
          <w:rFonts w:asciiTheme="minorHAnsi" w:hAnsiTheme="minorHAnsi" w:cstheme="minorHAnsi"/>
          <w:bCs/>
          <w:sz w:val="20"/>
        </w:rPr>
        <w:t xml:space="preserve">The Judiciary, which includes the SC, </w:t>
      </w:r>
      <w:r w:rsidR="00390DB6">
        <w:rPr>
          <w:rFonts w:asciiTheme="minorHAnsi" w:hAnsiTheme="minorHAnsi" w:cstheme="minorHAnsi"/>
          <w:bCs/>
          <w:sz w:val="20"/>
        </w:rPr>
        <w:t>COA</w:t>
      </w:r>
      <w:r w:rsidRPr="0042524F">
        <w:rPr>
          <w:rFonts w:asciiTheme="minorHAnsi" w:hAnsiTheme="minorHAnsi" w:cstheme="minorHAnsi"/>
          <w:bCs/>
          <w:sz w:val="20"/>
        </w:rPr>
        <w:t xml:space="preserve">, HCRC, CJP, and </w:t>
      </w:r>
    </w:p>
    <w:p w14:paraId="52546E18" w14:textId="77777777" w:rsidR="00FA70A0" w:rsidRPr="0042524F" w:rsidRDefault="00FA70A0" w:rsidP="00FA70A0">
      <w:pPr>
        <w:ind w:left="2880"/>
        <w:rPr>
          <w:rFonts w:asciiTheme="minorHAnsi" w:hAnsiTheme="minorHAnsi" w:cstheme="minorHAnsi"/>
          <w:bCs/>
          <w:sz w:val="20"/>
        </w:rPr>
      </w:pPr>
      <w:r w:rsidRPr="0042524F">
        <w:rPr>
          <w:rFonts w:asciiTheme="minorHAnsi" w:hAnsiTheme="minorHAnsi" w:cstheme="minorHAnsi"/>
          <w:bCs/>
          <w:sz w:val="20"/>
        </w:rPr>
        <w:t xml:space="preserve">the JCC; and </w:t>
      </w:r>
    </w:p>
    <w:p w14:paraId="0C106677" w14:textId="77777777" w:rsidR="00FA70A0" w:rsidRPr="0042524F" w:rsidRDefault="00FA70A0" w:rsidP="00FA70A0">
      <w:pPr>
        <w:numPr>
          <w:ilvl w:val="0"/>
          <w:numId w:val="32"/>
        </w:numPr>
        <w:rPr>
          <w:rFonts w:asciiTheme="minorHAnsi" w:hAnsiTheme="minorHAnsi" w:cstheme="minorHAnsi"/>
          <w:bCs/>
          <w:sz w:val="20"/>
        </w:rPr>
      </w:pPr>
      <w:r w:rsidRPr="0042524F">
        <w:rPr>
          <w:rFonts w:asciiTheme="minorHAnsi" w:hAnsiTheme="minorHAnsi" w:cstheme="minorHAnsi"/>
          <w:bCs/>
          <w:sz w:val="20"/>
        </w:rPr>
        <w:t xml:space="preserve">The Judicial Officers, which consists of all trial court judges of the Superior Courts. </w:t>
      </w:r>
    </w:p>
    <w:p w14:paraId="6C378B3D" w14:textId="77777777" w:rsidR="00FA70A0" w:rsidRPr="0042524F" w:rsidRDefault="00FA70A0" w:rsidP="00FA70A0">
      <w:pPr>
        <w:ind w:left="1440"/>
        <w:rPr>
          <w:rFonts w:asciiTheme="minorHAnsi" w:hAnsiTheme="minorHAnsi" w:cstheme="minorHAnsi"/>
          <w:bCs/>
          <w:sz w:val="20"/>
        </w:rPr>
      </w:pPr>
    </w:p>
    <w:p w14:paraId="29E5A337" w14:textId="77777777" w:rsidR="00FA70A0" w:rsidRPr="0042524F" w:rsidRDefault="00FA70A0" w:rsidP="00FA70A0">
      <w:pPr>
        <w:numPr>
          <w:ilvl w:val="2"/>
          <w:numId w:val="30"/>
        </w:numPr>
        <w:ind w:left="2160"/>
        <w:rPr>
          <w:rFonts w:asciiTheme="minorHAnsi" w:hAnsiTheme="minorHAnsi" w:cstheme="minorHAnsi"/>
          <w:bCs/>
          <w:sz w:val="20"/>
        </w:rPr>
      </w:pPr>
      <w:r w:rsidRPr="0042524F">
        <w:rPr>
          <w:rFonts w:asciiTheme="minorHAnsi" w:hAnsiTheme="minorHAnsi" w:cstheme="minorHAnsi"/>
          <w:bCs/>
          <w:sz w:val="20"/>
        </w:rPr>
        <w:t xml:space="preserve">Existing law requires every employer in the State of California to provide workers’ compensation coverage for its employees, and the provision of benefits to employees is the sole financial obligation of the employer. The State of California, legally granted uninsured status by Section 3700 of the Labor Code, may carry their financial liability with no requirements. The JCC, identified as the State for purposes of workers’ compensation coverage, is considered lawfully uninsured. </w:t>
      </w:r>
    </w:p>
    <w:p w14:paraId="69B338CA" w14:textId="77777777" w:rsidR="00FA70A0" w:rsidRPr="0042524F" w:rsidRDefault="00FA70A0" w:rsidP="00FA70A0">
      <w:pPr>
        <w:ind w:left="2160"/>
        <w:rPr>
          <w:rFonts w:asciiTheme="minorHAnsi" w:hAnsiTheme="minorHAnsi" w:cstheme="minorHAnsi"/>
          <w:bCs/>
          <w:sz w:val="20"/>
        </w:rPr>
      </w:pPr>
    </w:p>
    <w:p w14:paraId="1B9685FC" w14:textId="0D9F79D0" w:rsidR="00FA70A0" w:rsidRPr="0042524F" w:rsidRDefault="00FA70A0" w:rsidP="00FA70A0">
      <w:pPr>
        <w:numPr>
          <w:ilvl w:val="2"/>
          <w:numId w:val="30"/>
        </w:numPr>
        <w:ind w:left="2160"/>
        <w:rPr>
          <w:rFonts w:asciiTheme="minorHAnsi" w:hAnsiTheme="minorHAnsi" w:cstheme="minorHAnsi"/>
          <w:bCs/>
          <w:sz w:val="20"/>
        </w:rPr>
      </w:pPr>
      <w:r w:rsidRPr="0042524F">
        <w:rPr>
          <w:rFonts w:asciiTheme="minorHAnsi" w:hAnsiTheme="minorHAnsi" w:cstheme="minorHAnsi"/>
          <w:bCs/>
          <w:sz w:val="20"/>
        </w:rPr>
        <w:t>The Trial Court Employment Protection Act (SB2140), Government Code Section 71600 et al, established the trial courts as independent employers of trial court employees. SB2140, however, did not address the issue of defining the trial court as an employer, and</w:t>
      </w:r>
      <w:r w:rsidR="002B1A25">
        <w:rPr>
          <w:rFonts w:asciiTheme="minorHAnsi" w:hAnsiTheme="minorHAnsi" w:cstheme="minorHAnsi"/>
          <w:bCs/>
          <w:sz w:val="20"/>
        </w:rPr>
        <w:t>,</w:t>
      </w:r>
      <w:r w:rsidRPr="0042524F">
        <w:rPr>
          <w:rFonts w:asciiTheme="minorHAnsi" w:hAnsiTheme="minorHAnsi" w:cstheme="minorHAnsi"/>
          <w:bCs/>
          <w:sz w:val="20"/>
        </w:rPr>
        <w:t xml:space="preserve"> with this definition</w:t>
      </w:r>
      <w:r w:rsidR="002B1A25">
        <w:rPr>
          <w:rFonts w:asciiTheme="minorHAnsi" w:hAnsiTheme="minorHAnsi" w:cstheme="minorHAnsi"/>
          <w:bCs/>
          <w:sz w:val="20"/>
        </w:rPr>
        <w:t>,</w:t>
      </w:r>
      <w:r w:rsidRPr="0042524F">
        <w:rPr>
          <w:rFonts w:asciiTheme="minorHAnsi" w:hAnsiTheme="minorHAnsi" w:cstheme="minorHAnsi"/>
          <w:bCs/>
          <w:sz w:val="20"/>
        </w:rPr>
        <w:t xml:space="preserve"> </w:t>
      </w:r>
      <w:proofErr w:type="gramStart"/>
      <w:r w:rsidRPr="002B1A25">
        <w:rPr>
          <w:rFonts w:asciiTheme="minorHAnsi" w:hAnsiTheme="minorHAnsi" w:cstheme="minorHAnsi"/>
          <w:bCs/>
          <w:sz w:val="20"/>
        </w:rPr>
        <w:t>the means by which</w:t>
      </w:r>
      <w:proofErr w:type="gramEnd"/>
      <w:r w:rsidRPr="002B1A25">
        <w:rPr>
          <w:rFonts w:asciiTheme="minorHAnsi" w:hAnsiTheme="minorHAnsi" w:cstheme="minorHAnsi"/>
          <w:bCs/>
          <w:sz w:val="20"/>
        </w:rPr>
        <w:t xml:space="preserve"> </w:t>
      </w:r>
      <w:r w:rsidRPr="0042524F">
        <w:rPr>
          <w:rFonts w:asciiTheme="minorHAnsi" w:hAnsiTheme="minorHAnsi" w:cstheme="minorHAnsi"/>
          <w:bCs/>
          <w:sz w:val="20"/>
        </w:rPr>
        <w:t xml:space="preserve">a trial court could finance its workers’ compensation program. </w:t>
      </w:r>
      <w:r w:rsidRPr="0042524F">
        <w:rPr>
          <w:rFonts w:asciiTheme="minorHAnsi" w:hAnsiTheme="minorHAnsi" w:cstheme="minorHAnsi"/>
          <w:bCs/>
          <w:sz w:val="20"/>
        </w:rPr>
        <w:br/>
      </w:r>
    </w:p>
    <w:p w14:paraId="789EDDE6" w14:textId="77777777" w:rsidR="00FA70A0" w:rsidRPr="0042524F" w:rsidRDefault="00FA70A0" w:rsidP="00FA70A0">
      <w:pPr>
        <w:numPr>
          <w:ilvl w:val="2"/>
          <w:numId w:val="30"/>
        </w:numPr>
        <w:ind w:left="2160"/>
        <w:rPr>
          <w:rFonts w:asciiTheme="minorHAnsi" w:hAnsiTheme="minorHAnsi" w:cstheme="minorHAnsi"/>
          <w:bCs/>
          <w:sz w:val="20"/>
        </w:rPr>
      </w:pPr>
      <w:r w:rsidRPr="0042524F">
        <w:rPr>
          <w:rFonts w:asciiTheme="minorHAnsi" w:hAnsiTheme="minorHAnsi" w:cstheme="minorHAnsi"/>
          <w:bCs/>
          <w:sz w:val="20"/>
        </w:rPr>
        <w:t>The JBWCP was created on July 1, 2001. Since the inception of the program on July 1, 2001, employees of the Judiciary and Judicial Officers jointly participate in the JBWCP provided by the JCC and administered by a third party.</w:t>
      </w:r>
      <w:r w:rsidRPr="0042524F">
        <w:rPr>
          <w:rFonts w:asciiTheme="minorHAnsi" w:hAnsiTheme="minorHAnsi" w:cstheme="minorHAnsi"/>
          <w:bCs/>
          <w:sz w:val="20"/>
        </w:rPr>
        <w:br/>
      </w:r>
    </w:p>
    <w:p w14:paraId="01B3BA18" w14:textId="4C06890F" w:rsidR="00FA70A0" w:rsidRDefault="00FA70A0" w:rsidP="00FA70A0">
      <w:pPr>
        <w:numPr>
          <w:ilvl w:val="2"/>
          <w:numId w:val="30"/>
        </w:numPr>
        <w:ind w:left="2160"/>
        <w:rPr>
          <w:rFonts w:asciiTheme="minorHAnsi" w:hAnsiTheme="minorHAnsi" w:cstheme="minorHAnsi"/>
          <w:bCs/>
          <w:sz w:val="20"/>
        </w:rPr>
      </w:pPr>
      <w:r w:rsidRPr="0042524F">
        <w:rPr>
          <w:rFonts w:asciiTheme="minorHAnsi" w:hAnsiTheme="minorHAnsi" w:cstheme="minorHAnsi"/>
          <w:bCs/>
          <w:sz w:val="20"/>
        </w:rPr>
        <w:t>On January 1, 2001</w:t>
      </w:r>
      <w:r w:rsidR="002542A2" w:rsidRPr="002542A2">
        <w:rPr>
          <w:rFonts w:asciiTheme="minorHAnsi" w:hAnsiTheme="minorHAnsi" w:cstheme="minorHAnsi"/>
          <w:bCs/>
          <w:sz w:val="20"/>
        </w:rPr>
        <w:t xml:space="preserve">, each of the Trial Courts in California’s 58 counties became independent employers of the employees who worked in that court.  Prior to this date, the employees of each trial court were considered employees of their respective counties and fell under their respective county-administered workers’ compensation plans. After the </w:t>
      </w:r>
      <w:r w:rsidR="002542A2" w:rsidRPr="002542A2">
        <w:rPr>
          <w:rFonts w:asciiTheme="minorHAnsi" w:hAnsiTheme="minorHAnsi" w:cstheme="minorHAnsi"/>
          <w:bCs/>
          <w:sz w:val="20"/>
        </w:rPr>
        <w:lastRenderedPageBreak/>
        <w:t>JBWCP was created on January 1, 2003, the courts began the transition from their county-administered plans to the JBWCP.</w:t>
      </w:r>
    </w:p>
    <w:p w14:paraId="31C4DBD1" w14:textId="77777777" w:rsidR="002542A2" w:rsidRPr="0042524F" w:rsidRDefault="002542A2" w:rsidP="002542A2">
      <w:pPr>
        <w:ind w:left="2160"/>
        <w:rPr>
          <w:rFonts w:asciiTheme="minorHAnsi" w:hAnsiTheme="minorHAnsi" w:cstheme="minorHAnsi"/>
          <w:bCs/>
          <w:sz w:val="20"/>
        </w:rPr>
      </w:pPr>
    </w:p>
    <w:p w14:paraId="66F6CFCE" w14:textId="77777777" w:rsidR="00FA70A0" w:rsidRPr="0042524F" w:rsidRDefault="00FA70A0" w:rsidP="00FA70A0">
      <w:pPr>
        <w:numPr>
          <w:ilvl w:val="2"/>
          <w:numId w:val="30"/>
        </w:numPr>
        <w:ind w:left="2160"/>
        <w:rPr>
          <w:rFonts w:asciiTheme="minorHAnsi" w:hAnsiTheme="minorHAnsi" w:cstheme="minorHAnsi"/>
          <w:bCs/>
          <w:sz w:val="20"/>
        </w:rPr>
      </w:pPr>
      <w:r w:rsidRPr="0042524F">
        <w:rPr>
          <w:rFonts w:asciiTheme="minorHAnsi" w:hAnsiTheme="minorHAnsi" w:cstheme="minorHAnsi"/>
          <w:bCs/>
          <w:sz w:val="20"/>
        </w:rPr>
        <w:t xml:space="preserve">By July 1, 2003, a total of 47 trial courts participated in the JBWCP. By July 1, 2004, six more courts participated. By July 1, 2008, two additional courts joined the program. To date, 57 trial courts participate in the program (excluding Los Angeles). </w:t>
      </w:r>
    </w:p>
    <w:p w14:paraId="258F0EAC" w14:textId="77777777" w:rsidR="00FA70A0" w:rsidRPr="0042524F" w:rsidRDefault="00FA70A0" w:rsidP="00FA70A0">
      <w:pPr>
        <w:ind w:left="2160"/>
        <w:rPr>
          <w:rFonts w:asciiTheme="minorHAnsi" w:hAnsiTheme="minorHAnsi" w:cstheme="minorHAnsi"/>
          <w:bCs/>
          <w:sz w:val="20"/>
        </w:rPr>
      </w:pPr>
    </w:p>
    <w:p w14:paraId="7C329820" w14:textId="77777777" w:rsidR="00FA70A0" w:rsidRPr="0042524F" w:rsidRDefault="00FA70A0" w:rsidP="00FA70A0">
      <w:pPr>
        <w:numPr>
          <w:ilvl w:val="2"/>
          <w:numId w:val="30"/>
        </w:numPr>
        <w:ind w:left="2160"/>
        <w:rPr>
          <w:rFonts w:asciiTheme="minorHAnsi" w:hAnsiTheme="minorHAnsi" w:cstheme="minorHAnsi"/>
          <w:bCs/>
          <w:sz w:val="20"/>
        </w:rPr>
      </w:pPr>
      <w:r w:rsidRPr="0042524F">
        <w:rPr>
          <w:rFonts w:asciiTheme="minorHAnsi" w:hAnsiTheme="minorHAnsi" w:cstheme="minorHAnsi"/>
          <w:bCs/>
          <w:sz w:val="20"/>
        </w:rPr>
        <w:t xml:space="preserve">The JBWCP is a highly decentralized program. The Judiciary, Judicial Officers, and each of the 57 participating trial courts are independent employers which require the need to allow for some decentralized administration of this program. </w:t>
      </w:r>
    </w:p>
    <w:p w14:paraId="3C02F3F1" w14:textId="77777777" w:rsidR="00FA70A0" w:rsidRPr="0042524F" w:rsidRDefault="00FA70A0" w:rsidP="00FA70A0">
      <w:pPr>
        <w:ind w:left="720"/>
        <w:rPr>
          <w:rFonts w:asciiTheme="minorHAnsi" w:hAnsiTheme="minorHAnsi" w:cstheme="minorHAnsi"/>
          <w:bCs/>
          <w:sz w:val="20"/>
        </w:rPr>
      </w:pPr>
    </w:p>
    <w:p w14:paraId="5855492E" w14:textId="0E6606E7" w:rsidR="00FA70A0" w:rsidRPr="0042524F" w:rsidRDefault="00FA70A0" w:rsidP="00FA70A0">
      <w:pPr>
        <w:numPr>
          <w:ilvl w:val="2"/>
          <w:numId w:val="30"/>
        </w:numPr>
        <w:ind w:left="2160"/>
        <w:rPr>
          <w:rFonts w:asciiTheme="minorHAnsi" w:hAnsiTheme="minorHAnsi" w:cstheme="minorHAnsi"/>
          <w:bCs/>
          <w:sz w:val="20"/>
        </w:rPr>
      </w:pPr>
      <w:r w:rsidRPr="0042524F">
        <w:rPr>
          <w:rFonts w:asciiTheme="minorHAnsi" w:hAnsiTheme="minorHAnsi" w:cstheme="minorHAnsi"/>
          <w:bCs/>
          <w:sz w:val="20"/>
        </w:rPr>
        <w:t xml:space="preserve">The JBWCP is loss sensitive and there is a charge back system in place. The system is driven by payroll and each trial court, judiciary, and judicial officers’ loss activity. This charge back system is called the </w:t>
      </w:r>
      <w:r w:rsidR="00E93860">
        <w:rPr>
          <w:rFonts w:asciiTheme="minorHAnsi" w:hAnsiTheme="minorHAnsi" w:cstheme="minorHAnsi"/>
          <w:bCs/>
          <w:sz w:val="20"/>
        </w:rPr>
        <w:t>JBWCP Cost</w:t>
      </w:r>
      <w:r w:rsidRPr="0042524F">
        <w:rPr>
          <w:rFonts w:asciiTheme="minorHAnsi" w:hAnsiTheme="minorHAnsi" w:cstheme="minorHAnsi"/>
          <w:bCs/>
          <w:sz w:val="20"/>
        </w:rPr>
        <w:t xml:space="preserve"> Allocation (</w:t>
      </w:r>
      <w:r w:rsidR="00E93860">
        <w:rPr>
          <w:rFonts w:asciiTheme="minorHAnsi" w:hAnsiTheme="minorHAnsi" w:cstheme="minorHAnsi"/>
          <w:bCs/>
          <w:sz w:val="20"/>
        </w:rPr>
        <w:t>Allocation</w:t>
      </w:r>
      <w:r w:rsidRPr="0042524F">
        <w:rPr>
          <w:rFonts w:asciiTheme="minorHAnsi" w:hAnsiTheme="minorHAnsi" w:cstheme="minorHAnsi"/>
          <w:bCs/>
          <w:sz w:val="20"/>
        </w:rPr>
        <w:t xml:space="preserve">). The loss data is used to calculate the loss modifier. Each individual organization is limited to a rolling three years of loss data excluding the most recent 12 months. The total </w:t>
      </w:r>
      <w:r w:rsidR="00453993">
        <w:rPr>
          <w:rFonts w:asciiTheme="minorHAnsi" w:hAnsiTheme="minorHAnsi" w:cstheme="minorHAnsi"/>
          <w:bCs/>
          <w:sz w:val="20"/>
        </w:rPr>
        <w:t>A</w:t>
      </w:r>
      <w:r w:rsidR="00E93860">
        <w:rPr>
          <w:rFonts w:asciiTheme="minorHAnsi" w:hAnsiTheme="minorHAnsi" w:cstheme="minorHAnsi"/>
          <w:bCs/>
          <w:sz w:val="20"/>
        </w:rPr>
        <w:t>llocation</w:t>
      </w:r>
      <w:r w:rsidRPr="0042524F">
        <w:rPr>
          <w:rFonts w:asciiTheme="minorHAnsi" w:hAnsiTheme="minorHAnsi" w:cstheme="minorHAnsi"/>
          <w:bCs/>
          <w:sz w:val="20"/>
        </w:rPr>
        <w:t xml:space="preserve"> is based on the annual actuarial report.</w:t>
      </w:r>
    </w:p>
    <w:p w14:paraId="5AE54160" w14:textId="77777777" w:rsidR="00FA70A0" w:rsidRPr="0042524F" w:rsidRDefault="00FA70A0" w:rsidP="00FA70A0">
      <w:pPr>
        <w:ind w:left="720"/>
        <w:rPr>
          <w:rFonts w:asciiTheme="minorHAnsi" w:hAnsiTheme="minorHAnsi" w:cstheme="minorHAnsi"/>
          <w:bCs/>
          <w:sz w:val="20"/>
        </w:rPr>
      </w:pPr>
    </w:p>
    <w:p w14:paraId="7428A37F" w14:textId="77777777" w:rsidR="00176D38" w:rsidRPr="00176D38" w:rsidRDefault="00FA70A0" w:rsidP="00176D38">
      <w:pPr>
        <w:numPr>
          <w:ilvl w:val="2"/>
          <w:numId w:val="30"/>
        </w:numPr>
        <w:ind w:left="2160"/>
        <w:rPr>
          <w:i/>
        </w:rPr>
      </w:pPr>
      <w:r w:rsidRPr="0042524F">
        <w:rPr>
          <w:rFonts w:asciiTheme="minorHAnsi" w:hAnsiTheme="minorHAnsi" w:cstheme="minorHAnsi"/>
          <w:bCs/>
          <w:sz w:val="20"/>
        </w:rPr>
        <w:t>The</w:t>
      </w:r>
      <w:r w:rsidR="00D8721B">
        <w:rPr>
          <w:rFonts w:asciiTheme="minorHAnsi" w:hAnsiTheme="minorHAnsi" w:cstheme="minorHAnsi"/>
          <w:bCs/>
          <w:sz w:val="20"/>
        </w:rPr>
        <w:t xml:space="preserve"> </w:t>
      </w:r>
      <w:hyperlink r:id="rId13" w:anchor="panel28610" w:history="1">
        <w:r w:rsidR="00176D38" w:rsidRPr="00176D38">
          <w:rPr>
            <w:rStyle w:val="Hyperlink"/>
            <w:rFonts w:asciiTheme="minorHAnsi" w:hAnsiTheme="minorHAnsi" w:cstheme="minorHAnsi"/>
            <w:bCs/>
            <w:sz w:val="20"/>
          </w:rPr>
          <w:t>JBWCP Advisory Committee</w:t>
        </w:r>
      </w:hyperlink>
      <w:r w:rsidR="00176D38">
        <w:rPr>
          <w:rFonts w:asciiTheme="minorHAnsi" w:hAnsiTheme="minorHAnsi" w:cstheme="minorHAnsi"/>
          <w:bCs/>
          <w:sz w:val="20"/>
        </w:rPr>
        <w:t xml:space="preserve"> </w:t>
      </w:r>
      <w:r w:rsidRPr="0042524F">
        <w:rPr>
          <w:rFonts w:asciiTheme="minorHAnsi" w:hAnsiTheme="minorHAnsi" w:cstheme="minorHAnsi"/>
          <w:bCs/>
          <w:sz w:val="20"/>
        </w:rPr>
        <w:t>oversees the program and makes recommendations to the Judicial Council for improving the statewide administration of the JBWCP. More Information on the Committee</w:t>
      </w:r>
      <w:r w:rsidR="00E7556B">
        <w:rPr>
          <w:rFonts w:asciiTheme="minorHAnsi" w:hAnsiTheme="minorHAnsi" w:cstheme="minorHAnsi"/>
          <w:bCs/>
          <w:sz w:val="20"/>
        </w:rPr>
        <w:t xml:space="preserve"> and the JBWCP</w:t>
      </w:r>
      <w:r w:rsidRPr="0042524F">
        <w:rPr>
          <w:rFonts w:asciiTheme="minorHAnsi" w:hAnsiTheme="minorHAnsi" w:cstheme="minorHAnsi"/>
          <w:bCs/>
          <w:sz w:val="20"/>
        </w:rPr>
        <w:t xml:space="preserve"> can be found on the following California Court’s website:</w:t>
      </w:r>
      <w:r>
        <w:rPr>
          <w:rFonts w:asciiTheme="minorHAnsi" w:hAnsiTheme="minorHAnsi" w:cstheme="minorHAnsi"/>
          <w:bCs/>
          <w:sz w:val="20"/>
        </w:rPr>
        <w:t xml:space="preserve"> </w:t>
      </w:r>
      <w:hyperlink r:id="rId14" w:history="1">
        <w:r w:rsidR="00176D38" w:rsidRPr="00176D38">
          <w:rPr>
            <w:rStyle w:val="Hyperlink"/>
            <w:i/>
          </w:rPr>
          <w:t>https://www.courts.ca.gov/jbwcp.htm</w:t>
        </w:r>
      </w:hyperlink>
    </w:p>
    <w:p w14:paraId="2809EDA6" w14:textId="561523EA" w:rsidR="00FA70A0" w:rsidRPr="00FA70A0" w:rsidRDefault="00FA70A0" w:rsidP="00FA70A0">
      <w:pPr>
        <w:numPr>
          <w:ilvl w:val="2"/>
          <w:numId w:val="30"/>
        </w:numPr>
        <w:ind w:left="2160"/>
        <w:rPr>
          <w:rStyle w:val="Hyperlink"/>
          <w:rFonts w:asciiTheme="minorHAnsi" w:hAnsiTheme="minorHAnsi" w:cstheme="minorHAnsi"/>
          <w:bCs/>
          <w:color w:val="auto"/>
          <w:sz w:val="20"/>
          <w:u w:val="none"/>
        </w:rPr>
      </w:pPr>
    </w:p>
    <w:p w14:paraId="2B02CD7C" w14:textId="77777777" w:rsidR="00FA70A0" w:rsidRDefault="00FA70A0" w:rsidP="00FA70A0">
      <w:pPr>
        <w:ind w:left="2160"/>
        <w:rPr>
          <w:rFonts w:asciiTheme="minorHAnsi" w:hAnsiTheme="minorHAnsi" w:cstheme="minorHAnsi"/>
          <w:bCs/>
          <w:sz w:val="20"/>
        </w:rPr>
      </w:pPr>
    </w:p>
    <w:p w14:paraId="5CE5D9C6" w14:textId="6B18B124"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r w:rsidR="00FA70A0">
        <w:rPr>
          <w:rFonts w:asciiTheme="minorHAnsi" w:hAnsiTheme="minorHAnsi" w:cstheme="minorHAnsi"/>
          <w:sz w:val="20"/>
          <w:szCs w:val="20"/>
        </w:rPr>
        <w:t xml:space="preserve"> [</w:t>
      </w:r>
      <w:r w:rsidR="00993A34">
        <w:rPr>
          <w:rFonts w:asciiTheme="minorHAnsi" w:hAnsiTheme="minorHAnsi" w:cstheme="minorHAnsi"/>
          <w:i/>
          <w:iCs/>
          <w:sz w:val="20"/>
          <w:szCs w:val="20"/>
        </w:rPr>
        <w:t>N/A</w:t>
      </w:r>
      <w:r w:rsidR="00FA70A0">
        <w:rPr>
          <w:rFonts w:asciiTheme="minorHAnsi" w:hAnsiTheme="minorHAnsi" w:cstheme="minorHAnsi"/>
          <w:sz w:val="20"/>
          <w:szCs w:val="20"/>
        </w:rPr>
        <w:t>]</w:t>
      </w:r>
    </w:p>
    <w:p w14:paraId="78E05B37"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52184876"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43CF2FF4" w14:textId="0486368D" w:rsidR="00075426" w:rsidRDefault="00075426" w:rsidP="00075426">
      <w:pPr>
        <w:spacing w:before="120" w:after="120"/>
        <w:ind w:left="936"/>
        <w:rPr>
          <w:rFonts w:asciiTheme="minorHAnsi" w:hAnsiTheme="minorHAnsi" w:cstheme="minorHAnsi"/>
          <w:bCs/>
          <w:sz w:val="20"/>
        </w:rPr>
      </w:pPr>
      <w:r>
        <w:rPr>
          <w:rFonts w:asciiTheme="minorHAnsi" w:hAnsiTheme="minorHAnsi" w:cstheme="minorHAnsi"/>
          <w:bCs/>
          <w:sz w:val="20"/>
        </w:rPr>
        <w:t xml:space="preserve">The Contractor will perform </w:t>
      </w:r>
      <w:r w:rsidRPr="00EC0868">
        <w:rPr>
          <w:rFonts w:asciiTheme="minorHAnsi" w:hAnsiTheme="minorHAnsi" w:cstheme="minorHAnsi"/>
          <w:bCs/>
          <w:sz w:val="20"/>
        </w:rPr>
        <w:t xml:space="preserve">independent </w:t>
      </w:r>
      <w:r>
        <w:rPr>
          <w:rFonts w:asciiTheme="minorHAnsi" w:hAnsiTheme="minorHAnsi" w:cstheme="minorHAnsi"/>
          <w:bCs/>
          <w:sz w:val="20"/>
        </w:rPr>
        <w:t>W</w:t>
      </w:r>
      <w:r w:rsidRPr="00EC0868">
        <w:rPr>
          <w:rFonts w:asciiTheme="minorHAnsi" w:hAnsiTheme="minorHAnsi" w:cstheme="minorHAnsi"/>
          <w:bCs/>
          <w:sz w:val="20"/>
        </w:rPr>
        <w:t xml:space="preserve">orkers’ </w:t>
      </w:r>
      <w:r>
        <w:rPr>
          <w:rFonts w:asciiTheme="minorHAnsi" w:hAnsiTheme="minorHAnsi" w:cstheme="minorHAnsi"/>
          <w:bCs/>
          <w:sz w:val="20"/>
        </w:rPr>
        <w:t>C</w:t>
      </w:r>
      <w:r w:rsidRPr="00EC0868">
        <w:rPr>
          <w:rFonts w:asciiTheme="minorHAnsi" w:hAnsiTheme="minorHAnsi" w:cstheme="minorHAnsi"/>
          <w:bCs/>
          <w:sz w:val="20"/>
        </w:rPr>
        <w:t xml:space="preserve">ompensation claims auditing services for compliance of the California Workers’ Compensation claims administration industry standards and the </w:t>
      </w:r>
      <w:hyperlink r:id="rId15" w:history="1">
        <w:r w:rsidR="00023B9B" w:rsidRPr="00023B9B">
          <w:rPr>
            <w:rStyle w:val="Hyperlink"/>
            <w:rFonts w:asciiTheme="minorHAnsi" w:hAnsiTheme="minorHAnsi" w:cstheme="minorHAnsi"/>
            <w:bCs/>
            <w:sz w:val="20"/>
          </w:rPr>
          <w:t>JBWCP’s third party administrator service guidelines</w:t>
        </w:r>
      </w:hyperlink>
      <w:r>
        <w:rPr>
          <w:rFonts w:asciiTheme="minorHAnsi" w:hAnsiTheme="minorHAnsi" w:cstheme="minorHAnsi"/>
          <w:bCs/>
          <w:sz w:val="20"/>
        </w:rPr>
        <w:t xml:space="preserve">.  These services include </w:t>
      </w:r>
      <w:r w:rsidR="005D0369">
        <w:rPr>
          <w:rFonts w:asciiTheme="minorHAnsi" w:hAnsiTheme="minorHAnsi" w:cstheme="minorHAnsi"/>
          <w:bCs/>
          <w:sz w:val="20"/>
        </w:rPr>
        <w:t>auditing</w:t>
      </w:r>
      <w:r>
        <w:rPr>
          <w:rFonts w:asciiTheme="minorHAnsi" w:hAnsiTheme="minorHAnsi" w:cstheme="minorHAnsi"/>
          <w:bCs/>
          <w:sz w:val="20"/>
        </w:rPr>
        <w:t xml:space="preserve"> the T</w:t>
      </w:r>
      <w:r w:rsidRPr="00B51C0F">
        <w:rPr>
          <w:rFonts w:asciiTheme="minorHAnsi" w:hAnsiTheme="minorHAnsi" w:cstheme="minorHAnsi"/>
          <w:bCs/>
          <w:sz w:val="20"/>
        </w:rPr>
        <w:t xml:space="preserve">hird-Party </w:t>
      </w:r>
      <w:r>
        <w:rPr>
          <w:rFonts w:asciiTheme="minorHAnsi" w:hAnsiTheme="minorHAnsi" w:cstheme="minorHAnsi"/>
          <w:bCs/>
          <w:sz w:val="20"/>
        </w:rPr>
        <w:t>C</w:t>
      </w:r>
      <w:r w:rsidRPr="00B51C0F">
        <w:rPr>
          <w:rFonts w:asciiTheme="minorHAnsi" w:hAnsiTheme="minorHAnsi" w:cstheme="minorHAnsi"/>
          <w:bCs/>
          <w:sz w:val="20"/>
        </w:rPr>
        <w:t xml:space="preserve">laims </w:t>
      </w:r>
      <w:r>
        <w:rPr>
          <w:rFonts w:asciiTheme="minorHAnsi" w:hAnsiTheme="minorHAnsi" w:cstheme="minorHAnsi"/>
          <w:bCs/>
          <w:sz w:val="20"/>
        </w:rPr>
        <w:t>A</w:t>
      </w:r>
      <w:r w:rsidRPr="00B51C0F">
        <w:rPr>
          <w:rFonts w:asciiTheme="minorHAnsi" w:hAnsiTheme="minorHAnsi" w:cstheme="minorHAnsi"/>
          <w:bCs/>
          <w:sz w:val="20"/>
        </w:rPr>
        <w:t>dministration (“TPA”) claims’ handling process and</w:t>
      </w:r>
      <w:r w:rsidRPr="00131B56">
        <w:rPr>
          <w:rFonts w:asciiTheme="minorHAnsi" w:hAnsiTheme="minorHAnsi" w:cstheme="minorHAnsi"/>
          <w:bCs/>
          <w:color w:val="FF0000"/>
          <w:sz w:val="20"/>
        </w:rPr>
        <w:t xml:space="preserve"> </w:t>
      </w:r>
      <w:r w:rsidRPr="00FE5FE5">
        <w:rPr>
          <w:rFonts w:asciiTheme="minorHAnsi" w:hAnsiTheme="minorHAnsi" w:cstheme="minorHAnsi"/>
          <w:bCs/>
          <w:sz w:val="20"/>
        </w:rPr>
        <w:t>perform</w:t>
      </w:r>
      <w:r w:rsidR="00131B56" w:rsidRPr="00FE5FE5">
        <w:rPr>
          <w:rFonts w:asciiTheme="minorHAnsi" w:hAnsiTheme="minorHAnsi" w:cstheme="minorHAnsi"/>
          <w:bCs/>
          <w:sz w:val="20"/>
        </w:rPr>
        <w:t>ing</w:t>
      </w:r>
      <w:r w:rsidRPr="00131B56">
        <w:rPr>
          <w:rFonts w:asciiTheme="minorHAnsi" w:hAnsiTheme="minorHAnsi" w:cstheme="minorHAnsi"/>
          <w:bCs/>
          <w:color w:val="FF0000"/>
          <w:sz w:val="20"/>
        </w:rPr>
        <w:t xml:space="preserve"> </w:t>
      </w:r>
      <w:r w:rsidRPr="00B51C0F">
        <w:rPr>
          <w:rFonts w:asciiTheme="minorHAnsi" w:hAnsiTheme="minorHAnsi" w:cstheme="minorHAnsi"/>
          <w:bCs/>
          <w:sz w:val="20"/>
        </w:rPr>
        <w:t>case management audits for the Judicial Branch Workers’ Compensation Program</w:t>
      </w:r>
      <w:r>
        <w:rPr>
          <w:rFonts w:asciiTheme="minorHAnsi" w:hAnsiTheme="minorHAnsi" w:cstheme="minorHAnsi"/>
          <w:bCs/>
          <w:sz w:val="20"/>
        </w:rPr>
        <w:t xml:space="preserve"> </w:t>
      </w:r>
      <w:r w:rsidRPr="00B51C0F">
        <w:rPr>
          <w:rFonts w:asciiTheme="minorHAnsi" w:hAnsiTheme="minorHAnsi" w:cstheme="minorHAnsi"/>
          <w:bCs/>
          <w:sz w:val="20"/>
        </w:rPr>
        <w:t>(“JBWCP”)</w:t>
      </w:r>
      <w:r>
        <w:rPr>
          <w:rFonts w:asciiTheme="minorHAnsi" w:hAnsiTheme="minorHAnsi" w:cstheme="minorHAnsi"/>
          <w:bCs/>
          <w:sz w:val="20"/>
        </w:rPr>
        <w:t>.</w:t>
      </w:r>
    </w:p>
    <w:p w14:paraId="7E6F8E56" w14:textId="5442EAAD" w:rsidR="00075426" w:rsidRDefault="00075426" w:rsidP="00075426">
      <w:pPr>
        <w:spacing w:before="120" w:after="120"/>
        <w:ind w:left="936"/>
        <w:rPr>
          <w:rFonts w:asciiTheme="minorHAnsi" w:hAnsiTheme="minorHAnsi" w:cstheme="minorHAnsi"/>
          <w:bCs/>
          <w:sz w:val="20"/>
        </w:rPr>
      </w:pPr>
      <w:r>
        <w:rPr>
          <w:rFonts w:asciiTheme="minorHAnsi" w:hAnsiTheme="minorHAnsi" w:cstheme="minorHAnsi"/>
          <w:bCs/>
          <w:sz w:val="20"/>
        </w:rPr>
        <w:t xml:space="preserve">The Contractor will </w:t>
      </w:r>
      <w:r w:rsidRPr="00B51C0F">
        <w:rPr>
          <w:rFonts w:asciiTheme="minorHAnsi" w:hAnsiTheme="minorHAnsi" w:cstheme="minorHAnsi"/>
          <w:bCs/>
          <w:sz w:val="20"/>
        </w:rPr>
        <w:t>provid</w:t>
      </w:r>
      <w:r>
        <w:rPr>
          <w:rFonts w:asciiTheme="minorHAnsi" w:hAnsiTheme="minorHAnsi" w:cstheme="minorHAnsi"/>
          <w:bCs/>
          <w:sz w:val="20"/>
        </w:rPr>
        <w:t>e</w:t>
      </w:r>
      <w:r w:rsidRPr="00B51C0F">
        <w:rPr>
          <w:rFonts w:asciiTheme="minorHAnsi" w:hAnsiTheme="minorHAnsi" w:cstheme="minorHAnsi"/>
          <w:bCs/>
          <w:sz w:val="20"/>
        </w:rPr>
        <w:t xml:space="preserve"> accurate, candid, and well-documented audit findings; and offer sound recommendations for audit areas in need of improvement.</w:t>
      </w:r>
    </w:p>
    <w:p w14:paraId="07C25F53" w14:textId="1C75A1EA" w:rsidR="005E3815" w:rsidRPr="005E3815" w:rsidRDefault="00C4177B" w:rsidP="008A5950">
      <w:pPr>
        <w:pStyle w:val="ListParagraph"/>
        <w:numPr>
          <w:ilvl w:val="1"/>
          <w:numId w:val="18"/>
        </w:numPr>
        <w:spacing w:before="120" w:after="120"/>
        <w:rPr>
          <w:rFonts w:asciiTheme="minorHAnsi" w:hAnsiTheme="minorHAnsi" w:cstheme="minorHAnsi"/>
          <w:bCs/>
          <w:sz w:val="20"/>
          <w:u w:val="single"/>
          <w:lang w:bidi="en-US"/>
        </w:rPr>
      </w:pPr>
      <w:r w:rsidRPr="005E3815">
        <w:rPr>
          <w:rFonts w:asciiTheme="minorHAnsi" w:hAnsiTheme="minorHAnsi" w:cstheme="minorHAnsi"/>
          <w:b/>
          <w:bCs/>
          <w:sz w:val="20"/>
          <w:lang w:bidi="en-US"/>
        </w:rPr>
        <w:t xml:space="preserve">Description of Deliverables. </w:t>
      </w:r>
      <w:r w:rsidR="00AD682C" w:rsidRPr="005E3815">
        <w:rPr>
          <w:rFonts w:asciiTheme="minorHAnsi" w:hAnsiTheme="minorHAnsi" w:cstheme="minorHAnsi"/>
          <w:bCs/>
          <w:sz w:val="20"/>
          <w:u w:val="single"/>
          <w:lang w:bidi="en-US"/>
        </w:rPr>
        <w:t xml:space="preserve"> </w:t>
      </w:r>
      <w:r w:rsidRPr="005E3815">
        <w:rPr>
          <w:rFonts w:asciiTheme="minorHAnsi" w:hAnsiTheme="minorHAnsi" w:cstheme="minorHAnsi"/>
          <w:sz w:val="20"/>
        </w:rPr>
        <w:t xml:space="preserve">Contractor shall deliver to the </w:t>
      </w:r>
      <w:r w:rsidR="00323CD0" w:rsidRPr="005E3815">
        <w:rPr>
          <w:rFonts w:asciiTheme="minorHAnsi" w:hAnsiTheme="minorHAnsi" w:cstheme="minorHAnsi"/>
          <w:sz w:val="20"/>
        </w:rPr>
        <w:t>JBE</w:t>
      </w:r>
      <w:r w:rsidRPr="005E3815">
        <w:rPr>
          <w:rFonts w:asciiTheme="minorHAnsi" w:hAnsiTheme="minorHAnsi" w:cstheme="minorHAnsi"/>
          <w:sz w:val="20"/>
        </w:rPr>
        <w:t xml:space="preserve"> the following work product</w:t>
      </w:r>
      <w:r w:rsidR="003F1B2B" w:rsidRPr="005E3815">
        <w:rPr>
          <w:rFonts w:asciiTheme="minorHAnsi" w:hAnsiTheme="minorHAnsi" w:cstheme="minorHAnsi"/>
          <w:sz w:val="20"/>
        </w:rPr>
        <w:t>s</w:t>
      </w:r>
      <w:r w:rsidRPr="005E3815">
        <w:rPr>
          <w:rFonts w:asciiTheme="minorHAnsi" w:hAnsiTheme="minorHAnsi" w:cstheme="minorHAnsi"/>
          <w:sz w:val="20"/>
        </w:rPr>
        <w:t xml:space="preserve"> (“Deliverable</w:t>
      </w:r>
      <w:r w:rsidR="003F1B2B" w:rsidRPr="005E3815">
        <w:rPr>
          <w:rFonts w:asciiTheme="minorHAnsi" w:hAnsiTheme="minorHAnsi" w:cstheme="minorHAnsi"/>
          <w:sz w:val="20"/>
        </w:rPr>
        <w:t>s</w:t>
      </w:r>
      <w:r w:rsidRPr="005E3815">
        <w:rPr>
          <w:rFonts w:asciiTheme="minorHAnsi" w:hAnsiTheme="minorHAnsi" w:cstheme="minorHAnsi"/>
          <w:sz w:val="20"/>
        </w:rPr>
        <w:t>”):</w:t>
      </w:r>
      <w:r w:rsidR="003145FD" w:rsidRPr="005E3815">
        <w:rPr>
          <w:rFonts w:asciiTheme="minorHAnsi" w:hAnsiTheme="minorHAnsi" w:cstheme="minorHAnsi"/>
          <w:i/>
          <w:sz w:val="20"/>
        </w:rPr>
        <w:t xml:space="preserve"> </w:t>
      </w:r>
    </w:p>
    <w:p w14:paraId="46CFA3EE" w14:textId="77777777" w:rsidR="005E3815" w:rsidRPr="00B51C0F" w:rsidRDefault="005E3815" w:rsidP="005E3815">
      <w:pPr>
        <w:pStyle w:val="ListParagraph"/>
        <w:numPr>
          <w:ilvl w:val="2"/>
          <w:numId w:val="18"/>
        </w:numPr>
        <w:spacing w:before="120" w:after="120"/>
        <w:rPr>
          <w:rFonts w:asciiTheme="minorHAnsi" w:hAnsiTheme="minorHAnsi" w:cstheme="minorHAnsi"/>
          <w:bCs/>
          <w:sz w:val="20"/>
          <w:u w:val="single"/>
          <w:lang w:bidi="en-US"/>
        </w:rPr>
      </w:pPr>
      <w:r w:rsidRPr="00B51C0F">
        <w:rPr>
          <w:rFonts w:asciiTheme="minorHAnsi" w:hAnsiTheme="minorHAnsi" w:cstheme="minorHAnsi"/>
          <w:bCs/>
          <w:sz w:val="20"/>
          <w:u w:val="single"/>
          <w:lang w:bidi="en-US"/>
        </w:rPr>
        <w:t>Annual Audit</w:t>
      </w:r>
    </w:p>
    <w:p w14:paraId="26D0C4D1" w14:textId="47E04537" w:rsidR="005E3815" w:rsidRDefault="005E3815" w:rsidP="005E3815">
      <w:pPr>
        <w:pStyle w:val="ListParagraph"/>
        <w:numPr>
          <w:ilvl w:val="0"/>
          <w:numId w:val="33"/>
        </w:numPr>
        <w:rPr>
          <w:rFonts w:asciiTheme="minorHAnsi" w:hAnsiTheme="minorHAnsi" w:cstheme="minorHAnsi"/>
          <w:bCs/>
          <w:sz w:val="20"/>
          <w:lang w:bidi="en-US"/>
        </w:rPr>
      </w:pPr>
      <w:r w:rsidRPr="00B51C0F">
        <w:rPr>
          <w:rFonts w:asciiTheme="minorHAnsi" w:hAnsiTheme="minorHAnsi" w:cstheme="minorHAnsi"/>
          <w:bCs/>
          <w:sz w:val="20"/>
          <w:lang w:bidi="en-US"/>
        </w:rPr>
        <w:t>Annually audit the TPA’s claims’ handling process based on established California Workers’ Compensation claims administration industry standards and the JBWCP’s third party administrator service guidelines. The audit shall contain a random sampling of all claim</w:t>
      </w:r>
      <w:r w:rsidR="00383EE2">
        <w:rPr>
          <w:rFonts w:asciiTheme="minorHAnsi" w:hAnsiTheme="minorHAnsi" w:cstheme="minorHAnsi"/>
          <w:bCs/>
          <w:sz w:val="20"/>
          <w:lang w:bidi="en-US"/>
        </w:rPr>
        <w:t xml:space="preserve"> types</w:t>
      </w:r>
      <w:r w:rsidRPr="00B51C0F">
        <w:rPr>
          <w:rFonts w:asciiTheme="minorHAnsi" w:hAnsiTheme="minorHAnsi" w:cstheme="minorHAnsi"/>
          <w:bCs/>
          <w:sz w:val="20"/>
          <w:lang w:bidi="en-US"/>
        </w:rPr>
        <w:t xml:space="preserve"> handled by all TPA claims technicians staffed to the </w:t>
      </w:r>
      <w:r w:rsidR="00BF697F">
        <w:rPr>
          <w:rFonts w:asciiTheme="minorHAnsi" w:hAnsiTheme="minorHAnsi" w:cstheme="minorHAnsi"/>
          <w:bCs/>
          <w:sz w:val="20"/>
          <w:lang w:bidi="en-US"/>
        </w:rPr>
        <w:t>P</w:t>
      </w:r>
      <w:r w:rsidRPr="00B51C0F">
        <w:rPr>
          <w:rFonts w:asciiTheme="minorHAnsi" w:hAnsiTheme="minorHAnsi" w:cstheme="minorHAnsi"/>
          <w:bCs/>
          <w:sz w:val="20"/>
          <w:lang w:bidi="en-US"/>
        </w:rPr>
        <w:t>rogram. The audit will include a review of the timely and proper administration of claims, utilizing best practices in relation to industry standards and the JBWCP’s expectations. The audit criteria would include at a minimum the evaluation of:</w:t>
      </w:r>
    </w:p>
    <w:p w14:paraId="321B5A39" w14:textId="77777777" w:rsidR="005E3815" w:rsidRDefault="005E3815" w:rsidP="005E3815">
      <w:pPr>
        <w:pStyle w:val="ListParagraph"/>
        <w:ind w:left="1656"/>
        <w:rPr>
          <w:rFonts w:asciiTheme="minorHAnsi" w:hAnsiTheme="minorHAnsi" w:cstheme="minorHAnsi"/>
          <w:bCs/>
          <w:sz w:val="20"/>
          <w:lang w:bidi="en-US"/>
        </w:rPr>
      </w:pPr>
    </w:p>
    <w:p w14:paraId="5E60FD72" w14:textId="5E10F478" w:rsidR="005E3815" w:rsidRDefault="005E3815" w:rsidP="005E3815">
      <w:pPr>
        <w:pStyle w:val="ListParagraph"/>
        <w:numPr>
          <w:ilvl w:val="0"/>
          <w:numId w:val="35"/>
        </w:numPr>
        <w:rPr>
          <w:rFonts w:asciiTheme="minorHAnsi" w:hAnsiTheme="minorHAnsi" w:cstheme="minorHAnsi"/>
          <w:bCs/>
          <w:sz w:val="20"/>
          <w:lang w:bidi="en-US"/>
        </w:rPr>
      </w:pPr>
      <w:r w:rsidRPr="000C5D44">
        <w:rPr>
          <w:rFonts w:asciiTheme="minorHAnsi" w:hAnsiTheme="minorHAnsi" w:cstheme="minorHAnsi"/>
          <w:bCs/>
          <w:sz w:val="20"/>
          <w:lang w:bidi="en-US"/>
        </w:rPr>
        <w:t>Consistent application of the Three Point Contact which is an industry best practice erm</w:t>
      </w:r>
      <w:r w:rsidR="009D6B79">
        <w:rPr>
          <w:rFonts w:asciiTheme="minorHAnsi" w:hAnsiTheme="minorHAnsi" w:cstheme="minorHAnsi"/>
          <w:bCs/>
          <w:sz w:val="20"/>
          <w:lang w:bidi="en-US"/>
        </w:rPr>
        <w:t>.</w:t>
      </w:r>
      <w:r w:rsidRPr="000C5D44">
        <w:rPr>
          <w:rFonts w:asciiTheme="minorHAnsi" w:hAnsiTheme="minorHAnsi" w:cstheme="minorHAnsi"/>
          <w:bCs/>
          <w:sz w:val="20"/>
          <w:lang w:bidi="en-US"/>
        </w:rPr>
        <w:t xml:space="preserve"> It is the initial timely contact with the injured worker, that supervisor or managers, and the treating physician or clinic.  Contact must be within 24 </w:t>
      </w:r>
      <w:r w:rsidR="005D0369" w:rsidRPr="000C5D44">
        <w:rPr>
          <w:rFonts w:asciiTheme="minorHAnsi" w:hAnsiTheme="minorHAnsi" w:cstheme="minorHAnsi"/>
          <w:bCs/>
          <w:sz w:val="20"/>
          <w:lang w:bidi="en-US"/>
        </w:rPr>
        <w:t>hours.</w:t>
      </w:r>
    </w:p>
    <w:p w14:paraId="49E7D5DB"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Timely denial or acceptance of claims</w:t>
      </w:r>
    </w:p>
    <w:p w14:paraId="5E040B6C"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Use of investigation services</w:t>
      </w:r>
    </w:p>
    <w:p w14:paraId="5C371868"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Subrogation/Recoveries/Apportionment</w:t>
      </w:r>
    </w:p>
    <w:p w14:paraId="48B03662"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lastRenderedPageBreak/>
        <w:t>Disability Management</w:t>
      </w:r>
    </w:p>
    <w:p w14:paraId="2B2316F5"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Penalties</w:t>
      </w:r>
    </w:p>
    <w:p w14:paraId="7C34882C"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Reserving Strategies</w:t>
      </w:r>
    </w:p>
    <w:p w14:paraId="0658F1A8"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Effective Action Plans</w:t>
      </w:r>
    </w:p>
    <w:p w14:paraId="1D3B5C47"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Effective Return to Work Strategies</w:t>
      </w:r>
    </w:p>
    <w:p w14:paraId="094FC3A6"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Communication</w:t>
      </w:r>
    </w:p>
    <w:p w14:paraId="54115F17" w14:textId="77777777" w:rsidR="005E3815"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Litigation Management</w:t>
      </w:r>
    </w:p>
    <w:p w14:paraId="3979E081" w14:textId="77777777" w:rsidR="005E3815" w:rsidRPr="00F323DF" w:rsidRDefault="005E3815" w:rsidP="005E3815">
      <w:pPr>
        <w:pStyle w:val="ListParagraph"/>
        <w:numPr>
          <w:ilvl w:val="0"/>
          <w:numId w:val="35"/>
        </w:numPr>
        <w:rPr>
          <w:rFonts w:asciiTheme="minorHAnsi" w:hAnsiTheme="minorHAnsi" w:cstheme="minorHAnsi"/>
          <w:bCs/>
          <w:sz w:val="20"/>
          <w:lang w:bidi="en-US"/>
        </w:rPr>
      </w:pPr>
      <w:r w:rsidRPr="00F323DF">
        <w:rPr>
          <w:rFonts w:asciiTheme="minorHAnsi" w:hAnsiTheme="minorHAnsi" w:cstheme="minorHAnsi"/>
          <w:bCs/>
          <w:sz w:val="20"/>
          <w:lang w:bidi="en-US"/>
        </w:rPr>
        <w:t>Adherence to Special Account Instructions</w:t>
      </w:r>
    </w:p>
    <w:p w14:paraId="13A684F7" w14:textId="77777777" w:rsidR="005E3815" w:rsidRPr="00B51C0F" w:rsidRDefault="005E3815" w:rsidP="005E3815">
      <w:pPr>
        <w:pStyle w:val="ListParagraph"/>
        <w:ind w:left="1656"/>
        <w:rPr>
          <w:rFonts w:asciiTheme="minorHAnsi" w:hAnsiTheme="minorHAnsi" w:cstheme="minorHAnsi"/>
          <w:bCs/>
          <w:sz w:val="20"/>
          <w:lang w:bidi="en-US"/>
        </w:rPr>
      </w:pPr>
    </w:p>
    <w:p w14:paraId="7647B1DF" w14:textId="77777777" w:rsidR="005E3815" w:rsidRPr="004B7C2E" w:rsidRDefault="005E3815" w:rsidP="005E3815">
      <w:pPr>
        <w:pStyle w:val="ListParagraph"/>
        <w:numPr>
          <w:ilvl w:val="0"/>
          <w:numId w:val="33"/>
        </w:numPr>
        <w:rPr>
          <w:rFonts w:asciiTheme="minorHAnsi" w:hAnsiTheme="minorHAnsi" w:cstheme="minorHAnsi"/>
          <w:bCs/>
          <w:sz w:val="20"/>
          <w:lang w:bidi="en-US"/>
        </w:rPr>
      </w:pPr>
      <w:r w:rsidRPr="00F323DF">
        <w:rPr>
          <w:rFonts w:asciiTheme="minorHAnsi" w:hAnsiTheme="minorHAnsi" w:cstheme="minorHAnsi"/>
          <w:bCs/>
          <w:sz w:val="20"/>
          <w:lang w:bidi="en-US"/>
        </w:rPr>
        <w:t>Annually audit the Case Management program, provided by the TPA, based on established industry metrics, best practices, and special account instructions. The audit shall contain a random sampling of all claims assigned to case management. The audit criteria would include at a minimum the evaluation of:</w:t>
      </w:r>
    </w:p>
    <w:p w14:paraId="377FB66B" w14:textId="77777777" w:rsidR="005E3815" w:rsidRPr="00F323DF" w:rsidRDefault="005E3815" w:rsidP="005E3815">
      <w:pPr>
        <w:pStyle w:val="ListParagraph"/>
        <w:numPr>
          <w:ilvl w:val="0"/>
          <w:numId w:val="36"/>
        </w:numPr>
        <w:spacing w:before="120" w:after="120"/>
        <w:rPr>
          <w:rFonts w:asciiTheme="minorHAnsi" w:hAnsiTheme="minorHAnsi" w:cstheme="minorHAnsi"/>
          <w:bCs/>
          <w:sz w:val="20"/>
          <w:lang w:bidi="en-US"/>
        </w:rPr>
      </w:pPr>
      <w:r w:rsidRPr="00F323DF">
        <w:rPr>
          <w:rFonts w:asciiTheme="minorHAnsi" w:hAnsiTheme="minorHAnsi" w:cstheme="minorHAnsi"/>
          <w:bCs/>
          <w:sz w:val="20"/>
          <w:lang w:bidi="en-US"/>
        </w:rPr>
        <w:t xml:space="preserve">How are the cases triaged and assigned? </w:t>
      </w:r>
    </w:p>
    <w:p w14:paraId="3985EAD5" w14:textId="77777777" w:rsidR="005E3815" w:rsidRPr="00F323DF" w:rsidRDefault="005E3815" w:rsidP="005E3815">
      <w:pPr>
        <w:pStyle w:val="ListParagraph"/>
        <w:numPr>
          <w:ilvl w:val="0"/>
          <w:numId w:val="36"/>
        </w:numPr>
        <w:spacing w:before="120" w:after="120"/>
        <w:rPr>
          <w:rFonts w:asciiTheme="minorHAnsi" w:hAnsiTheme="minorHAnsi" w:cstheme="minorHAnsi"/>
          <w:bCs/>
          <w:sz w:val="20"/>
          <w:lang w:bidi="en-US"/>
        </w:rPr>
      </w:pPr>
      <w:r w:rsidRPr="00F323DF">
        <w:rPr>
          <w:rFonts w:asciiTheme="minorHAnsi" w:hAnsiTheme="minorHAnsi" w:cstheme="minorHAnsi"/>
          <w:bCs/>
          <w:sz w:val="20"/>
          <w:lang w:bidi="en-US"/>
        </w:rPr>
        <w:t xml:space="preserve">How is the appropriate level of clinical intervention evaluated? </w:t>
      </w:r>
    </w:p>
    <w:p w14:paraId="618EBD8D" w14:textId="77777777" w:rsidR="005E3815" w:rsidRPr="00F323DF" w:rsidRDefault="005E3815" w:rsidP="005E3815">
      <w:pPr>
        <w:pStyle w:val="ListParagraph"/>
        <w:numPr>
          <w:ilvl w:val="0"/>
          <w:numId w:val="36"/>
        </w:numPr>
        <w:spacing w:before="120" w:after="120"/>
        <w:rPr>
          <w:rFonts w:asciiTheme="minorHAnsi" w:hAnsiTheme="minorHAnsi" w:cstheme="minorHAnsi"/>
          <w:bCs/>
          <w:sz w:val="20"/>
          <w:lang w:bidi="en-US"/>
        </w:rPr>
      </w:pPr>
      <w:r w:rsidRPr="00F323DF">
        <w:rPr>
          <w:rFonts w:asciiTheme="minorHAnsi" w:hAnsiTheme="minorHAnsi" w:cstheme="minorHAnsi"/>
          <w:bCs/>
          <w:sz w:val="20"/>
          <w:lang w:bidi="en-US"/>
        </w:rPr>
        <w:t>What tools and resources do the nurses use to guide their assessments and action plans?</w:t>
      </w:r>
    </w:p>
    <w:p w14:paraId="3C0AB1B3" w14:textId="77777777" w:rsidR="005E3815" w:rsidRPr="00F323DF" w:rsidRDefault="005E3815" w:rsidP="005E3815">
      <w:pPr>
        <w:pStyle w:val="ListParagraph"/>
        <w:numPr>
          <w:ilvl w:val="0"/>
          <w:numId w:val="36"/>
        </w:numPr>
        <w:spacing w:before="120" w:after="120"/>
        <w:rPr>
          <w:rFonts w:asciiTheme="minorHAnsi" w:hAnsiTheme="minorHAnsi" w:cstheme="minorHAnsi"/>
          <w:bCs/>
          <w:sz w:val="20"/>
          <w:lang w:bidi="en-US"/>
        </w:rPr>
      </w:pPr>
      <w:r w:rsidRPr="00F323DF">
        <w:rPr>
          <w:rFonts w:asciiTheme="minorHAnsi" w:hAnsiTheme="minorHAnsi" w:cstheme="minorHAnsi"/>
          <w:bCs/>
          <w:sz w:val="20"/>
          <w:lang w:bidi="en-US"/>
        </w:rPr>
        <w:t xml:space="preserve">When are physician advisors utilized? </w:t>
      </w:r>
    </w:p>
    <w:p w14:paraId="014FF3F4" w14:textId="77777777" w:rsidR="005E3815" w:rsidRDefault="005E3815" w:rsidP="005E3815">
      <w:pPr>
        <w:pStyle w:val="ListParagraph"/>
        <w:numPr>
          <w:ilvl w:val="0"/>
          <w:numId w:val="36"/>
        </w:numPr>
        <w:spacing w:before="120" w:after="120"/>
        <w:rPr>
          <w:rFonts w:asciiTheme="minorHAnsi" w:hAnsiTheme="minorHAnsi" w:cstheme="minorHAnsi"/>
          <w:bCs/>
          <w:sz w:val="20"/>
          <w:lang w:bidi="en-US"/>
        </w:rPr>
      </w:pPr>
      <w:r w:rsidRPr="00F323DF">
        <w:rPr>
          <w:rFonts w:asciiTheme="minorHAnsi" w:hAnsiTheme="minorHAnsi" w:cstheme="minorHAnsi"/>
          <w:bCs/>
          <w:sz w:val="20"/>
          <w:lang w:bidi="en-US"/>
        </w:rPr>
        <w:t xml:space="preserve">What data is used by the case management program to measure effectiveness? Is there integrated communication between the managed care program and the claims adjusters assigned to the claim? </w:t>
      </w:r>
    </w:p>
    <w:p w14:paraId="734E7589" w14:textId="77777777" w:rsidR="005E3815" w:rsidRPr="00F323DF" w:rsidRDefault="005E3815" w:rsidP="005E3815">
      <w:pPr>
        <w:pStyle w:val="ListParagraph"/>
        <w:numPr>
          <w:ilvl w:val="0"/>
          <w:numId w:val="36"/>
        </w:numPr>
        <w:spacing w:before="120" w:after="120"/>
        <w:rPr>
          <w:rFonts w:asciiTheme="minorHAnsi" w:hAnsiTheme="minorHAnsi" w:cstheme="minorHAnsi"/>
          <w:bCs/>
          <w:sz w:val="20"/>
          <w:lang w:bidi="en-US"/>
        </w:rPr>
      </w:pPr>
      <w:r w:rsidRPr="00F323DF">
        <w:rPr>
          <w:rFonts w:asciiTheme="minorHAnsi" w:hAnsiTheme="minorHAnsi" w:cstheme="minorHAnsi"/>
          <w:bCs/>
          <w:sz w:val="20"/>
          <w:lang w:bidi="en-US"/>
        </w:rPr>
        <w:t xml:space="preserve">What is the impact of the claim? </w:t>
      </w:r>
    </w:p>
    <w:p w14:paraId="23FFF4D2" w14:textId="77777777" w:rsidR="005E3815" w:rsidRPr="00F323DF" w:rsidRDefault="005E3815" w:rsidP="005E3815">
      <w:pPr>
        <w:pStyle w:val="ListParagraph"/>
        <w:numPr>
          <w:ilvl w:val="0"/>
          <w:numId w:val="36"/>
        </w:numPr>
        <w:spacing w:before="120" w:after="120"/>
        <w:rPr>
          <w:rFonts w:asciiTheme="minorHAnsi" w:hAnsiTheme="minorHAnsi" w:cstheme="minorHAnsi"/>
          <w:bCs/>
          <w:sz w:val="20"/>
          <w:lang w:bidi="en-US"/>
        </w:rPr>
      </w:pPr>
      <w:r w:rsidRPr="00F323DF">
        <w:rPr>
          <w:rFonts w:asciiTheme="minorHAnsi" w:hAnsiTheme="minorHAnsi" w:cstheme="minorHAnsi"/>
          <w:bCs/>
          <w:sz w:val="20"/>
          <w:lang w:bidi="en-US"/>
        </w:rPr>
        <w:t>Use of nationally recognized treatment and disability duration guidelines.</w:t>
      </w:r>
    </w:p>
    <w:p w14:paraId="2D5FD875" w14:textId="77777777" w:rsidR="005E3815" w:rsidRPr="004B7C2E" w:rsidRDefault="005E3815" w:rsidP="005E3815">
      <w:pPr>
        <w:pStyle w:val="ListParagraph"/>
        <w:numPr>
          <w:ilvl w:val="0"/>
          <w:numId w:val="36"/>
        </w:numPr>
        <w:spacing w:before="120" w:after="120"/>
        <w:rPr>
          <w:rFonts w:asciiTheme="minorHAnsi" w:hAnsiTheme="minorHAnsi" w:cstheme="minorHAnsi"/>
          <w:bCs/>
          <w:sz w:val="20"/>
          <w:lang w:bidi="en-US"/>
        </w:rPr>
      </w:pPr>
      <w:r w:rsidRPr="00F323DF">
        <w:rPr>
          <w:rFonts w:asciiTheme="minorHAnsi" w:hAnsiTheme="minorHAnsi" w:cstheme="minorHAnsi"/>
          <w:bCs/>
          <w:sz w:val="20"/>
          <w:lang w:bidi="en-US"/>
        </w:rPr>
        <w:t>Coordination with Members’ return-to-work programs.</w:t>
      </w:r>
    </w:p>
    <w:p w14:paraId="2C1DDE82" w14:textId="67F6E0F8" w:rsidR="00D04743" w:rsidRDefault="00D04743" w:rsidP="005E3815">
      <w:pPr>
        <w:pStyle w:val="ListParagraph"/>
        <w:numPr>
          <w:ilvl w:val="0"/>
          <w:numId w:val="33"/>
        </w:numPr>
        <w:rPr>
          <w:rFonts w:asciiTheme="minorHAnsi" w:hAnsiTheme="minorHAnsi" w:cstheme="minorHAnsi"/>
          <w:bCs/>
          <w:sz w:val="20"/>
          <w:lang w:bidi="en-US"/>
        </w:rPr>
      </w:pPr>
      <w:r>
        <w:rPr>
          <w:rFonts w:asciiTheme="minorHAnsi" w:hAnsiTheme="minorHAnsi" w:cstheme="minorHAnsi"/>
          <w:bCs/>
          <w:sz w:val="20"/>
          <w:lang w:bidi="en-US"/>
        </w:rPr>
        <w:t>The initial audit process typically begins in the fall and conc</w:t>
      </w:r>
      <w:r w:rsidR="00645496">
        <w:rPr>
          <w:rFonts w:asciiTheme="minorHAnsi" w:hAnsiTheme="minorHAnsi" w:cstheme="minorHAnsi"/>
          <w:bCs/>
          <w:sz w:val="20"/>
          <w:lang w:bidi="en-US"/>
        </w:rPr>
        <w:t xml:space="preserve">ludes near the start of the calendar year. The final report is delivered to the </w:t>
      </w:r>
      <w:r w:rsidR="00A767CC" w:rsidRPr="002B1A25">
        <w:rPr>
          <w:rFonts w:asciiTheme="minorHAnsi" w:hAnsiTheme="minorHAnsi" w:cstheme="minorHAnsi"/>
          <w:bCs/>
          <w:sz w:val="20"/>
          <w:lang w:bidi="en-US"/>
        </w:rPr>
        <w:t>Program</w:t>
      </w:r>
      <w:r w:rsidR="002B1A25" w:rsidRPr="002B1A25">
        <w:rPr>
          <w:rFonts w:asciiTheme="minorHAnsi" w:hAnsiTheme="minorHAnsi" w:cstheme="minorHAnsi"/>
          <w:bCs/>
          <w:sz w:val="20"/>
          <w:lang w:bidi="en-US"/>
        </w:rPr>
        <w:t xml:space="preserve"> Manager</w:t>
      </w:r>
      <w:r w:rsidR="00A767CC" w:rsidRPr="002B1A25">
        <w:rPr>
          <w:rFonts w:asciiTheme="minorHAnsi" w:hAnsiTheme="minorHAnsi" w:cstheme="minorHAnsi"/>
          <w:bCs/>
          <w:sz w:val="20"/>
          <w:lang w:bidi="en-US"/>
        </w:rPr>
        <w:t xml:space="preserve"> </w:t>
      </w:r>
      <w:r w:rsidR="00A767CC">
        <w:rPr>
          <w:rFonts w:asciiTheme="minorHAnsi" w:hAnsiTheme="minorHAnsi" w:cstheme="minorHAnsi"/>
          <w:bCs/>
          <w:sz w:val="20"/>
          <w:lang w:bidi="en-US"/>
        </w:rPr>
        <w:t>in January and presented to the Committee at its February meeting.</w:t>
      </w:r>
    </w:p>
    <w:p w14:paraId="12AD09E6" w14:textId="77777777" w:rsidR="00A767CC" w:rsidRDefault="00A767CC" w:rsidP="00F82335">
      <w:pPr>
        <w:pStyle w:val="ListParagraph"/>
        <w:ind w:left="1656"/>
        <w:rPr>
          <w:rFonts w:asciiTheme="minorHAnsi" w:hAnsiTheme="minorHAnsi" w:cstheme="minorHAnsi"/>
          <w:bCs/>
          <w:sz w:val="20"/>
          <w:lang w:bidi="en-US"/>
        </w:rPr>
      </w:pPr>
    </w:p>
    <w:p w14:paraId="50FFD4DF" w14:textId="3A78172D" w:rsidR="005E3815" w:rsidRDefault="005E3815" w:rsidP="005E3815">
      <w:pPr>
        <w:pStyle w:val="ListParagraph"/>
        <w:numPr>
          <w:ilvl w:val="0"/>
          <w:numId w:val="33"/>
        </w:numPr>
        <w:rPr>
          <w:rFonts w:asciiTheme="minorHAnsi" w:hAnsiTheme="minorHAnsi" w:cstheme="minorHAnsi"/>
          <w:bCs/>
          <w:sz w:val="20"/>
          <w:lang w:bidi="en-US"/>
        </w:rPr>
      </w:pPr>
      <w:r w:rsidRPr="00F323DF">
        <w:rPr>
          <w:rFonts w:asciiTheme="minorHAnsi" w:hAnsiTheme="minorHAnsi" w:cstheme="minorHAnsi"/>
          <w:bCs/>
          <w:sz w:val="20"/>
          <w:lang w:bidi="en-US"/>
        </w:rPr>
        <w:t xml:space="preserve">Depending on the outcome of the initial audits, the JBWCP may determine that additional audits may be necessary up to every three months until such time at which the audits of the TPA meet the desired outcome of the JBWCP.  </w:t>
      </w:r>
    </w:p>
    <w:p w14:paraId="4E5BD5F2" w14:textId="77777777" w:rsidR="00C452E5" w:rsidRDefault="00C452E5" w:rsidP="00E93860">
      <w:pPr>
        <w:pStyle w:val="ListParagraph"/>
        <w:ind w:left="1656"/>
        <w:rPr>
          <w:rFonts w:asciiTheme="minorHAnsi" w:hAnsiTheme="minorHAnsi" w:cstheme="minorHAnsi"/>
          <w:bCs/>
          <w:sz w:val="20"/>
          <w:lang w:bidi="en-US"/>
        </w:rPr>
      </w:pPr>
    </w:p>
    <w:p w14:paraId="7E44C872" w14:textId="147AF0B1" w:rsidR="00C452E5" w:rsidRPr="00F323DF" w:rsidRDefault="00C452E5" w:rsidP="005E3815">
      <w:pPr>
        <w:pStyle w:val="ListParagraph"/>
        <w:numPr>
          <w:ilvl w:val="0"/>
          <w:numId w:val="33"/>
        </w:numPr>
        <w:rPr>
          <w:rFonts w:asciiTheme="minorHAnsi" w:hAnsiTheme="minorHAnsi" w:cstheme="minorHAnsi"/>
          <w:bCs/>
          <w:sz w:val="20"/>
          <w:lang w:bidi="en-US"/>
        </w:rPr>
      </w:pPr>
      <w:r>
        <w:rPr>
          <w:rFonts w:asciiTheme="minorHAnsi" w:hAnsiTheme="minorHAnsi" w:cstheme="minorHAnsi"/>
          <w:bCs/>
          <w:sz w:val="20"/>
          <w:lang w:bidi="en-US"/>
        </w:rPr>
        <w:t>Ensure that services provided to the JBWCP are fully transitioned, as needed, in a smooth and efficient manner. The Program vendors supporting the JBWCP will exercise best efforts and cooperation to secure an orderly and efficient transition to a successor.</w:t>
      </w:r>
    </w:p>
    <w:p w14:paraId="01965D16" w14:textId="77777777" w:rsidR="005E3815" w:rsidRDefault="005E3815" w:rsidP="005E3815">
      <w:pPr>
        <w:pStyle w:val="ListParagraph"/>
        <w:numPr>
          <w:ilvl w:val="2"/>
          <w:numId w:val="18"/>
        </w:numPr>
        <w:spacing w:before="120" w:after="120"/>
        <w:rPr>
          <w:rFonts w:asciiTheme="minorHAnsi" w:hAnsiTheme="minorHAnsi" w:cstheme="minorHAnsi"/>
          <w:bCs/>
          <w:sz w:val="20"/>
          <w:u w:val="single"/>
          <w:lang w:bidi="en-US"/>
        </w:rPr>
      </w:pPr>
      <w:r w:rsidRPr="00F323DF">
        <w:rPr>
          <w:rFonts w:asciiTheme="minorHAnsi" w:hAnsiTheme="minorHAnsi" w:cstheme="minorHAnsi"/>
          <w:bCs/>
          <w:sz w:val="20"/>
          <w:u w:val="single"/>
          <w:lang w:bidi="en-US"/>
        </w:rPr>
        <w:t>Spot Checks</w:t>
      </w:r>
    </w:p>
    <w:p w14:paraId="007DC1F4" w14:textId="77777777" w:rsidR="005E3815" w:rsidRDefault="005E3815" w:rsidP="005E3815">
      <w:pPr>
        <w:pStyle w:val="ListParagraph"/>
        <w:numPr>
          <w:ilvl w:val="0"/>
          <w:numId w:val="37"/>
        </w:numPr>
        <w:spacing w:before="120" w:after="120"/>
        <w:rPr>
          <w:rFonts w:asciiTheme="minorHAnsi" w:hAnsiTheme="minorHAnsi" w:cstheme="minorHAnsi"/>
          <w:bCs/>
          <w:sz w:val="20"/>
          <w:u w:val="single"/>
          <w:lang w:bidi="en-US"/>
        </w:rPr>
      </w:pPr>
      <w:r w:rsidRPr="004B43C6">
        <w:rPr>
          <w:rFonts w:asciiTheme="minorHAnsi" w:hAnsiTheme="minorHAnsi" w:cstheme="minorHAnsi"/>
          <w:bCs/>
          <w:sz w:val="20"/>
          <w:lang w:bidi="en-US"/>
        </w:rPr>
        <w:t>The JBWCP may determine that the Contractor conduct random, informal spot checks of the TPA claims handling to ensure proper application of best practices, special handling instructions, and criteria identified above.</w:t>
      </w:r>
    </w:p>
    <w:p w14:paraId="73866084" w14:textId="77777777" w:rsidR="005E3815" w:rsidRPr="004B43C6" w:rsidRDefault="005E3815" w:rsidP="005E3815">
      <w:pPr>
        <w:pStyle w:val="ListParagraph"/>
        <w:numPr>
          <w:ilvl w:val="0"/>
          <w:numId w:val="37"/>
        </w:numPr>
        <w:spacing w:before="120" w:after="120"/>
        <w:rPr>
          <w:rFonts w:asciiTheme="minorHAnsi" w:hAnsiTheme="minorHAnsi" w:cstheme="minorHAnsi"/>
          <w:bCs/>
          <w:sz w:val="20"/>
          <w:u w:val="single"/>
          <w:lang w:bidi="en-US"/>
        </w:rPr>
      </w:pPr>
      <w:r w:rsidRPr="00F323DF">
        <w:rPr>
          <w:rFonts w:asciiTheme="minorHAnsi" w:hAnsiTheme="minorHAnsi" w:cstheme="minorHAnsi"/>
          <w:bCs/>
          <w:sz w:val="20"/>
          <w:lang w:bidi="en-US"/>
        </w:rPr>
        <w:t>Provide intermittent “one off” claim reviews for high exposure/high sensitivity cases. If there is a need for a written report, the report will be provided by Contractor in draft form to the JBWCP, before a final version is issued and agreed upon by the JBWCP and the Contractor.</w:t>
      </w:r>
    </w:p>
    <w:p w14:paraId="05319A1C" w14:textId="77777777" w:rsidR="005E3815" w:rsidRPr="00F323DF" w:rsidRDefault="005E3815" w:rsidP="005E3815">
      <w:pPr>
        <w:pStyle w:val="ListParagraph"/>
        <w:numPr>
          <w:ilvl w:val="2"/>
          <w:numId w:val="18"/>
        </w:numPr>
        <w:spacing w:before="120" w:after="120"/>
        <w:rPr>
          <w:rFonts w:asciiTheme="minorHAnsi" w:hAnsiTheme="minorHAnsi" w:cstheme="minorHAnsi"/>
          <w:bCs/>
          <w:sz w:val="20"/>
          <w:u w:val="single"/>
          <w:lang w:bidi="en-US"/>
        </w:rPr>
      </w:pPr>
      <w:r w:rsidRPr="00F323DF">
        <w:rPr>
          <w:rFonts w:asciiTheme="minorHAnsi" w:hAnsiTheme="minorHAnsi" w:cstheme="minorHAnsi"/>
          <w:bCs/>
          <w:sz w:val="20"/>
          <w:u w:val="single"/>
          <w:lang w:bidi="en-US"/>
        </w:rPr>
        <w:t>Reporting Requirements and Presentations</w:t>
      </w:r>
    </w:p>
    <w:p w14:paraId="5AF1C98F" w14:textId="3C395DB3" w:rsidR="005E3815" w:rsidRPr="00F323DF" w:rsidRDefault="005E3815" w:rsidP="001B5D84">
      <w:pPr>
        <w:pStyle w:val="ListParagraph"/>
        <w:numPr>
          <w:ilvl w:val="2"/>
          <w:numId w:val="34"/>
        </w:numPr>
        <w:spacing w:before="120" w:after="120"/>
        <w:ind w:hanging="540"/>
        <w:rPr>
          <w:rFonts w:asciiTheme="minorHAnsi" w:hAnsiTheme="minorHAnsi" w:cstheme="minorHAnsi"/>
          <w:bCs/>
          <w:sz w:val="20"/>
          <w:lang w:bidi="en-US"/>
        </w:rPr>
      </w:pPr>
      <w:r w:rsidRPr="00F323DF">
        <w:rPr>
          <w:rFonts w:asciiTheme="minorHAnsi" w:hAnsiTheme="minorHAnsi" w:cstheme="minorHAnsi"/>
          <w:bCs/>
          <w:sz w:val="20"/>
          <w:lang w:bidi="en-US"/>
        </w:rPr>
        <w:t xml:space="preserve">Provide draft detailed reports of audit findings to the JBWCP, with an executive summary, due no </w:t>
      </w:r>
      <w:r w:rsidRPr="00F323DF">
        <w:rPr>
          <w:rFonts w:asciiTheme="minorHAnsi" w:hAnsiTheme="minorHAnsi" w:cstheme="minorHAnsi"/>
          <w:bCs/>
          <w:sz w:val="20"/>
          <w:lang w:bidi="en-US"/>
        </w:rPr>
        <w:tab/>
        <w:t xml:space="preserve">later than </w:t>
      </w:r>
      <w:r w:rsidRPr="00774ADF">
        <w:rPr>
          <w:rFonts w:asciiTheme="minorHAnsi" w:hAnsiTheme="minorHAnsi" w:cstheme="minorHAnsi"/>
          <w:b/>
          <w:sz w:val="20"/>
          <w:lang w:bidi="en-US"/>
        </w:rPr>
        <w:t>45 days</w:t>
      </w:r>
      <w:r w:rsidRPr="00F323DF">
        <w:rPr>
          <w:rFonts w:asciiTheme="minorHAnsi" w:hAnsiTheme="minorHAnsi" w:cstheme="minorHAnsi"/>
          <w:bCs/>
          <w:sz w:val="20"/>
          <w:lang w:bidi="en-US"/>
        </w:rPr>
        <w:t xml:space="preserve"> </w:t>
      </w:r>
      <w:r w:rsidR="005D0369" w:rsidRPr="00F323DF">
        <w:rPr>
          <w:rFonts w:asciiTheme="minorHAnsi" w:hAnsiTheme="minorHAnsi" w:cstheme="minorHAnsi"/>
          <w:bCs/>
          <w:sz w:val="20"/>
          <w:lang w:bidi="en-US"/>
        </w:rPr>
        <w:t>posts</w:t>
      </w:r>
      <w:r w:rsidRPr="00F323DF">
        <w:rPr>
          <w:rFonts w:asciiTheme="minorHAnsi" w:hAnsiTheme="minorHAnsi" w:cstheme="minorHAnsi"/>
          <w:bCs/>
          <w:sz w:val="20"/>
          <w:lang w:bidi="en-US"/>
        </w:rPr>
        <w:t xml:space="preserve"> the audit’s conclusion. The Contractor will provide a final draft report to the JBWCP no later than 70 days post the audit’s conclusion. Draft and final audit findings will be provided to the TPA, in coordination </w:t>
      </w:r>
      <w:r w:rsidRPr="00F323DF">
        <w:rPr>
          <w:rFonts w:asciiTheme="minorHAnsi" w:hAnsiTheme="minorHAnsi" w:cstheme="minorHAnsi"/>
          <w:bCs/>
          <w:sz w:val="20"/>
          <w:lang w:bidi="en-US"/>
        </w:rPr>
        <w:lastRenderedPageBreak/>
        <w:t xml:space="preserve">with the JBWCP. Representatives from the TPA will have an opportunity to address any discrepancies in the audit findings prior to sharing the final draft report </w:t>
      </w:r>
      <w:r w:rsidRPr="00F323DF">
        <w:rPr>
          <w:rFonts w:asciiTheme="minorHAnsi" w:hAnsiTheme="minorHAnsi" w:cstheme="minorHAnsi"/>
          <w:bCs/>
          <w:sz w:val="20"/>
          <w:lang w:bidi="en-US"/>
        </w:rPr>
        <w:tab/>
        <w:t xml:space="preserve">with the Committee. The JBWCP will review the draft format before the final report is issued to the Committee. </w:t>
      </w:r>
    </w:p>
    <w:p w14:paraId="7110A8C3" w14:textId="0EE45BF8" w:rsidR="005E3815" w:rsidRPr="005D0369" w:rsidRDefault="005D0369" w:rsidP="001B5D84">
      <w:pPr>
        <w:pStyle w:val="ListParagraph"/>
        <w:numPr>
          <w:ilvl w:val="2"/>
          <w:numId w:val="34"/>
        </w:numPr>
        <w:spacing w:before="120" w:after="120"/>
        <w:ind w:hanging="630"/>
        <w:rPr>
          <w:rFonts w:asciiTheme="minorHAnsi" w:hAnsiTheme="minorHAnsi" w:cstheme="minorHAnsi"/>
          <w:bCs/>
          <w:sz w:val="20"/>
          <w:lang w:bidi="en-US"/>
        </w:rPr>
      </w:pPr>
      <w:r w:rsidRPr="005D0369">
        <w:rPr>
          <w:rFonts w:asciiTheme="minorHAnsi" w:hAnsiTheme="minorHAnsi" w:cstheme="minorHAnsi"/>
          <w:bCs/>
          <w:sz w:val="20"/>
          <w:lang w:bidi="en-US"/>
        </w:rPr>
        <w:t>The contractor</w:t>
      </w:r>
      <w:r w:rsidR="005E3815" w:rsidRPr="005D0369">
        <w:rPr>
          <w:rFonts w:asciiTheme="minorHAnsi" w:hAnsiTheme="minorHAnsi" w:cstheme="minorHAnsi"/>
          <w:bCs/>
          <w:sz w:val="20"/>
          <w:lang w:bidi="en-US"/>
        </w:rPr>
        <w:t xml:space="preserve"> is required to present its findings to the Committee. This includes attending the annual advisory committee meeting in Sacramento and other recurring audit-focused meetings throughout the year upon request of the JBWCP.</w:t>
      </w:r>
      <w:r w:rsidR="00D43070">
        <w:rPr>
          <w:rFonts w:asciiTheme="minorHAnsi" w:hAnsiTheme="minorHAnsi" w:cstheme="minorHAnsi"/>
          <w:bCs/>
          <w:sz w:val="20"/>
          <w:lang w:bidi="en-US"/>
        </w:rPr>
        <w:t xml:space="preserve"> The meeting may be held remotely.</w:t>
      </w:r>
    </w:p>
    <w:p w14:paraId="27273BB9" w14:textId="77777777" w:rsidR="005E3815" w:rsidRDefault="005E3815" w:rsidP="005E3815">
      <w:pPr>
        <w:pStyle w:val="ListParagraph"/>
        <w:numPr>
          <w:ilvl w:val="2"/>
          <w:numId w:val="18"/>
        </w:numPr>
        <w:spacing w:before="120" w:after="120"/>
        <w:rPr>
          <w:rFonts w:asciiTheme="minorHAnsi" w:hAnsiTheme="minorHAnsi" w:cstheme="minorHAnsi"/>
          <w:bCs/>
          <w:sz w:val="20"/>
          <w:u w:val="single"/>
          <w:lang w:bidi="en-US"/>
        </w:rPr>
      </w:pPr>
      <w:r>
        <w:rPr>
          <w:rFonts w:asciiTheme="minorHAnsi" w:hAnsiTheme="minorHAnsi" w:cstheme="minorHAnsi"/>
          <w:bCs/>
          <w:sz w:val="20"/>
          <w:u w:val="single"/>
          <w:lang w:bidi="en-US"/>
        </w:rPr>
        <w:t>Benchmarking</w:t>
      </w:r>
    </w:p>
    <w:p w14:paraId="3D81627F" w14:textId="5DCD1AD5" w:rsidR="00AA024E" w:rsidRDefault="00E329C6" w:rsidP="00AF53A8">
      <w:pPr>
        <w:pStyle w:val="ListParagraph"/>
        <w:spacing w:before="120" w:after="120"/>
        <w:ind w:left="1368"/>
        <w:rPr>
          <w:rFonts w:asciiTheme="minorHAnsi" w:hAnsiTheme="minorHAnsi" w:cstheme="minorHAnsi"/>
          <w:bCs/>
          <w:sz w:val="20"/>
          <w:lang w:bidi="en-US"/>
        </w:rPr>
      </w:pPr>
      <w:r>
        <w:rPr>
          <w:rFonts w:asciiTheme="minorHAnsi" w:hAnsiTheme="minorHAnsi" w:cstheme="minorHAnsi"/>
          <w:bCs/>
          <w:sz w:val="20"/>
          <w:lang w:bidi="en-US"/>
        </w:rPr>
        <w:t>Benchmarking is an invaluable strategy for a workers’ compensation program that aims to ensure the welfare of injured workers while balancing the interests of e</w:t>
      </w:r>
      <w:r w:rsidR="00C81A41">
        <w:rPr>
          <w:rFonts w:asciiTheme="minorHAnsi" w:hAnsiTheme="minorHAnsi" w:cstheme="minorHAnsi"/>
          <w:bCs/>
          <w:sz w:val="20"/>
          <w:lang w:bidi="en-US"/>
        </w:rPr>
        <w:t xml:space="preserve">mployers. </w:t>
      </w:r>
      <w:proofErr w:type="gramStart"/>
      <w:r w:rsidR="00C81A41">
        <w:rPr>
          <w:rFonts w:asciiTheme="minorHAnsi" w:hAnsiTheme="minorHAnsi" w:cstheme="minorHAnsi"/>
          <w:bCs/>
          <w:sz w:val="20"/>
          <w:lang w:bidi="en-US"/>
        </w:rPr>
        <w:t>In order to</w:t>
      </w:r>
      <w:proofErr w:type="gramEnd"/>
      <w:r w:rsidR="00C81A41">
        <w:rPr>
          <w:rFonts w:asciiTheme="minorHAnsi" w:hAnsiTheme="minorHAnsi" w:cstheme="minorHAnsi"/>
          <w:bCs/>
          <w:sz w:val="20"/>
          <w:lang w:bidi="en-US"/>
        </w:rPr>
        <w:t xml:space="preserve"> provide optimal support and benefits to injured workers, identify inefficiencies in the claims process, and align the </w:t>
      </w:r>
      <w:r w:rsidR="0099063A" w:rsidRPr="00FE5FE5">
        <w:rPr>
          <w:rFonts w:asciiTheme="minorHAnsi" w:hAnsiTheme="minorHAnsi" w:cstheme="minorHAnsi"/>
          <w:bCs/>
          <w:sz w:val="20"/>
          <w:lang w:bidi="en-US"/>
        </w:rPr>
        <w:t xml:space="preserve">JBWCP </w:t>
      </w:r>
      <w:r w:rsidR="00C81A41">
        <w:rPr>
          <w:rFonts w:asciiTheme="minorHAnsi" w:hAnsiTheme="minorHAnsi" w:cstheme="minorHAnsi"/>
          <w:bCs/>
          <w:sz w:val="20"/>
          <w:lang w:bidi="en-US"/>
        </w:rPr>
        <w:t xml:space="preserve">with industry best practices, the Contractor, in partnership with the </w:t>
      </w:r>
      <w:r w:rsidR="0099063A" w:rsidRPr="002B1A25">
        <w:rPr>
          <w:rFonts w:asciiTheme="minorHAnsi" w:hAnsiTheme="minorHAnsi" w:cstheme="minorHAnsi"/>
          <w:bCs/>
          <w:sz w:val="20"/>
          <w:lang w:bidi="en-US"/>
        </w:rPr>
        <w:t>JBWCP</w:t>
      </w:r>
      <w:r w:rsidR="0099063A" w:rsidRPr="0099063A">
        <w:rPr>
          <w:rFonts w:asciiTheme="minorHAnsi" w:hAnsiTheme="minorHAnsi" w:cstheme="minorHAnsi"/>
          <w:bCs/>
          <w:color w:val="FF0000"/>
          <w:sz w:val="20"/>
          <w:lang w:bidi="en-US"/>
        </w:rPr>
        <w:t xml:space="preserve"> </w:t>
      </w:r>
      <w:r w:rsidR="00C81A41">
        <w:rPr>
          <w:rFonts w:asciiTheme="minorHAnsi" w:hAnsiTheme="minorHAnsi" w:cstheme="minorHAnsi"/>
          <w:bCs/>
          <w:sz w:val="20"/>
          <w:lang w:bidi="en-US"/>
        </w:rPr>
        <w:t>will</w:t>
      </w:r>
      <w:r w:rsidR="00AA024E">
        <w:rPr>
          <w:rFonts w:asciiTheme="minorHAnsi" w:hAnsiTheme="minorHAnsi" w:cstheme="minorHAnsi"/>
          <w:bCs/>
          <w:sz w:val="20"/>
          <w:lang w:bidi="en-US"/>
        </w:rPr>
        <w:t>:</w:t>
      </w:r>
    </w:p>
    <w:p w14:paraId="33C2EAFC" w14:textId="42BD605D" w:rsidR="00AF53A8" w:rsidRDefault="005A385B" w:rsidP="005A385B">
      <w:pPr>
        <w:pStyle w:val="ListParagraph"/>
        <w:numPr>
          <w:ilvl w:val="0"/>
          <w:numId w:val="40"/>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Select benchmarking subjects, which could include claims processing times, cost per claim, </w:t>
      </w:r>
      <w:r w:rsidR="00C26C2E">
        <w:rPr>
          <w:rFonts w:asciiTheme="minorHAnsi" w:hAnsiTheme="minorHAnsi" w:cstheme="minorHAnsi"/>
          <w:bCs/>
          <w:sz w:val="20"/>
          <w:lang w:bidi="en-US"/>
        </w:rPr>
        <w:t>return</w:t>
      </w:r>
      <w:r>
        <w:rPr>
          <w:rFonts w:asciiTheme="minorHAnsi" w:hAnsiTheme="minorHAnsi" w:cstheme="minorHAnsi"/>
          <w:bCs/>
          <w:sz w:val="20"/>
          <w:lang w:bidi="en-US"/>
        </w:rPr>
        <w:t xml:space="preserve">-to-work rates, or other measures as deemed significant to the </w:t>
      </w:r>
      <w:r w:rsidR="0099063A" w:rsidRPr="002B1A25">
        <w:rPr>
          <w:rFonts w:asciiTheme="minorHAnsi" w:hAnsiTheme="minorHAnsi" w:cstheme="minorHAnsi"/>
          <w:bCs/>
          <w:sz w:val="20"/>
          <w:lang w:bidi="en-US"/>
        </w:rPr>
        <w:t>JBWCP</w:t>
      </w:r>
      <w:r>
        <w:rPr>
          <w:rFonts w:asciiTheme="minorHAnsi" w:hAnsiTheme="minorHAnsi" w:cstheme="minorHAnsi"/>
          <w:bCs/>
          <w:sz w:val="20"/>
          <w:lang w:bidi="en-US"/>
        </w:rPr>
        <w:t>.</w:t>
      </w:r>
    </w:p>
    <w:p w14:paraId="1609FD8F" w14:textId="0BD4C018" w:rsidR="001209CD" w:rsidRDefault="001209CD" w:rsidP="005A385B">
      <w:pPr>
        <w:pStyle w:val="ListParagraph"/>
        <w:numPr>
          <w:ilvl w:val="0"/>
          <w:numId w:val="40"/>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Collect relevant data from the </w:t>
      </w:r>
      <w:r w:rsidR="002B1A25" w:rsidRPr="002B1A25">
        <w:rPr>
          <w:rFonts w:asciiTheme="minorHAnsi" w:hAnsiTheme="minorHAnsi" w:cstheme="minorHAnsi"/>
          <w:bCs/>
          <w:sz w:val="20"/>
          <w:lang w:bidi="en-US"/>
        </w:rPr>
        <w:t>JBWCP</w:t>
      </w:r>
      <w:r w:rsidR="00EF2414" w:rsidRPr="002B1A25">
        <w:rPr>
          <w:rFonts w:asciiTheme="minorHAnsi" w:hAnsiTheme="minorHAnsi" w:cstheme="minorHAnsi"/>
          <w:bCs/>
          <w:sz w:val="20"/>
          <w:lang w:bidi="en-US"/>
        </w:rPr>
        <w:t>’</w:t>
      </w:r>
      <w:r w:rsidR="00EF2414">
        <w:rPr>
          <w:rFonts w:asciiTheme="minorHAnsi" w:hAnsiTheme="minorHAnsi" w:cstheme="minorHAnsi"/>
          <w:bCs/>
          <w:sz w:val="20"/>
          <w:lang w:bidi="en-US"/>
        </w:rPr>
        <w:t>s third party claims administrator, member courts, or Program staff.</w:t>
      </w:r>
    </w:p>
    <w:p w14:paraId="582BAF53" w14:textId="1980C6C4" w:rsidR="00EF2414" w:rsidRDefault="00E829DA" w:rsidP="005A385B">
      <w:pPr>
        <w:pStyle w:val="ListParagraph"/>
        <w:numPr>
          <w:ilvl w:val="0"/>
          <w:numId w:val="40"/>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Evaluate the data to determine where the </w:t>
      </w:r>
      <w:r w:rsidR="002B1A25" w:rsidRPr="002B1A25">
        <w:rPr>
          <w:rFonts w:asciiTheme="minorHAnsi" w:hAnsiTheme="minorHAnsi" w:cstheme="minorHAnsi"/>
          <w:bCs/>
          <w:sz w:val="20"/>
          <w:lang w:bidi="en-US"/>
        </w:rPr>
        <w:t>JBWCP</w:t>
      </w:r>
      <w:r>
        <w:rPr>
          <w:rFonts w:asciiTheme="minorHAnsi" w:hAnsiTheme="minorHAnsi" w:cstheme="minorHAnsi"/>
          <w:bCs/>
          <w:sz w:val="20"/>
          <w:lang w:bidi="en-US"/>
        </w:rPr>
        <w:t xml:space="preserve"> stands in relation to comparator groups and identify potential improvements.</w:t>
      </w:r>
    </w:p>
    <w:p w14:paraId="2824D5BA" w14:textId="7BB21CD4" w:rsidR="00E829DA" w:rsidRDefault="00E829DA" w:rsidP="005A385B">
      <w:pPr>
        <w:pStyle w:val="ListParagraph"/>
        <w:numPr>
          <w:ilvl w:val="0"/>
          <w:numId w:val="40"/>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Assist the </w:t>
      </w:r>
      <w:r w:rsidR="002B1A25">
        <w:rPr>
          <w:rFonts w:asciiTheme="minorHAnsi" w:hAnsiTheme="minorHAnsi" w:cstheme="minorHAnsi"/>
          <w:bCs/>
          <w:sz w:val="20"/>
          <w:lang w:bidi="en-US"/>
        </w:rPr>
        <w:t xml:space="preserve">JBWCP </w:t>
      </w:r>
      <w:r>
        <w:rPr>
          <w:rFonts w:asciiTheme="minorHAnsi" w:hAnsiTheme="minorHAnsi" w:cstheme="minorHAnsi"/>
          <w:bCs/>
          <w:sz w:val="20"/>
          <w:lang w:bidi="en-US"/>
        </w:rPr>
        <w:t xml:space="preserve">in reviewing the benchmarking findings to refine components of the workers’ compensation program. This </w:t>
      </w:r>
      <w:r w:rsidR="00E6614C">
        <w:rPr>
          <w:rFonts w:asciiTheme="minorHAnsi" w:hAnsiTheme="minorHAnsi" w:cstheme="minorHAnsi"/>
          <w:bCs/>
          <w:sz w:val="20"/>
          <w:lang w:bidi="en-US"/>
        </w:rPr>
        <w:t>may involve</w:t>
      </w:r>
      <w:r>
        <w:rPr>
          <w:rFonts w:asciiTheme="minorHAnsi" w:hAnsiTheme="minorHAnsi" w:cstheme="minorHAnsi"/>
          <w:bCs/>
          <w:sz w:val="20"/>
          <w:lang w:bidi="en-US"/>
        </w:rPr>
        <w:t xml:space="preserve"> streamlining claims processes, improving communication channels, or introducing new support mechanisms for injured workers.</w:t>
      </w:r>
    </w:p>
    <w:p w14:paraId="61D90AFF" w14:textId="55314321" w:rsidR="00E829DA" w:rsidRPr="00F82335" w:rsidRDefault="00E829DA" w:rsidP="00F82335">
      <w:pPr>
        <w:pStyle w:val="ListParagraph"/>
        <w:numPr>
          <w:ilvl w:val="0"/>
          <w:numId w:val="40"/>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Post-assessment, detail </w:t>
      </w:r>
      <w:r w:rsidR="00E6614C">
        <w:rPr>
          <w:rFonts w:asciiTheme="minorHAnsi" w:hAnsiTheme="minorHAnsi" w:cstheme="minorHAnsi"/>
          <w:bCs/>
          <w:sz w:val="20"/>
          <w:lang w:bidi="en-US"/>
        </w:rPr>
        <w:t xml:space="preserve">the findings and provide actional recommendations tailored to the specific needs of </w:t>
      </w:r>
      <w:r w:rsidR="002B1A25" w:rsidRPr="002B1A25">
        <w:rPr>
          <w:rFonts w:asciiTheme="minorHAnsi" w:hAnsiTheme="minorHAnsi" w:cstheme="minorHAnsi"/>
          <w:bCs/>
          <w:sz w:val="20"/>
          <w:lang w:bidi="en-US"/>
        </w:rPr>
        <w:t>JBWCP</w:t>
      </w:r>
      <w:r w:rsidR="00E6614C" w:rsidRPr="002B1A25">
        <w:rPr>
          <w:rFonts w:asciiTheme="minorHAnsi" w:hAnsiTheme="minorHAnsi" w:cstheme="minorHAnsi"/>
          <w:bCs/>
          <w:sz w:val="20"/>
          <w:lang w:bidi="en-US"/>
        </w:rPr>
        <w:t>.</w:t>
      </w:r>
    </w:p>
    <w:p w14:paraId="37595F46" w14:textId="29616D8F" w:rsidR="005E3815" w:rsidRDefault="00347393" w:rsidP="005E3815">
      <w:pPr>
        <w:pStyle w:val="ListParagraph"/>
        <w:numPr>
          <w:ilvl w:val="2"/>
          <w:numId w:val="18"/>
        </w:numPr>
        <w:spacing w:before="120" w:after="120"/>
        <w:rPr>
          <w:rFonts w:asciiTheme="minorHAnsi" w:hAnsiTheme="minorHAnsi" w:cstheme="minorHAnsi"/>
          <w:bCs/>
          <w:sz w:val="20"/>
          <w:u w:val="single"/>
          <w:lang w:bidi="en-US"/>
        </w:rPr>
      </w:pPr>
      <w:r>
        <w:rPr>
          <w:rFonts w:asciiTheme="minorHAnsi" w:hAnsiTheme="minorHAnsi" w:cstheme="minorHAnsi"/>
          <w:bCs/>
          <w:sz w:val="20"/>
          <w:u w:val="single"/>
          <w:lang w:bidi="en-US"/>
        </w:rPr>
        <w:t xml:space="preserve">Implementation and </w:t>
      </w:r>
      <w:r w:rsidR="005E3815">
        <w:rPr>
          <w:rFonts w:asciiTheme="minorHAnsi" w:hAnsiTheme="minorHAnsi" w:cstheme="minorHAnsi"/>
          <w:bCs/>
          <w:sz w:val="20"/>
          <w:u w:val="single"/>
          <w:lang w:bidi="en-US"/>
        </w:rPr>
        <w:t>Transition Planning</w:t>
      </w:r>
    </w:p>
    <w:p w14:paraId="481EA774" w14:textId="580EED77" w:rsidR="00347393" w:rsidRDefault="00347393" w:rsidP="005E3815">
      <w:pPr>
        <w:pStyle w:val="ListParagraph"/>
        <w:spacing w:before="120" w:after="120"/>
        <w:ind w:left="1368"/>
        <w:rPr>
          <w:rFonts w:asciiTheme="minorHAnsi" w:hAnsiTheme="minorHAnsi" w:cstheme="minorHAnsi"/>
          <w:bCs/>
          <w:sz w:val="20"/>
          <w:lang w:bidi="en-US"/>
        </w:rPr>
      </w:pPr>
      <w:r>
        <w:rPr>
          <w:rFonts w:asciiTheme="minorHAnsi" w:hAnsiTheme="minorHAnsi" w:cstheme="minorHAnsi"/>
          <w:bCs/>
          <w:sz w:val="20"/>
          <w:lang w:bidi="en-US"/>
        </w:rPr>
        <w:t xml:space="preserve">Implementation </w:t>
      </w:r>
      <w:r w:rsidRPr="00347393">
        <w:rPr>
          <w:rFonts w:asciiTheme="minorHAnsi" w:hAnsiTheme="minorHAnsi" w:cstheme="minorHAnsi"/>
          <w:bCs/>
          <w:sz w:val="20"/>
          <w:lang w:bidi="en-US"/>
        </w:rPr>
        <w:t>services and transition from the current provider as needed. The current service provider will assist in the implementation period, as appropriate.</w:t>
      </w:r>
    </w:p>
    <w:p w14:paraId="7AA8DA6A" w14:textId="219ABBAD" w:rsidR="005E3815" w:rsidRDefault="005E3815" w:rsidP="005E3815">
      <w:pPr>
        <w:pStyle w:val="ListParagraph"/>
        <w:spacing w:before="120" w:after="120"/>
        <w:ind w:left="1368"/>
        <w:rPr>
          <w:rFonts w:asciiTheme="minorHAnsi" w:hAnsiTheme="minorHAnsi" w:cstheme="minorHAnsi"/>
          <w:bCs/>
          <w:sz w:val="20"/>
          <w:lang w:bidi="en-US"/>
        </w:rPr>
      </w:pPr>
      <w:r w:rsidRPr="00537A23">
        <w:rPr>
          <w:rFonts w:asciiTheme="minorHAnsi" w:hAnsiTheme="minorHAnsi" w:cstheme="minorHAnsi"/>
          <w:bCs/>
          <w:sz w:val="20"/>
          <w:lang w:bidi="en-US"/>
        </w:rPr>
        <w:t>Ensure that services provided to the JBWCP are fully transitioned in a smooth and efficient manner to a new service provider. The selected vendor will exercise its best efforts and cooperation to secure an orderly and efficient transition to a successor.</w:t>
      </w:r>
    </w:p>
    <w:p w14:paraId="3AD01A7B" w14:textId="77777777" w:rsidR="005E3815" w:rsidRPr="00641654" w:rsidRDefault="005E3815" w:rsidP="005E3815">
      <w:pPr>
        <w:pStyle w:val="ListParagraph"/>
        <w:numPr>
          <w:ilvl w:val="2"/>
          <w:numId w:val="18"/>
        </w:numPr>
        <w:rPr>
          <w:rFonts w:asciiTheme="minorHAnsi" w:hAnsiTheme="minorHAnsi" w:cstheme="minorHAnsi"/>
          <w:bCs/>
          <w:sz w:val="20"/>
          <w:lang w:bidi="en-US"/>
        </w:rPr>
      </w:pPr>
      <w:r w:rsidRPr="00641654">
        <w:rPr>
          <w:rFonts w:asciiTheme="minorHAnsi" w:hAnsiTheme="minorHAnsi" w:cstheme="minorHAnsi"/>
          <w:bCs/>
          <w:sz w:val="20"/>
          <w:lang w:bidi="en-US"/>
        </w:rPr>
        <w:t xml:space="preserve">The Contractor shall have security measures in place to protect confidential information, including personnel and medical information, from unauthorized use, </w:t>
      </w:r>
      <w:proofErr w:type="gramStart"/>
      <w:r w:rsidRPr="00641654">
        <w:rPr>
          <w:rFonts w:asciiTheme="minorHAnsi" w:hAnsiTheme="minorHAnsi" w:cstheme="minorHAnsi"/>
          <w:bCs/>
          <w:sz w:val="20"/>
          <w:lang w:bidi="en-US"/>
        </w:rPr>
        <w:t>access</w:t>
      </w:r>
      <w:proofErr w:type="gramEnd"/>
      <w:r w:rsidRPr="00641654">
        <w:rPr>
          <w:rFonts w:asciiTheme="minorHAnsi" w:hAnsiTheme="minorHAnsi" w:cstheme="minorHAnsi"/>
          <w:bCs/>
          <w:sz w:val="20"/>
          <w:lang w:bidi="en-US"/>
        </w:rPr>
        <w:t xml:space="preserve"> or disclosure.</w:t>
      </w:r>
    </w:p>
    <w:p w14:paraId="125143A3" w14:textId="50AAC736"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 xml:space="preserve">e and </w:t>
      </w:r>
      <w:r w:rsidR="00C1317B" w:rsidRPr="00774ADF">
        <w:rPr>
          <w:rFonts w:asciiTheme="minorHAnsi" w:hAnsiTheme="minorHAnsi" w:cstheme="minorHAnsi"/>
          <w:bCs/>
          <w:sz w:val="20"/>
          <w:lang w:bidi="en-US"/>
        </w:rPr>
        <w:t>Signoff Form</w:t>
      </w:r>
      <w:r w:rsidR="00774ADF" w:rsidRPr="00774ADF">
        <w:rPr>
          <w:rFonts w:asciiTheme="minorHAnsi" w:hAnsiTheme="minorHAnsi" w:cstheme="minorHAnsi"/>
          <w:bCs/>
          <w:sz w:val="20"/>
          <w:lang w:bidi="en-US"/>
        </w:rPr>
        <w:t xml:space="preserve"> (</w:t>
      </w:r>
      <w:r w:rsidR="00774ADF" w:rsidRPr="00774ADF">
        <w:rPr>
          <w:rFonts w:asciiTheme="minorHAnsi" w:hAnsiTheme="minorHAnsi" w:cstheme="minorHAnsi"/>
          <w:b/>
          <w:sz w:val="20"/>
          <w:lang w:bidi="en-US"/>
        </w:rPr>
        <w:t>Attachment 1</w:t>
      </w:r>
      <w:r w:rsidR="00774ADF" w:rsidRPr="00774ADF">
        <w:rPr>
          <w:rFonts w:asciiTheme="minorHAnsi" w:hAnsiTheme="minorHAnsi" w:cstheme="minorHAnsi"/>
          <w:bCs/>
          <w:sz w:val="20"/>
          <w:lang w:bidi="en-US"/>
        </w:rPr>
        <w:t>)</w:t>
      </w:r>
      <w:r w:rsidR="00C1317B" w:rsidRPr="00774ADF">
        <w:rPr>
          <w:rFonts w:asciiTheme="minorHAnsi" w:hAnsiTheme="minorHAnsi" w:cstheme="minorHAnsi"/>
          <w:bCs/>
          <w:sz w:val="20"/>
          <w:lang w:bidi="en-US"/>
        </w:rPr>
        <w:t xml:space="preserve"> </w:t>
      </w:r>
      <w:r w:rsidR="00C1317B" w:rsidRPr="00C1317B">
        <w:rPr>
          <w:rFonts w:asciiTheme="minorHAnsi" w:hAnsiTheme="minorHAnsi" w:cstheme="minorHAnsi"/>
          <w:bCs/>
          <w:sz w:val="20"/>
          <w:lang w:bidi="en-US"/>
        </w:rPr>
        <w:t>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73EDC3B3" w14:textId="77777777" w:rsidR="00517EBD" w:rsidRPr="00C622D7" w:rsidRDefault="00517EBD" w:rsidP="00517EBD">
      <w:pPr>
        <w:pStyle w:val="ListParagraph"/>
        <w:numPr>
          <w:ilvl w:val="2"/>
          <w:numId w:val="18"/>
        </w:numPr>
        <w:spacing w:before="120" w:after="120"/>
        <w:rPr>
          <w:rFonts w:asciiTheme="minorHAnsi" w:hAnsiTheme="minorHAnsi" w:cstheme="minorHAnsi"/>
          <w:bCs/>
          <w:sz w:val="20"/>
          <w:u w:val="single"/>
          <w:lang w:bidi="en-US"/>
        </w:rPr>
      </w:pPr>
      <w:r w:rsidRPr="008D4DA7">
        <w:rPr>
          <w:rFonts w:asciiTheme="minorHAnsi" w:hAnsiTheme="minorHAnsi" w:cstheme="minorHAnsi"/>
          <w:b/>
          <w:bCs/>
          <w:sz w:val="20"/>
          <w:u w:val="single"/>
          <w:lang w:bidi="en-US"/>
        </w:rPr>
        <w:t>Annual Audit:</w:t>
      </w:r>
      <w:r w:rsidRPr="00C622D7">
        <w:rPr>
          <w:rFonts w:asciiTheme="minorHAnsi" w:hAnsiTheme="minorHAnsi" w:cstheme="minorHAnsi"/>
          <w:bCs/>
          <w:sz w:val="20"/>
          <w:u w:val="single"/>
          <w:lang w:bidi="en-US"/>
        </w:rPr>
        <w:t xml:space="preserve"> </w:t>
      </w:r>
      <w:r w:rsidRPr="008D4DA7">
        <w:rPr>
          <w:rFonts w:asciiTheme="minorHAnsi" w:hAnsiTheme="minorHAnsi" w:cstheme="minorHAnsi"/>
          <w:bCs/>
          <w:sz w:val="20"/>
          <w:lang w:bidi="en-US"/>
        </w:rPr>
        <w:t>Shall be invoiced after the presentation of Audit Findings has been reviewed and accepted by JBWCP Staff.</w:t>
      </w:r>
    </w:p>
    <w:p w14:paraId="03798CF0" w14:textId="77777777" w:rsidR="00517EBD" w:rsidRPr="003F3074" w:rsidRDefault="00517EBD" w:rsidP="00517EBD">
      <w:pPr>
        <w:pStyle w:val="ListParagraph"/>
        <w:numPr>
          <w:ilvl w:val="0"/>
          <w:numId w:val="38"/>
        </w:numPr>
        <w:spacing w:before="120" w:after="120"/>
        <w:rPr>
          <w:rFonts w:asciiTheme="minorHAnsi" w:hAnsiTheme="minorHAnsi" w:cstheme="minorHAnsi"/>
          <w:bCs/>
          <w:sz w:val="20"/>
          <w:lang w:bidi="en-US"/>
        </w:rPr>
      </w:pPr>
      <w:r w:rsidRPr="003F3074">
        <w:rPr>
          <w:rFonts w:asciiTheme="minorHAnsi" w:hAnsiTheme="minorHAnsi" w:cstheme="minorHAnsi"/>
          <w:bCs/>
          <w:sz w:val="20"/>
          <w:lang w:bidi="en-US"/>
        </w:rPr>
        <w:t>TPA’s Workers’ Compensation Claims’ handling process</w:t>
      </w:r>
    </w:p>
    <w:p w14:paraId="69207DAB" w14:textId="77777777" w:rsidR="00517EBD" w:rsidRDefault="00517EBD" w:rsidP="00517EBD">
      <w:pPr>
        <w:pStyle w:val="ListParagraph"/>
        <w:numPr>
          <w:ilvl w:val="0"/>
          <w:numId w:val="38"/>
        </w:numPr>
        <w:spacing w:before="120" w:after="120"/>
        <w:rPr>
          <w:rFonts w:asciiTheme="minorHAnsi" w:hAnsiTheme="minorHAnsi" w:cstheme="minorHAnsi"/>
          <w:bCs/>
          <w:sz w:val="20"/>
          <w:lang w:bidi="en-US"/>
        </w:rPr>
      </w:pPr>
      <w:r>
        <w:rPr>
          <w:rFonts w:asciiTheme="minorHAnsi" w:hAnsiTheme="minorHAnsi" w:cstheme="minorHAnsi"/>
          <w:bCs/>
          <w:sz w:val="20"/>
          <w:lang w:bidi="en-US"/>
        </w:rPr>
        <w:t>Case Management Program</w:t>
      </w:r>
    </w:p>
    <w:p w14:paraId="1E8208F3" w14:textId="77777777" w:rsidR="00517EBD" w:rsidRPr="003861F7" w:rsidRDefault="00517EBD" w:rsidP="00517EBD">
      <w:pPr>
        <w:pStyle w:val="ListParagraph"/>
        <w:numPr>
          <w:ilvl w:val="0"/>
          <w:numId w:val="38"/>
        </w:numPr>
        <w:spacing w:before="120" w:after="120"/>
        <w:rPr>
          <w:rFonts w:asciiTheme="minorHAnsi" w:hAnsiTheme="minorHAnsi" w:cstheme="minorHAnsi"/>
          <w:bCs/>
          <w:sz w:val="20"/>
          <w:lang w:bidi="en-US"/>
        </w:rPr>
      </w:pPr>
      <w:r>
        <w:rPr>
          <w:rFonts w:asciiTheme="minorHAnsi" w:hAnsiTheme="minorHAnsi" w:cstheme="minorHAnsi"/>
          <w:bCs/>
          <w:sz w:val="20"/>
          <w:lang w:bidi="en-US"/>
        </w:rPr>
        <w:t>Presentation of Audit findings</w:t>
      </w:r>
    </w:p>
    <w:p w14:paraId="7D9E2778" w14:textId="77777777" w:rsidR="00517EBD" w:rsidRPr="00364F0E" w:rsidRDefault="00517EBD" w:rsidP="00517EBD">
      <w:pPr>
        <w:pStyle w:val="ListParagraph"/>
        <w:numPr>
          <w:ilvl w:val="2"/>
          <w:numId w:val="18"/>
        </w:numPr>
        <w:spacing w:before="120" w:after="120"/>
        <w:rPr>
          <w:rFonts w:asciiTheme="minorHAnsi" w:hAnsiTheme="minorHAnsi" w:cstheme="minorHAnsi"/>
          <w:bCs/>
          <w:sz w:val="20"/>
          <w:lang w:bidi="en-US"/>
        </w:rPr>
      </w:pPr>
      <w:r w:rsidRPr="008D4DA7">
        <w:rPr>
          <w:rFonts w:asciiTheme="minorHAnsi" w:hAnsiTheme="minorHAnsi" w:cstheme="minorHAnsi"/>
          <w:b/>
          <w:bCs/>
          <w:sz w:val="20"/>
          <w:u w:val="single"/>
          <w:lang w:bidi="en-US"/>
        </w:rPr>
        <w:t>Spot Checks</w:t>
      </w:r>
      <w:r w:rsidRPr="00C622D7">
        <w:rPr>
          <w:rFonts w:asciiTheme="minorHAnsi" w:hAnsiTheme="minorHAnsi" w:cstheme="minorHAnsi"/>
          <w:bCs/>
          <w:sz w:val="20"/>
          <w:u w:val="single"/>
          <w:lang w:bidi="en-US"/>
        </w:rPr>
        <w:t xml:space="preserve">: </w:t>
      </w:r>
      <w:r w:rsidRPr="00364F0E">
        <w:rPr>
          <w:rFonts w:asciiTheme="minorHAnsi" w:hAnsiTheme="minorHAnsi" w:cstheme="minorHAnsi"/>
          <w:bCs/>
          <w:sz w:val="20"/>
          <w:lang w:bidi="en-US"/>
        </w:rPr>
        <w:t>Shall be invoiced after the presentation of Audit Findings has been reviewed and accepted by JBWCP Staff.</w:t>
      </w:r>
    </w:p>
    <w:p w14:paraId="375D1497" w14:textId="77777777" w:rsidR="00517EBD" w:rsidRDefault="00517EBD" w:rsidP="00517EBD">
      <w:pPr>
        <w:pStyle w:val="ListParagraph"/>
        <w:numPr>
          <w:ilvl w:val="0"/>
          <w:numId w:val="39"/>
        </w:numPr>
        <w:spacing w:before="120" w:after="120"/>
        <w:rPr>
          <w:rFonts w:asciiTheme="minorHAnsi" w:hAnsiTheme="minorHAnsi" w:cstheme="minorHAnsi"/>
          <w:bCs/>
          <w:sz w:val="20"/>
          <w:lang w:bidi="en-US"/>
        </w:rPr>
      </w:pPr>
      <w:r w:rsidRPr="003F3074">
        <w:rPr>
          <w:rFonts w:asciiTheme="minorHAnsi" w:hAnsiTheme="minorHAnsi" w:cstheme="minorHAnsi"/>
          <w:bCs/>
          <w:sz w:val="20"/>
          <w:lang w:bidi="en-US"/>
        </w:rPr>
        <w:t>R</w:t>
      </w:r>
      <w:r>
        <w:rPr>
          <w:rFonts w:asciiTheme="minorHAnsi" w:hAnsiTheme="minorHAnsi" w:cstheme="minorHAnsi"/>
          <w:bCs/>
          <w:sz w:val="20"/>
          <w:lang w:bidi="en-US"/>
        </w:rPr>
        <w:t xml:space="preserve">andomized, informal spot </w:t>
      </w:r>
      <w:proofErr w:type="gramStart"/>
      <w:r>
        <w:rPr>
          <w:rFonts w:asciiTheme="minorHAnsi" w:hAnsiTheme="minorHAnsi" w:cstheme="minorHAnsi"/>
          <w:bCs/>
          <w:sz w:val="20"/>
          <w:lang w:bidi="en-US"/>
        </w:rPr>
        <w:t>checks</w:t>
      </w:r>
      <w:proofErr w:type="gramEnd"/>
    </w:p>
    <w:p w14:paraId="08EBB136" w14:textId="77777777" w:rsidR="00517EBD" w:rsidRDefault="00517EBD" w:rsidP="00517EBD">
      <w:pPr>
        <w:pStyle w:val="ListParagraph"/>
        <w:numPr>
          <w:ilvl w:val="0"/>
          <w:numId w:val="39"/>
        </w:numPr>
        <w:spacing w:before="120" w:after="120"/>
        <w:rPr>
          <w:rFonts w:asciiTheme="minorHAnsi" w:hAnsiTheme="minorHAnsi" w:cstheme="minorHAnsi"/>
          <w:bCs/>
          <w:sz w:val="20"/>
          <w:lang w:bidi="en-US"/>
        </w:rPr>
      </w:pPr>
      <w:r>
        <w:rPr>
          <w:rFonts w:asciiTheme="minorHAnsi" w:hAnsiTheme="minorHAnsi" w:cstheme="minorHAnsi"/>
          <w:bCs/>
          <w:sz w:val="20"/>
          <w:lang w:bidi="en-US"/>
        </w:rPr>
        <w:lastRenderedPageBreak/>
        <w:t xml:space="preserve">One off claims </w:t>
      </w:r>
      <w:proofErr w:type="gramStart"/>
      <w:r>
        <w:rPr>
          <w:rFonts w:asciiTheme="minorHAnsi" w:hAnsiTheme="minorHAnsi" w:cstheme="minorHAnsi"/>
          <w:bCs/>
          <w:sz w:val="20"/>
          <w:lang w:bidi="en-US"/>
        </w:rPr>
        <w:t>reviews</w:t>
      </w:r>
      <w:proofErr w:type="gramEnd"/>
    </w:p>
    <w:p w14:paraId="54FA1B9D" w14:textId="77777777" w:rsidR="00517EBD" w:rsidRPr="003F3074" w:rsidRDefault="00517EBD" w:rsidP="00517EBD">
      <w:pPr>
        <w:pStyle w:val="ListParagraph"/>
        <w:numPr>
          <w:ilvl w:val="0"/>
          <w:numId w:val="39"/>
        </w:numPr>
        <w:spacing w:before="120" w:after="120"/>
        <w:rPr>
          <w:rFonts w:asciiTheme="minorHAnsi" w:hAnsiTheme="minorHAnsi" w:cstheme="minorHAnsi"/>
          <w:bCs/>
          <w:sz w:val="20"/>
          <w:lang w:bidi="en-US"/>
        </w:rPr>
      </w:pPr>
      <w:r>
        <w:rPr>
          <w:rFonts w:asciiTheme="minorHAnsi" w:hAnsiTheme="minorHAnsi" w:cstheme="minorHAnsi"/>
          <w:bCs/>
          <w:sz w:val="20"/>
          <w:lang w:bidi="en-US"/>
        </w:rPr>
        <w:t>Presentation of Audit Findings</w:t>
      </w:r>
    </w:p>
    <w:p w14:paraId="1A023C51" w14:textId="77777777" w:rsidR="00517EBD" w:rsidRPr="008D4DA7" w:rsidRDefault="00517EBD" w:rsidP="00517EBD">
      <w:pPr>
        <w:pStyle w:val="ListParagraph"/>
        <w:numPr>
          <w:ilvl w:val="2"/>
          <w:numId w:val="18"/>
        </w:numPr>
        <w:spacing w:before="120" w:after="120"/>
        <w:rPr>
          <w:rFonts w:asciiTheme="minorHAnsi" w:hAnsiTheme="minorHAnsi" w:cstheme="minorHAnsi"/>
          <w:bCs/>
          <w:sz w:val="20"/>
          <w:lang w:bidi="en-US"/>
        </w:rPr>
      </w:pPr>
      <w:r w:rsidRPr="008D4DA7">
        <w:rPr>
          <w:rFonts w:asciiTheme="minorHAnsi" w:hAnsiTheme="minorHAnsi" w:cstheme="minorHAnsi"/>
          <w:b/>
          <w:bCs/>
          <w:sz w:val="20"/>
          <w:u w:val="single"/>
          <w:lang w:bidi="en-US"/>
        </w:rPr>
        <w:t>Audit Findings Report Drafts and Final:</w:t>
      </w:r>
      <w:r w:rsidRPr="008D4DA7">
        <w:rPr>
          <w:rFonts w:asciiTheme="minorHAnsi" w:hAnsiTheme="minorHAnsi" w:cstheme="minorHAnsi"/>
          <w:bCs/>
          <w:sz w:val="20"/>
          <w:u w:val="single"/>
          <w:lang w:bidi="en-US"/>
        </w:rPr>
        <w:t xml:space="preserve"> </w:t>
      </w:r>
      <w:r w:rsidRPr="008D4DA7">
        <w:rPr>
          <w:rFonts w:asciiTheme="minorHAnsi" w:hAnsiTheme="minorHAnsi" w:cstheme="minorHAnsi"/>
          <w:bCs/>
          <w:sz w:val="20"/>
          <w:lang w:bidi="en-US"/>
        </w:rPr>
        <w:t>Shall be invoiced after the final Audit Findings report has been reviewed and accepted by JBWCP Staff.</w:t>
      </w:r>
    </w:p>
    <w:p w14:paraId="62D0A094" w14:textId="77777777" w:rsidR="00517EBD" w:rsidRPr="008D4DA7" w:rsidRDefault="00517EBD" w:rsidP="00517EBD">
      <w:pPr>
        <w:pStyle w:val="ListParagraph"/>
        <w:numPr>
          <w:ilvl w:val="2"/>
          <w:numId w:val="18"/>
        </w:numPr>
        <w:spacing w:before="120" w:after="120"/>
        <w:rPr>
          <w:rFonts w:asciiTheme="minorHAnsi" w:hAnsiTheme="minorHAnsi" w:cstheme="minorHAnsi"/>
          <w:bCs/>
          <w:sz w:val="20"/>
          <w:lang w:bidi="en-US"/>
        </w:rPr>
      </w:pPr>
      <w:r w:rsidRPr="008D4DA7">
        <w:rPr>
          <w:rFonts w:asciiTheme="minorHAnsi" w:hAnsiTheme="minorHAnsi" w:cstheme="minorHAnsi"/>
          <w:b/>
          <w:bCs/>
          <w:sz w:val="20"/>
          <w:u w:val="single"/>
          <w:lang w:bidi="en-US"/>
        </w:rPr>
        <w:t>Program Consultation and Presentation as needed</w:t>
      </w:r>
      <w:r w:rsidRPr="008D4DA7">
        <w:rPr>
          <w:rFonts w:asciiTheme="minorHAnsi" w:hAnsiTheme="minorHAnsi" w:cstheme="minorHAnsi"/>
          <w:bCs/>
          <w:sz w:val="20"/>
          <w:u w:val="single"/>
          <w:lang w:bidi="en-US"/>
        </w:rPr>
        <w:t xml:space="preserve">: </w:t>
      </w:r>
      <w:r w:rsidRPr="008D4DA7">
        <w:rPr>
          <w:rFonts w:asciiTheme="minorHAnsi" w:hAnsiTheme="minorHAnsi" w:cstheme="minorHAnsi"/>
          <w:bCs/>
          <w:sz w:val="20"/>
          <w:lang w:bidi="en-US"/>
        </w:rPr>
        <w:t>Detailed invoices shall be submitted monthly identifying key staff and hours.</w:t>
      </w:r>
    </w:p>
    <w:p w14:paraId="63559B65" w14:textId="4C490C23" w:rsidR="00C4177B" w:rsidRPr="00517EBD" w:rsidRDefault="003145FD" w:rsidP="005A348A">
      <w:pPr>
        <w:pStyle w:val="ListParagraph"/>
        <w:numPr>
          <w:ilvl w:val="1"/>
          <w:numId w:val="18"/>
        </w:numPr>
        <w:spacing w:before="120" w:after="120"/>
        <w:rPr>
          <w:rFonts w:asciiTheme="minorHAnsi" w:hAnsiTheme="minorHAnsi" w:cstheme="minorHAnsi"/>
          <w:bCs/>
          <w:sz w:val="20"/>
          <w:u w:val="single"/>
          <w:lang w:bidi="en-US"/>
        </w:rPr>
      </w:pPr>
      <w:r w:rsidRPr="00517EBD">
        <w:rPr>
          <w:rFonts w:asciiTheme="minorHAnsi" w:hAnsiTheme="minorHAnsi" w:cstheme="minorHAnsi"/>
          <w:i/>
          <w:sz w:val="20"/>
        </w:rPr>
        <w:t xml:space="preserve"> </w:t>
      </w:r>
      <w:r w:rsidR="00927DC6" w:rsidRPr="00517EBD">
        <w:rPr>
          <w:rFonts w:asciiTheme="minorHAnsi" w:hAnsiTheme="minorHAnsi" w:cstheme="minorHAnsi"/>
          <w:b/>
          <w:bCs/>
          <w:sz w:val="20"/>
          <w:lang w:bidi="en-US"/>
        </w:rPr>
        <w:t>Timeline</w:t>
      </w:r>
      <w:r w:rsidR="00C4177B" w:rsidRPr="00517EBD">
        <w:rPr>
          <w:rFonts w:asciiTheme="minorHAnsi" w:hAnsiTheme="minorHAnsi" w:cstheme="minorHAnsi"/>
          <w:b/>
          <w:bCs/>
          <w:sz w:val="20"/>
          <w:lang w:bidi="en-US"/>
        </w:rPr>
        <w:t xml:space="preserve">. </w:t>
      </w:r>
      <w:r w:rsidR="00570F30" w:rsidRPr="00517EBD">
        <w:rPr>
          <w:rFonts w:asciiTheme="minorHAnsi" w:hAnsiTheme="minorHAnsi" w:cstheme="minorHAnsi"/>
          <w:b/>
          <w:bCs/>
          <w:sz w:val="20"/>
          <w:lang w:bidi="en-US"/>
        </w:rPr>
        <w:t xml:space="preserve"> </w:t>
      </w:r>
      <w:r w:rsidR="00445058" w:rsidRPr="00517EBD">
        <w:rPr>
          <w:rFonts w:asciiTheme="minorHAnsi" w:hAnsiTheme="minorHAnsi" w:cstheme="minorHAnsi"/>
          <w:sz w:val="20"/>
        </w:rPr>
        <w:t>Contractor</w:t>
      </w:r>
      <w:r w:rsidR="00927DC6" w:rsidRPr="00517EBD">
        <w:rPr>
          <w:rFonts w:asciiTheme="minorHAnsi" w:hAnsiTheme="minorHAnsi" w:cstheme="minorHAnsi"/>
          <w:sz w:val="20"/>
        </w:rPr>
        <w:t xml:space="preserve"> must perform the Services and deliver the Deliverables according to the following timeline:</w:t>
      </w:r>
    </w:p>
    <w:p w14:paraId="656C32A3" w14:textId="45BBFDDB" w:rsidR="002B222C" w:rsidRPr="00913586" w:rsidRDefault="002B222C" w:rsidP="002B222C">
      <w:pPr>
        <w:pStyle w:val="ListParagraph"/>
        <w:numPr>
          <w:ilvl w:val="0"/>
          <w:numId w:val="21"/>
        </w:numPr>
        <w:spacing w:before="120" w:after="120"/>
        <w:ind w:left="1260"/>
        <w:rPr>
          <w:rFonts w:asciiTheme="minorHAnsi" w:hAnsiTheme="minorHAnsi" w:cstheme="minorHAnsi"/>
          <w:sz w:val="20"/>
        </w:rPr>
      </w:pPr>
      <w:r w:rsidRPr="00616485">
        <w:rPr>
          <w:rFonts w:asciiTheme="minorHAnsi" w:hAnsiTheme="minorHAnsi" w:cstheme="minorHAnsi"/>
          <w:sz w:val="20"/>
        </w:rPr>
        <w:t>The</w:t>
      </w:r>
      <w:r>
        <w:rPr>
          <w:rFonts w:asciiTheme="minorHAnsi" w:hAnsiTheme="minorHAnsi" w:cstheme="minorHAnsi"/>
          <w:sz w:val="20"/>
        </w:rPr>
        <w:t xml:space="preserve"> Audit Findings </w:t>
      </w:r>
      <w:r w:rsidRPr="00616485">
        <w:rPr>
          <w:rFonts w:asciiTheme="minorHAnsi" w:hAnsiTheme="minorHAnsi" w:cstheme="minorHAnsi"/>
          <w:sz w:val="20"/>
        </w:rPr>
        <w:t>Report</w:t>
      </w:r>
      <w:r>
        <w:rPr>
          <w:rFonts w:asciiTheme="minorHAnsi" w:hAnsiTheme="minorHAnsi" w:cstheme="minorHAnsi"/>
          <w:sz w:val="20"/>
        </w:rPr>
        <w:t xml:space="preserve"> </w:t>
      </w:r>
      <w:r w:rsidRPr="00616485">
        <w:rPr>
          <w:rFonts w:asciiTheme="minorHAnsi" w:hAnsiTheme="minorHAnsi" w:cstheme="minorHAnsi"/>
          <w:sz w:val="20"/>
        </w:rPr>
        <w:t>draft</w:t>
      </w:r>
      <w:r>
        <w:rPr>
          <w:rFonts w:asciiTheme="minorHAnsi" w:hAnsiTheme="minorHAnsi" w:cstheme="minorHAnsi"/>
          <w:sz w:val="20"/>
        </w:rPr>
        <w:t xml:space="preserve"> to the JBWCP</w:t>
      </w:r>
      <w:r w:rsidRPr="00616485">
        <w:rPr>
          <w:rFonts w:asciiTheme="minorHAnsi" w:hAnsiTheme="minorHAnsi" w:cstheme="minorHAnsi"/>
          <w:sz w:val="20"/>
        </w:rPr>
        <w:t xml:space="preserve"> is due no later </w:t>
      </w:r>
      <w:r>
        <w:rPr>
          <w:rFonts w:asciiTheme="minorHAnsi" w:hAnsiTheme="minorHAnsi" w:cstheme="minorHAnsi"/>
          <w:sz w:val="20"/>
        </w:rPr>
        <w:t xml:space="preserve">than </w:t>
      </w:r>
      <w:r w:rsidRPr="00595CB2">
        <w:rPr>
          <w:rFonts w:asciiTheme="minorHAnsi" w:hAnsiTheme="minorHAnsi" w:cstheme="minorHAnsi"/>
          <w:b/>
          <w:sz w:val="20"/>
        </w:rPr>
        <w:t>45 days</w:t>
      </w:r>
      <w:r>
        <w:rPr>
          <w:rFonts w:asciiTheme="minorHAnsi" w:hAnsiTheme="minorHAnsi" w:cstheme="minorHAnsi"/>
          <w:sz w:val="20"/>
        </w:rPr>
        <w:t xml:space="preserve"> post the audit’s conclusion.</w:t>
      </w:r>
    </w:p>
    <w:p w14:paraId="38A3001B" w14:textId="75090051" w:rsidR="002B222C" w:rsidRPr="002B222C" w:rsidRDefault="002B222C" w:rsidP="002B222C">
      <w:pPr>
        <w:pStyle w:val="ListParagraph"/>
        <w:numPr>
          <w:ilvl w:val="0"/>
          <w:numId w:val="21"/>
        </w:numPr>
        <w:spacing w:before="120" w:after="120"/>
        <w:ind w:left="1260"/>
        <w:rPr>
          <w:rFonts w:asciiTheme="minorHAnsi" w:hAnsiTheme="minorHAnsi" w:cstheme="minorHAnsi"/>
          <w:sz w:val="20"/>
        </w:rPr>
      </w:pPr>
      <w:r w:rsidRPr="00616485">
        <w:rPr>
          <w:rFonts w:asciiTheme="minorHAnsi" w:hAnsiTheme="minorHAnsi" w:cstheme="minorHAnsi"/>
          <w:sz w:val="20"/>
        </w:rPr>
        <w:t xml:space="preserve">The </w:t>
      </w:r>
      <w:r>
        <w:rPr>
          <w:rFonts w:asciiTheme="minorHAnsi" w:hAnsiTheme="minorHAnsi" w:cstheme="minorHAnsi"/>
          <w:sz w:val="20"/>
        </w:rPr>
        <w:t>F</w:t>
      </w:r>
      <w:r w:rsidRPr="00616485">
        <w:rPr>
          <w:rFonts w:asciiTheme="minorHAnsi" w:hAnsiTheme="minorHAnsi" w:cstheme="minorHAnsi"/>
          <w:sz w:val="20"/>
        </w:rPr>
        <w:t>inal</w:t>
      </w:r>
      <w:r>
        <w:rPr>
          <w:rFonts w:asciiTheme="minorHAnsi" w:hAnsiTheme="minorHAnsi" w:cstheme="minorHAnsi"/>
          <w:sz w:val="20"/>
        </w:rPr>
        <w:t xml:space="preserve"> Audit Findings Report to the JBWCP is due no later than </w:t>
      </w:r>
      <w:r w:rsidRPr="00595CB2">
        <w:rPr>
          <w:rFonts w:asciiTheme="minorHAnsi" w:hAnsiTheme="minorHAnsi" w:cstheme="minorHAnsi"/>
          <w:b/>
          <w:sz w:val="20"/>
        </w:rPr>
        <w:t>70 days</w:t>
      </w:r>
      <w:r>
        <w:rPr>
          <w:rFonts w:asciiTheme="minorHAnsi" w:hAnsiTheme="minorHAnsi" w:cstheme="minorHAnsi"/>
          <w:sz w:val="20"/>
        </w:rPr>
        <w:t xml:space="preserve"> post the audit’s conclusion.</w:t>
      </w:r>
    </w:p>
    <w:p w14:paraId="3AFC2B59" w14:textId="1583BCAF"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 xml:space="preserve">’s project manager </w:t>
      </w:r>
      <w:proofErr w:type="gramStart"/>
      <w:r w:rsidRPr="00D1622D">
        <w:rPr>
          <w:rFonts w:asciiTheme="minorHAnsi" w:hAnsiTheme="minorHAnsi" w:cstheme="minorHAnsi"/>
          <w:sz w:val="20"/>
        </w:rPr>
        <w:t>is:</w:t>
      </w:r>
      <w:proofErr w:type="gramEnd"/>
      <w:r w:rsidRPr="00152E34">
        <w:rPr>
          <w:rFonts w:asciiTheme="minorHAnsi" w:hAnsiTheme="minorHAnsi" w:cstheme="minorHAnsi"/>
          <w:sz w:val="20"/>
        </w:rPr>
        <w:t xml:space="preserve"> </w:t>
      </w:r>
      <w:r w:rsidR="002B222C">
        <w:rPr>
          <w:rFonts w:asciiTheme="minorHAnsi" w:hAnsiTheme="minorHAnsi" w:cstheme="minorHAnsi"/>
          <w:b/>
          <w:sz w:val="20"/>
        </w:rPr>
        <w:t>Edward Metro</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lastRenderedPageBreak/>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9"/>
          <w:type w:val="continuous"/>
          <w:pgSz w:w="12240" w:h="15840"/>
          <w:pgMar w:top="1440" w:right="1440" w:bottom="1440" w:left="1440" w:header="720" w:footer="720" w:gutter="0"/>
          <w:pgNumType w:start="1"/>
          <w:cols w:space="720"/>
          <w:docGrid w:linePitch="360"/>
        </w:sect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2867F1E4" w:rsidR="00C36343" w:rsidRPr="0029624C"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29624C">
        <w:rPr>
          <w:rFonts w:asciiTheme="minorHAnsi" w:hAnsiTheme="minorHAnsi" w:cstheme="minorHAnsi"/>
          <w:bCs/>
          <w:sz w:val="20"/>
        </w:rPr>
        <w:t>Contractor</w:t>
      </w:r>
      <w:r w:rsidR="0029624C" w:rsidRPr="0029624C">
        <w:rPr>
          <w:rFonts w:asciiTheme="minorHAnsi" w:hAnsiTheme="minorHAnsi" w:cstheme="minorHAnsi"/>
          <w:bCs/>
          <w:sz w:val="20"/>
        </w:rPr>
        <w:t xml:space="preserve"> </w:t>
      </w:r>
      <w:r w:rsidR="0029624C">
        <w:rPr>
          <w:rFonts w:asciiTheme="minorHAnsi" w:hAnsiTheme="minorHAnsi" w:cstheme="minorHAnsi"/>
          <w:bCs/>
          <w:sz w:val="20"/>
        </w:rPr>
        <w:t>will invoice</w:t>
      </w:r>
      <w:r w:rsidR="0029624C" w:rsidRPr="0029624C">
        <w:rPr>
          <w:rFonts w:asciiTheme="minorHAnsi" w:hAnsiTheme="minorHAnsi" w:cstheme="minorHAnsi"/>
          <w:bCs/>
          <w:sz w:val="20"/>
        </w:rPr>
        <w:t xml:space="preserve"> based on the hourly rate</w:t>
      </w:r>
      <w:r w:rsidR="0029624C">
        <w:rPr>
          <w:rFonts w:asciiTheme="minorHAnsi" w:hAnsiTheme="minorHAnsi" w:cstheme="minorHAnsi"/>
          <w:bCs/>
          <w:sz w:val="20"/>
        </w:rPr>
        <w:t>s set forth in Table 1 below</w:t>
      </w:r>
      <w:r w:rsidR="0029624C" w:rsidRPr="0029624C">
        <w:rPr>
          <w:rFonts w:asciiTheme="minorHAnsi" w:hAnsiTheme="minorHAnsi" w:cstheme="minorHAnsi"/>
          <w:bCs/>
          <w:sz w:val="20"/>
        </w:rPr>
        <w:t xml:space="preserve"> and </w:t>
      </w:r>
      <w:r w:rsidR="0029624C">
        <w:rPr>
          <w:rFonts w:asciiTheme="minorHAnsi" w:hAnsiTheme="minorHAnsi" w:cstheme="minorHAnsi"/>
          <w:bCs/>
          <w:sz w:val="20"/>
        </w:rPr>
        <w:t xml:space="preserve">the </w:t>
      </w:r>
      <w:r w:rsidR="0029624C" w:rsidRPr="0029624C">
        <w:rPr>
          <w:rFonts w:asciiTheme="minorHAnsi" w:hAnsiTheme="minorHAnsi" w:cstheme="minorHAnsi"/>
          <w:bCs/>
          <w:sz w:val="20"/>
        </w:rPr>
        <w:t>actual hours of services rendered for each deliverable</w:t>
      </w:r>
      <w:r w:rsidR="0029624C">
        <w:rPr>
          <w:rFonts w:asciiTheme="minorHAnsi" w:hAnsiTheme="minorHAnsi" w:cstheme="minorHAnsi"/>
          <w:bCs/>
          <w:sz w:val="20"/>
        </w:rPr>
        <w:t xml:space="preserve"> the JBE has accepted.</w:t>
      </w:r>
    </w:p>
    <w:p w14:paraId="240FCD2C" w14:textId="15EDE03A" w:rsidR="0029624C" w:rsidRPr="00ED11D1" w:rsidRDefault="0029624C" w:rsidP="00ED11D1">
      <w:pPr>
        <w:pStyle w:val="ListParagraph"/>
        <w:numPr>
          <w:ilvl w:val="0"/>
          <w:numId w:val="41"/>
        </w:numPr>
        <w:spacing w:before="120" w:after="120"/>
        <w:rPr>
          <w:rFonts w:asciiTheme="minorHAnsi" w:hAnsiTheme="minorHAnsi" w:cstheme="minorHAnsi"/>
          <w:sz w:val="20"/>
        </w:rPr>
      </w:pPr>
      <w:r w:rsidRPr="00ED11D1">
        <w:rPr>
          <w:rFonts w:asciiTheme="minorHAnsi" w:hAnsiTheme="minorHAnsi" w:cstheme="minorHAnsi"/>
          <w:sz w:val="20"/>
        </w:rPr>
        <w:t>The hourly rates set forth</w:t>
      </w:r>
      <w:r w:rsidR="001A173B">
        <w:rPr>
          <w:rFonts w:asciiTheme="minorHAnsi" w:hAnsiTheme="minorHAnsi" w:cstheme="minorHAnsi"/>
          <w:sz w:val="20"/>
        </w:rPr>
        <w:t xml:space="preserve"> in Table 1</w:t>
      </w:r>
      <w:r w:rsidRPr="00ED11D1">
        <w:rPr>
          <w:rFonts w:asciiTheme="minorHAnsi" w:hAnsiTheme="minorHAnsi" w:cstheme="minorHAnsi"/>
          <w:sz w:val="20"/>
        </w:rPr>
        <w:t xml:space="preserve"> shall be fully burdened and inclusive of all costs including, but not limited to personnel, materials, computer support, commissions, travel, lodging, per diem, and overhead rates payable to the Contractor for services rendered to the State.  The Contractor shall not </w:t>
      </w:r>
      <w:r w:rsidR="00527D1B" w:rsidRPr="00ED11D1">
        <w:rPr>
          <w:rFonts w:asciiTheme="minorHAnsi" w:hAnsiTheme="minorHAnsi" w:cstheme="minorHAnsi"/>
          <w:sz w:val="20"/>
        </w:rPr>
        <w:t>charge,</w:t>
      </w:r>
      <w:r w:rsidRPr="00ED11D1">
        <w:rPr>
          <w:rFonts w:asciiTheme="minorHAnsi" w:hAnsiTheme="minorHAnsi" w:cstheme="minorHAnsi"/>
          <w:sz w:val="20"/>
        </w:rPr>
        <w:t xml:space="preserve"> nor shall the Judicial Council pay any overtime rate.</w:t>
      </w:r>
    </w:p>
    <w:p w14:paraId="7D96AF17" w14:textId="3DAC846D" w:rsidR="00ED11D1" w:rsidRPr="00527D1B" w:rsidRDefault="0029624C" w:rsidP="00527D1B">
      <w:pPr>
        <w:pStyle w:val="ListParagraph"/>
        <w:numPr>
          <w:ilvl w:val="0"/>
          <w:numId w:val="41"/>
        </w:numPr>
        <w:spacing w:before="120" w:after="120"/>
        <w:rPr>
          <w:rFonts w:asciiTheme="minorHAnsi" w:hAnsiTheme="minorHAnsi" w:cstheme="minorHAnsi"/>
          <w:sz w:val="20"/>
        </w:rPr>
      </w:pPr>
      <w:r w:rsidRPr="00ED11D1">
        <w:rPr>
          <w:rFonts w:asciiTheme="minorHAnsi" w:hAnsiTheme="minorHAnsi" w:cstheme="minorHAnsi"/>
          <w:sz w:val="20"/>
        </w:rPr>
        <w:t xml:space="preserve">The Contractor shall not </w:t>
      </w:r>
      <w:r w:rsidR="00527D1B" w:rsidRPr="00ED11D1">
        <w:rPr>
          <w:rFonts w:asciiTheme="minorHAnsi" w:hAnsiTheme="minorHAnsi" w:cstheme="minorHAnsi"/>
          <w:sz w:val="20"/>
        </w:rPr>
        <w:t>request,</w:t>
      </w:r>
      <w:r w:rsidRPr="00ED11D1">
        <w:rPr>
          <w:rFonts w:asciiTheme="minorHAnsi" w:hAnsiTheme="minorHAnsi" w:cstheme="minorHAnsi"/>
          <w:sz w:val="20"/>
        </w:rPr>
        <w:t xml:space="preserve"> nor shall the Judicial Council consider any reimbursement for non-production work including but not limited to time spent traveling to and from a job site or any living expenses.</w:t>
      </w:r>
    </w:p>
    <w:p w14:paraId="4DA98F4D" w14:textId="095964D5" w:rsidR="00ED11D1" w:rsidRDefault="00ED11D1" w:rsidP="00ED11D1">
      <w:pPr>
        <w:spacing w:before="120" w:after="120"/>
        <w:ind w:left="936"/>
        <w:rPr>
          <w:rFonts w:asciiTheme="minorHAnsi" w:hAnsiTheme="minorHAnsi" w:cstheme="minorHAnsi"/>
          <w:sz w:val="20"/>
        </w:rPr>
      </w:pPr>
      <w:r w:rsidRPr="00ED11D1">
        <w:rPr>
          <w:rFonts w:asciiTheme="minorHAnsi" w:hAnsiTheme="minorHAnsi" w:cstheme="minorHAnsi"/>
          <w:b/>
          <w:bCs/>
          <w:sz w:val="20"/>
        </w:rPr>
        <w:t>Table 1</w:t>
      </w:r>
      <w:r>
        <w:rPr>
          <w:rFonts w:asciiTheme="minorHAnsi" w:hAnsiTheme="minorHAnsi" w:cstheme="minorHAnsi"/>
          <w:sz w:val="20"/>
        </w:rPr>
        <w:t xml:space="preserve">: </w:t>
      </w:r>
      <w:r w:rsidRPr="00ED11D1">
        <w:rPr>
          <w:rFonts w:asciiTheme="minorHAnsi" w:hAnsiTheme="minorHAnsi" w:cstheme="minorHAnsi"/>
          <w:sz w:val="20"/>
          <w:highlight w:val="yellow"/>
        </w:rPr>
        <w:t>TBD</w:t>
      </w:r>
    </w:p>
    <w:p w14:paraId="0AAFE1E7" w14:textId="77777777" w:rsidR="00ED11D1" w:rsidRDefault="00ED11D1" w:rsidP="00ED11D1">
      <w:pPr>
        <w:spacing w:before="120" w:after="120"/>
        <w:ind w:left="936"/>
        <w:rPr>
          <w:rFonts w:asciiTheme="minorHAnsi" w:hAnsiTheme="minorHAnsi" w:cstheme="minorHAnsi"/>
          <w:sz w:val="20"/>
        </w:rPr>
      </w:pPr>
    </w:p>
    <w:p w14:paraId="0AFDE510" w14:textId="6075073B" w:rsidR="00604041" w:rsidRPr="0029624C" w:rsidRDefault="00270F4F" w:rsidP="00B55CCA">
      <w:pPr>
        <w:numPr>
          <w:ilvl w:val="1"/>
          <w:numId w:val="23"/>
        </w:numPr>
        <w:spacing w:before="120" w:after="120"/>
        <w:rPr>
          <w:rFonts w:asciiTheme="minorHAnsi" w:hAnsiTheme="minorHAnsi" w:cstheme="minorHAnsi"/>
          <w:b/>
          <w:bCs/>
          <w:sz w:val="20"/>
        </w:rPr>
      </w:pPr>
      <w:r w:rsidRPr="0029624C">
        <w:rPr>
          <w:rFonts w:asciiTheme="minorHAnsi" w:hAnsiTheme="minorHAnsi" w:cstheme="minorHAnsi"/>
          <w:b/>
          <w:bCs/>
          <w:sz w:val="20"/>
        </w:rPr>
        <w:t>Wi</w:t>
      </w:r>
      <w:r w:rsidR="00702D06" w:rsidRPr="0029624C">
        <w:rPr>
          <w:rFonts w:asciiTheme="minorHAnsi" w:hAnsiTheme="minorHAnsi" w:cstheme="minorHAnsi"/>
          <w:b/>
          <w:bCs/>
          <w:sz w:val="20"/>
        </w:rPr>
        <w:t xml:space="preserve">thholding.  </w:t>
      </w:r>
      <w:r w:rsidR="00702D06" w:rsidRPr="0029624C">
        <w:rPr>
          <w:rFonts w:asciiTheme="minorHAnsi" w:hAnsiTheme="minorHAnsi" w:cstheme="minorHAnsi"/>
          <w:bCs/>
          <w:sz w:val="20"/>
        </w:rPr>
        <w:t xml:space="preserve">When making a payment tied to the acceptance of Deliverables, the </w:t>
      </w:r>
      <w:r w:rsidR="00323CD0" w:rsidRPr="0029624C">
        <w:rPr>
          <w:rFonts w:asciiTheme="minorHAnsi" w:hAnsiTheme="minorHAnsi" w:cstheme="minorHAnsi"/>
          <w:bCs/>
          <w:sz w:val="20"/>
        </w:rPr>
        <w:t>JBE</w:t>
      </w:r>
      <w:r w:rsidR="00702D06" w:rsidRPr="0029624C">
        <w:rPr>
          <w:rFonts w:asciiTheme="minorHAnsi" w:hAnsiTheme="minorHAnsi" w:cstheme="minorHAnsi"/>
          <w:bCs/>
          <w:sz w:val="20"/>
        </w:rPr>
        <w:t xml:space="preserve"> shall have the right to withhold fifteen percent (15%) of each such payment until the </w:t>
      </w:r>
      <w:r w:rsidR="00323CD0" w:rsidRPr="0029624C">
        <w:rPr>
          <w:rFonts w:asciiTheme="minorHAnsi" w:hAnsiTheme="minorHAnsi" w:cstheme="minorHAnsi"/>
          <w:bCs/>
          <w:sz w:val="20"/>
        </w:rPr>
        <w:t>JBE</w:t>
      </w:r>
      <w:r w:rsidR="00702D06" w:rsidRPr="0029624C">
        <w:rPr>
          <w:rFonts w:asciiTheme="minorHAnsi" w:hAnsiTheme="minorHAnsi" w:cstheme="minorHAnsi"/>
          <w:bCs/>
          <w:sz w:val="20"/>
        </w:rPr>
        <w:t xml:space="preserve"> accepts the final Deliverable.</w:t>
      </w:r>
      <w:r w:rsidR="00604041" w:rsidRPr="0029624C">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D733D4"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4F4AE944" w14:textId="21E9DDE2" w:rsidR="00D733D4" w:rsidRPr="00B6312C" w:rsidRDefault="00D733D4" w:rsidP="00D733D4">
      <w:pPr>
        <w:spacing w:before="120" w:after="120"/>
        <w:ind w:left="360"/>
        <w:rPr>
          <w:rFonts w:asciiTheme="minorHAnsi" w:hAnsiTheme="minorHAnsi" w:cstheme="minorHAnsi"/>
          <w:b/>
          <w:bCs/>
          <w:sz w:val="20"/>
        </w:rPr>
      </w:pPr>
      <w:r>
        <w:rPr>
          <w:rFonts w:asciiTheme="minorHAnsi" w:hAnsiTheme="minorHAnsi" w:cstheme="minorHAnsi"/>
          <w:b/>
          <w:bCs/>
          <w:sz w:val="20"/>
        </w:rPr>
        <w:t>No Travel Reimbursement is allowed.</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B130AC8" w14:textId="77777777" w:rsidR="0070078B" w:rsidRPr="00B61B64" w:rsidRDefault="00DC5733" w:rsidP="00B61B64">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27EF0220"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r w:rsidR="00ED11D1" w:rsidRPr="00ED11D1">
        <w:rPr>
          <w:sz w:val="20"/>
        </w:rPr>
        <w:t xml:space="preserve">The Judicial Council Standard payment term is </w:t>
      </w:r>
      <w:r w:rsidR="00ED11D1" w:rsidRPr="00ED11D1">
        <w:rPr>
          <w:b/>
          <w:bCs/>
          <w:sz w:val="20"/>
        </w:rPr>
        <w:t>Net 60</w:t>
      </w:r>
      <w:r w:rsidR="00ED11D1" w:rsidRPr="00ED11D1">
        <w:rPr>
          <w:sz w:val="20"/>
        </w:rPr>
        <w:t xml:space="preserve"> from date or receipt of invoice.</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C9680F" w:rsidRDefault="0070078B" w:rsidP="00C9680F">
      <w:pPr>
        <w:numPr>
          <w:ilvl w:val="0"/>
          <w:numId w:val="11"/>
        </w:numPr>
        <w:spacing w:before="120" w:after="120"/>
        <w:rPr>
          <w:rFonts w:asciiTheme="minorHAnsi" w:hAnsiTheme="minorHAnsi" w:cstheme="minorHAnsi"/>
          <w:b/>
          <w:bCs/>
          <w:sz w:val="20"/>
        </w:rPr>
      </w:pPr>
      <w:r w:rsidRPr="00C9680F">
        <w:rPr>
          <w:rFonts w:asciiTheme="minorHAnsi" w:hAnsiTheme="minorHAnsi" w:cstheme="minorHAnsi"/>
          <w:b/>
          <w:bCs/>
          <w:sz w:val="20"/>
        </w:rPr>
        <w:t xml:space="preserve">Taxes.  </w:t>
      </w:r>
      <w:r w:rsidRPr="00C9680F">
        <w:rPr>
          <w:rFonts w:asciiTheme="minorHAnsi" w:hAnsiTheme="minorHAnsi" w:cstheme="minorHAnsi"/>
          <w:sz w:val="20"/>
        </w:rPr>
        <w:t xml:space="preserve">Unless otherwise required by law, the </w:t>
      </w:r>
      <w:r w:rsidR="00323CD0" w:rsidRPr="00C9680F">
        <w:rPr>
          <w:rFonts w:asciiTheme="minorHAnsi" w:hAnsiTheme="minorHAnsi" w:cstheme="minorHAnsi"/>
          <w:sz w:val="20"/>
        </w:rPr>
        <w:t>JBE</w:t>
      </w:r>
      <w:r w:rsidRPr="00C9680F">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C9680F">
        <w:rPr>
          <w:rFonts w:asciiTheme="minorHAnsi" w:hAnsiTheme="minorHAnsi" w:cstheme="minorHAnsi"/>
          <w:sz w:val="20"/>
        </w:rPr>
        <w:t>JBE</w:t>
      </w:r>
      <w:r w:rsidRPr="00C9680F">
        <w:rPr>
          <w:rFonts w:asciiTheme="minorHAnsi" w:hAnsiTheme="minorHAnsi" w:cstheme="minorHAnsi"/>
          <w:sz w:val="20"/>
        </w:rPr>
        <w:t xml:space="preserve"> </w:t>
      </w:r>
      <w:r w:rsidRPr="00C9680F">
        <w:rPr>
          <w:rFonts w:asciiTheme="minorHAnsi" w:hAnsiTheme="minorHAnsi" w:cstheme="minorHAnsi"/>
          <w:sz w:val="20"/>
        </w:rPr>
        <w:lastRenderedPageBreak/>
        <w:t xml:space="preserve">shall only pay for any state or local sales, service, use, or similar taxes imposed on the Services rendered or equipment, parts or software supplied to the </w:t>
      </w:r>
      <w:r w:rsidR="00323CD0" w:rsidRPr="00C9680F">
        <w:rPr>
          <w:rFonts w:asciiTheme="minorHAnsi" w:hAnsiTheme="minorHAnsi" w:cstheme="minorHAnsi"/>
          <w:sz w:val="20"/>
        </w:rPr>
        <w:t>JBE</w:t>
      </w:r>
      <w:r w:rsidRPr="00C9680F">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20"/>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6"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6"/>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w:t>
      </w:r>
      <w:r w:rsidRPr="00483DAC">
        <w:rPr>
          <w:rFonts w:asciiTheme="minorHAnsi" w:hAnsiTheme="minorHAnsi" w:cstheme="minorHAnsi"/>
          <w:sz w:val="20"/>
        </w:rPr>
        <w:lastRenderedPageBreak/>
        <w:t xml:space="preserve">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2F3403D9" w:rsidR="00081C7A" w:rsidRPr="00380467"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380467" w:rsidRPr="00380467">
        <w:rPr>
          <w:rFonts w:asciiTheme="minorHAnsi" w:hAnsiTheme="minorHAnsi" w:cstheme="minorHAnsi"/>
          <w:b/>
          <w:sz w:val="20"/>
        </w:rPr>
        <w:t>three (3)</w:t>
      </w:r>
      <w:r w:rsidR="00081C7A" w:rsidRPr="00380467">
        <w:rPr>
          <w:rFonts w:asciiTheme="minorHAnsi" w:hAnsiTheme="minorHAnsi" w:cstheme="minorHAnsi"/>
          <w:b/>
          <w:sz w:val="20"/>
        </w:rPr>
        <w:t xml:space="preserve"> one-year term,</w:t>
      </w:r>
      <w:r w:rsidR="00081C7A" w:rsidRPr="00081C7A">
        <w:rPr>
          <w:rFonts w:asciiTheme="minorHAnsi" w:hAnsiTheme="minorHAnsi" w:cstheme="minorHAnsi"/>
          <w:bCs/>
          <w:sz w:val="20"/>
        </w:rPr>
        <w:t xml:space="preserve">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
    <w:p w14:paraId="7984681B" w14:textId="679AD090" w:rsidR="00380467" w:rsidRDefault="00380467" w:rsidP="00380467">
      <w:pPr>
        <w:spacing w:before="120" w:after="120"/>
        <w:rPr>
          <w:rFonts w:asciiTheme="minorHAnsi" w:hAnsiTheme="minorHAnsi" w:cstheme="minorHAnsi"/>
          <w:b/>
          <w:bCs/>
          <w:sz w:val="20"/>
        </w:rPr>
      </w:pPr>
    </w:p>
    <w:p w14:paraId="39400EC9" w14:textId="77777777" w:rsidR="00380467" w:rsidRPr="00F52356" w:rsidRDefault="00380467" w:rsidP="00380467">
      <w:pPr>
        <w:spacing w:before="120" w:after="120"/>
        <w:rPr>
          <w:rFonts w:asciiTheme="minorHAnsi" w:hAnsiTheme="minorHAnsi" w:cstheme="minorHAnsi"/>
          <w:b/>
          <w:bCs/>
          <w:sz w:val="20"/>
        </w:rPr>
      </w:pPr>
    </w:p>
    <w:p w14:paraId="1B46A7D4" w14:textId="361BBA50" w:rsidR="00F52356" w:rsidRDefault="00F52356" w:rsidP="00F52356">
      <w:pPr>
        <w:numPr>
          <w:ilvl w:val="5"/>
          <w:numId w:val="26"/>
        </w:numPr>
        <w:spacing w:before="120" w:after="120"/>
        <w:rPr>
          <w:rFonts w:asciiTheme="minorHAnsi" w:hAnsiTheme="minorHAnsi" w:cstheme="minorHAnsi"/>
          <w:b/>
          <w:bCs/>
          <w:sz w:val="20"/>
        </w:rPr>
      </w:pPr>
      <w:r>
        <w:rPr>
          <w:rFonts w:asciiTheme="minorHAnsi" w:hAnsiTheme="minorHAnsi" w:cstheme="minorHAnsi"/>
          <w:sz w:val="20"/>
        </w:rPr>
        <w:lastRenderedPageBreak/>
        <w:t xml:space="preserve">July 1, </w:t>
      </w:r>
      <w:proofErr w:type="gramStart"/>
      <w:r>
        <w:rPr>
          <w:rFonts w:asciiTheme="minorHAnsi" w:hAnsiTheme="minorHAnsi" w:cstheme="minorHAnsi"/>
          <w:sz w:val="20"/>
        </w:rPr>
        <w:t>2024</w:t>
      </w:r>
      <w:proofErr w:type="gramEnd"/>
      <w:r>
        <w:rPr>
          <w:rFonts w:asciiTheme="minorHAnsi" w:hAnsiTheme="minorHAnsi" w:cstheme="minorHAnsi"/>
          <w:sz w:val="20"/>
        </w:rPr>
        <w:t xml:space="preserve"> to June 30, 2025 – “</w:t>
      </w:r>
      <w:r>
        <w:rPr>
          <w:rFonts w:asciiTheme="minorHAnsi" w:hAnsiTheme="minorHAnsi" w:cstheme="minorHAnsi"/>
          <w:b/>
          <w:bCs/>
          <w:sz w:val="20"/>
        </w:rPr>
        <w:t>Initial Term”</w:t>
      </w:r>
    </w:p>
    <w:p w14:paraId="3AADAD98" w14:textId="2A346701" w:rsidR="00F52356" w:rsidRDefault="00F52356" w:rsidP="00F52356">
      <w:pPr>
        <w:numPr>
          <w:ilvl w:val="5"/>
          <w:numId w:val="26"/>
        </w:numPr>
        <w:spacing w:before="120" w:after="120"/>
        <w:rPr>
          <w:rFonts w:asciiTheme="minorHAnsi" w:hAnsiTheme="minorHAnsi" w:cstheme="minorHAnsi"/>
          <w:b/>
          <w:bCs/>
          <w:sz w:val="20"/>
        </w:rPr>
      </w:pPr>
      <w:r>
        <w:rPr>
          <w:rFonts w:asciiTheme="minorHAnsi" w:hAnsiTheme="minorHAnsi" w:cstheme="minorHAnsi"/>
          <w:sz w:val="20"/>
        </w:rPr>
        <w:t xml:space="preserve">July 1, </w:t>
      </w:r>
      <w:proofErr w:type="gramStart"/>
      <w:r>
        <w:rPr>
          <w:rFonts w:asciiTheme="minorHAnsi" w:hAnsiTheme="minorHAnsi" w:cstheme="minorHAnsi"/>
          <w:sz w:val="20"/>
        </w:rPr>
        <w:t>2025</w:t>
      </w:r>
      <w:proofErr w:type="gramEnd"/>
      <w:r>
        <w:rPr>
          <w:rFonts w:asciiTheme="minorHAnsi" w:hAnsiTheme="minorHAnsi" w:cstheme="minorHAnsi"/>
          <w:sz w:val="20"/>
        </w:rPr>
        <w:t xml:space="preserve"> to June 30, 2026 – “</w:t>
      </w:r>
      <w:r>
        <w:rPr>
          <w:rFonts w:asciiTheme="minorHAnsi" w:hAnsiTheme="minorHAnsi" w:cstheme="minorHAnsi"/>
          <w:b/>
          <w:bCs/>
          <w:sz w:val="20"/>
        </w:rPr>
        <w:t>First Option Term”</w:t>
      </w:r>
    </w:p>
    <w:p w14:paraId="33E96B39" w14:textId="079BEB79" w:rsidR="00F52356" w:rsidRDefault="00F52356" w:rsidP="00F52356">
      <w:pPr>
        <w:numPr>
          <w:ilvl w:val="5"/>
          <w:numId w:val="26"/>
        </w:numPr>
        <w:spacing w:before="120" w:after="120"/>
        <w:rPr>
          <w:rFonts w:asciiTheme="minorHAnsi" w:hAnsiTheme="minorHAnsi" w:cstheme="minorHAnsi"/>
          <w:b/>
          <w:bCs/>
          <w:sz w:val="20"/>
        </w:rPr>
      </w:pPr>
      <w:r>
        <w:rPr>
          <w:rFonts w:asciiTheme="minorHAnsi" w:hAnsiTheme="minorHAnsi" w:cstheme="minorHAnsi"/>
          <w:sz w:val="20"/>
        </w:rPr>
        <w:t xml:space="preserve">July 1, </w:t>
      </w:r>
      <w:proofErr w:type="gramStart"/>
      <w:r>
        <w:rPr>
          <w:rFonts w:asciiTheme="minorHAnsi" w:hAnsiTheme="minorHAnsi" w:cstheme="minorHAnsi"/>
          <w:sz w:val="20"/>
        </w:rPr>
        <w:t>2026</w:t>
      </w:r>
      <w:proofErr w:type="gramEnd"/>
      <w:r>
        <w:rPr>
          <w:rFonts w:asciiTheme="minorHAnsi" w:hAnsiTheme="minorHAnsi" w:cstheme="minorHAnsi"/>
          <w:sz w:val="20"/>
        </w:rPr>
        <w:t xml:space="preserve"> to June 30, 2027 – “</w:t>
      </w:r>
      <w:r>
        <w:rPr>
          <w:rFonts w:asciiTheme="minorHAnsi" w:hAnsiTheme="minorHAnsi" w:cstheme="minorHAnsi"/>
          <w:b/>
          <w:bCs/>
          <w:sz w:val="20"/>
        </w:rPr>
        <w:t>Second Option Term”</w:t>
      </w:r>
    </w:p>
    <w:p w14:paraId="5958C265" w14:textId="75016AAC" w:rsidR="00F52356" w:rsidRPr="00F52356" w:rsidRDefault="00F52356" w:rsidP="00F52356">
      <w:pPr>
        <w:numPr>
          <w:ilvl w:val="5"/>
          <w:numId w:val="26"/>
        </w:numPr>
        <w:spacing w:before="120" w:after="120"/>
        <w:rPr>
          <w:rFonts w:asciiTheme="minorHAnsi" w:hAnsiTheme="minorHAnsi" w:cstheme="minorHAnsi"/>
          <w:b/>
          <w:bCs/>
          <w:sz w:val="20"/>
        </w:rPr>
      </w:pPr>
      <w:r>
        <w:rPr>
          <w:rFonts w:asciiTheme="minorHAnsi" w:hAnsiTheme="minorHAnsi" w:cstheme="minorHAnsi"/>
          <w:sz w:val="20"/>
        </w:rPr>
        <w:t xml:space="preserve">July 1, </w:t>
      </w:r>
      <w:proofErr w:type="gramStart"/>
      <w:r>
        <w:rPr>
          <w:rFonts w:asciiTheme="minorHAnsi" w:hAnsiTheme="minorHAnsi" w:cstheme="minorHAnsi"/>
          <w:sz w:val="20"/>
        </w:rPr>
        <w:t>2027</w:t>
      </w:r>
      <w:proofErr w:type="gramEnd"/>
      <w:r>
        <w:rPr>
          <w:rFonts w:asciiTheme="minorHAnsi" w:hAnsiTheme="minorHAnsi" w:cstheme="minorHAnsi"/>
          <w:sz w:val="20"/>
        </w:rPr>
        <w:t xml:space="preserve"> to June 30, 2028 – “</w:t>
      </w:r>
      <w:r>
        <w:rPr>
          <w:rFonts w:asciiTheme="minorHAnsi" w:hAnsiTheme="minorHAnsi" w:cstheme="minorHAnsi"/>
          <w:b/>
          <w:bCs/>
          <w:sz w:val="20"/>
        </w:rPr>
        <w:t>Third Option Term”</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w:t>
      </w:r>
      <w:proofErr w:type="gramStart"/>
      <w:r w:rsidR="00B52602" w:rsidRPr="00B52602">
        <w:rPr>
          <w:rFonts w:asciiTheme="minorHAnsi" w:hAnsiTheme="minorHAnsi" w:cstheme="minorHAnsi"/>
          <w:bCs/>
          <w:sz w:val="20"/>
        </w:rPr>
        <w:t>reduced</w:t>
      </w:r>
      <w:proofErr w:type="gramEnd"/>
      <w:r w:rsidR="00B52602" w:rsidRPr="00B52602">
        <w:rPr>
          <w:rFonts w:asciiTheme="minorHAnsi" w:hAnsiTheme="minorHAnsi" w:cstheme="minorHAnsi"/>
          <w:bCs/>
          <w:sz w:val="20"/>
        </w:rPr>
        <w:t xml:space="preserve">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40B4B363"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4A8500B" w14:textId="0745EE3A" w:rsidR="00314E5C" w:rsidRDefault="007E74CF" w:rsidP="00483DAC">
            <w:pPr>
              <w:pStyle w:val="TableStyle"/>
              <w:widowControl w:val="0"/>
              <w:tabs>
                <w:tab w:val="left" w:pos="3244"/>
              </w:tabs>
              <w:rPr>
                <w:rFonts w:ascii="Times New Roman" w:hAnsi="Times New Roman"/>
                <w:b/>
                <w:bCs/>
                <w:sz w:val="20"/>
                <w:u w:val="single"/>
              </w:rPr>
            </w:pPr>
            <w:r>
              <w:rPr>
                <w:rFonts w:ascii="Times New Roman" w:hAnsi="Times New Roman"/>
                <w:b/>
                <w:bCs/>
                <w:sz w:val="20"/>
                <w:u w:val="single"/>
              </w:rPr>
              <w:t>Supervising Analyst</w:t>
            </w:r>
          </w:p>
          <w:p w14:paraId="11FBD46A" w14:textId="79BE0E5F" w:rsidR="004B75B3" w:rsidRDefault="004B75B3"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2850 Gateway Oaks Drive</w:t>
            </w:r>
            <w:r w:rsidR="00CF6987">
              <w:rPr>
                <w:rFonts w:ascii="Times New Roman" w:hAnsi="Times New Roman"/>
                <w:sz w:val="20"/>
                <w:u w:val="single"/>
              </w:rPr>
              <w:t>, Suite 100</w:t>
            </w:r>
          </w:p>
          <w:p w14:paraId="5592BEAD" w14:textId="28BB7724" w:rsidR="00CF6987" w:rsidRDefault="00CF6987"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Sacramento, CA 95833-4348</w:t>
            </w:r>
          </w:p>
          <w:p w14:paraId="4E751C0C" w14:textId="78623CD6" w:rsidR="00CF6987" w:rsidRPr="004B75B3" w:rsidRDefault="00CF6987"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Phone: 415-865-4902</w:t>
            </w:r>
          </w:p>
          <w:p w14:paraId="17B79D6A" w14:textId="1B6EE945" w:rsidR="004E147B" w:rsidRPr="004E147B" w:rsidRDefault="004E147B" w:rsidP="00483DAC">
            <w:pPr>
              <w:pStyle w:val="TableStyle"/>
              <w:widowControl w:val="0"/>
              <w:tabs>
                <w:tab w:val="left" w:pos="3244"/>
              </w:tabs>
              <w:rPr>
                <w:rFonts w:ascii="Times New Roman" w:hAnsi="Times New Roman"/>
                <w:sz w:val="20"/>
              </w:rPr>
            </w:pP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2EBA2F16" w:rsidR="007A6241" w:rsidRPr="00303BCF" w:rsidRDefault="00000000" w:rsidP="00483DAC">
            <w:pPr>
              <w:pStyle w:val="TableStyle"/>
              <w:widowControl w:val="0"/>
              <w:tabs>
                <w:tab w:val="left" w:pos="3244"/>
              </w:tabs>
              <w:rPr>
                <w:rFonts w:ascii="Times New Roman" w:hAnsi="Times New Roman"/>
                <w:sz w:val="20"/>
              </w:rPr>
            </w:pPr>
            <w:hyperlink r:id="rId21" w:history="1">
              <w:r w:rsidR="00F06D94" w:rsidRPr="00F06D94">
                <w:rPr>
                  <w:rStyle w:val="Hyperlink"/>
                  <w:rFonts w:ascii="Times New Roman" w:hAnsi="Times New Roman"/>
                  <w:sz w:val="20"/>
                </w:rPr>
                <w:t>JBWCP@jud.ca.gov</w:t>
              </w:r>
            </w:hyperlink>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xml:space="preserve">; and (ii) </w:t>
      </w:r>
      <w:r w:rsidR="00DF27CD">
        <w:rPr>
          <w:rFonts w:asciiTheme="minorHAnsi" w:hAnsiTheme="minorHAnsi" w:cstheme="minorHAnsi"/>
          <w:bCs/>
          <w:sz w:val="20"/>
        </w:rPr>
        <w:lastRenderedPageBreak/>
        <w:t>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EADB9F6" w14:textId="46427D2F" w:rsidR="00E77106" w:rsidRPr="0032150B" w:rsidRDefault="00A51A60" w:rsidP="0032150B">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2"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w:t>
      </w:r>
      <w:r w:rsidR="00174CAF" w:rsidRPr="00174CAF">
        <w:rPr>
          <w:rFonts w:asciiTheme="minorHAnsi" w:hAnsiTheme="minorHAnsi" w:cstheme="minorHAnsi"/>
          <w:sz w:val="20"/>
        </w:rPr>
        <w:lastRenderedPageBreak/>
        <w:t xml:space="preserve">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proofErr w:type="gramStart"/>
      <w:r w:rsidR="00A2251F">
        <w:rPr>
          <w:rFonts w:cstheme="minorHAnsi"/>
          <w:sz w:val="20"/>
        </w:rPr>
        <w:t>ordinances</w:t>
      </w:r>
      <w:proofErr w:type="gramEnd"/>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 xml:space="preserve">the actual </w:t>
      </w:r>
      <w:r w:rsidRPr="00B313DA">
        <w:rPr>
          <w:rFonts w:asciiTheme="minorHAnsi" w:hAnsiTheme="minorHAnsi" w:cstheme="minorHAnsi"/>
          <w:bCs/>
          <w:sz w:val="20"/>
        </w:rPr>
        <w:lastRenderedPageBreak/>
        <w:t>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w:t>
      </w:r>
      <w:proofErr w:type="gramStart"/>
      <w:r w:rsidRPr="00C73594">
        <w:rPr>
          <w:rFonts w:asciiTheme="minorHAnsi" w:hAnsiTheme="minorHAnsi" w:cstheme="minorHAnsi"/>
          <w:bCs/>
          <w:sz w:val="20"/>
        </w:rPr>
        <w:t>permits</w:t>
      </w:r>
      <w:proofErr w:type="gramEnd"/>
      <w:r w:rsidRPr="00C73594">
        <w:rPr>
          <w:rFonts w:asciiTheme="minorHAnsi" w:hAnsiTheme="minorHAnsi" w:cstheme="minorHAnsi"/>
          <w:bCs/>
          <w:sz w:val="20"/>
        </w:rPr>
        <w:t xml:space="preserve">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3DBAEB55"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 xml:space="preserve">any Deliverable in </w:t>
      </w:r>
      <w:r w:rsidR="005C3491">
        <w:rPr>
          <w:rFonts w:asciiTheme="minorHAnsi" w:hAnsiTheme="minorHAnsi" w:cstheme="minorHAnsi"/>
          <w:bCs/>
          <w:sz w:val="20"/>
        </w:rPr>
        <w:lastRenderedPageBreak/>
        <w:t>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3"/>
          <w:footerReference w:type="first" r:id="rId24"/>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688DE005" w14:textId="77777777" w:rsidR="00ED31B1" w:rsidRDefault="00437785" w:rsidP="005C5777">
      <w:pPr>
        <w:pStyle w:val="BodyText"/>
        <w:spacing w:before="120" w:after="120" w:line="240" w:lineRule="auto"/>
        <w:rPr>
          <w:rFonts w:asciiTheme="minorHAnsi" w:hAnsiTheme="minorHAnsi" w:cstheme="minorHAnsi"/>
          <w:sz w:val="20"/>
        </w:rPr>
        <w:sectPr w:rsidR="00ED31B1" w:rsidSect="008B493E">
          <w:footerReference w:type="default" r:id="rId25"/>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B1DBCED" w14:textId="77777777"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ED31B1">
      <w:foot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F504" w14:textId="77777777" w:rsidR="00FA6B43" w:rsidRDefault="00FA6B43" w:rsidP="00437785">
      <w:r>
        <w:separator/>
      </w:r>
    </w:p>
  </w:endnote>
  <w:endnote w:type="continuationSeparator" w:id="0">
    <w:p w14:paraId="695F2B9E" w14:textId="77777777" w:rsidR="00FA6B43" w:rsidRDefault="00FA6B43"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1027DE3D"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r w:rsidR="00ED31B1" w:rsidRPr="00ED31B1">
      <w:rPr>
        <w:bCs/>
        <w:szCs w:val="24"/>
      </w:rPr>
      <w:t>D-1</w:t>
    </w:r>
  </w:p>
  <w:p w14:paraId="12629BF0" w14:textId="34BC4CDC" w:rsidR="003B4F33" w:rsidRDefault="003B4F33" w:rsidP="00DD012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1E1F" w14:textId="6C88A9AE" w:rsidR="00ED31B1" w:rsidRDefault="00ED31B1" w:rsidP="00896EE8">
    <w:pPr>
      <w:pStyle w:val="Footer"/>
      <w:jc w:val="right"/>
    </w:pPr>
    <w:r>
      <w:rPr>
        <w:sz w:val="16"/>
        <w:szCs w:val="16"/>
      </w:rPr>
      <w:t>rev Jan. 2022</w:t>
    </w:r>
    <w:r>
      <w:rPr>
        <w:b/>
        <w:sz w:val="16"/>
        <w:szCs w:val="16"/>
      </w:rPr>
      <w:tab/>
    </w:r>
    <w:r>
      <w:rPr>
        <w:b/>
        <w:sz w:val="16"/>
        <w:szCs w:val="16"/>
      </w:rPr>
      <w:tab/>
    </w:r>
    <w:r>
      <w:rPr>
        <w:bCs/>
        <w:szCs w:val="24"/>
      </w:rPr>
      <w:t>E</w:t>
    </w:r>
    <w:r w:rsidRPr="00ED31B1">
      <w:rPr>
        <w:bCs/>
        <w:szCs w:val="24"/>
      </w:rPr>
      <w:t>-1</w:t>
    </w:r>
  </w:p>
  <w:p w14:paraId="080C4B7B" w14:textId="77777777" w:rsidR="00ED31B1" w:rsidRDefault="00ED31B1"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7147072"/>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66C5A4AD" w:rsidR="00001542" w:rsidRPr="008953BE" w:rsidRDefault="00001542">
    <w:pPr>
      <w:pStyle w:val="Footer"/>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00ED31B1">
      <w:rPr>
        <w:sz w:val="16"/>
        <w:szCs w:val="16"/>
      </w:rPr>
      <w:tab/>
    </w:r>
    <w:r w:rsidRPr="00ED31B1">
      <w:rPr>
        <w:szCs w:val="24"/>
      </w:rPr>
      <w:t>A-</w:t>
    </w:r>
    <w:r w:rsidR="001975EC" w:rsidRPr="00ED31B1">
      <w:rPr>
        <w:szCs w:val="24"/>
      </w:rPr>
      <w:fldChar w:fldCharType="begin"/>
    </w:r>
    <w:r w:rsidRPr="00ED31B1">
      <w:rPr>
        <w:szCs w:val="24"/>
      </w:rPr>
      <w:instrText xml:space="preserve"> PAGE   \* MERGEFORMAT </w:instrText>
    </w:r>
    <w:r w:rsidR="001975EC" w:rsidRPr="00ED31B1">
      <w:rPr>
        <w:szCs w:val="24"/>
      </w:rPr>
      <w:fldChar w:fldCharType="separate"/>
    </w:r>
    <w:r w:rsidR="00844DBC" w:rsidRPr="00ED31B1">
      <w:rPr>
        <w:noProof/>
        <w:szCs w:val="24"/>
      </w:rPr>
      <w:t>1</w:t>
    </w:r>
    <w:r w:rsidR="001975EC" w:rsidRPr="00ED31B1">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Default="00896EE8"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4642143"/>
        <w:docPartObj>
          <w:docPartGallery w:val="Page Numbers (Bottom of Page)"/>
          <w:docPartUnique/>
        </w:docPartObj>
      </w:sdt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34BAB" w14:textId="77777777" w:rsidR="00FA6B43" w:rsidRDefault="00FA6B43" w:rsidP="00437785">
      <w:r>
        <w:separator/>
      </w:r>
    </w:p>
  </w:footnote>
  <w:footnote w:type="continuationSeparator" w:id="0">
    <w:p w14:paraId="78729374" w14:textId="77777777" w:rsidR="00FA6B43" w:rsidRDefault="00FA6B43"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C978" w14:textId="77777777" w:rsidR="00013D67" w:rsidRPr="003E52BA" w:rsidRDefault="00013D67" w:rsidP="003967D3">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1717A8AF" w14:textId="77777777" w:rsidR="00013D67" w:rsidRPr="003B3C0B" w:rsidRDefault="00013D67"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7ECD"/>
    <w:multiLevelType w:val="hybridMultilevel"/>
    <w:tmpl w:val="9C4802C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FE37D8"/>
    <w:multiLevelType w:val="hybridMultilevel"/>
    <w:tmpl w:val="99E8F94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EC7163D"/>
    <w:multiLevelType w:val="hybridMultilevel"/>
    <w:tmpl w:val="8B86008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ECD504E"/>
    <w:multiLevelType w:val="hybridMultilevel"/>
    <w:tmpl w:val="E806B102"/>
    <w:lvl w:ilvl="0" w:tplc="56B4BA2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B715208"/>
    <w:multiLevelType w:val="multilevel"/>
    <w:tmpl w:val="3EAA66A0"/>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3B7300E"/>
    <w:multiLevelType w:val="hybridMultilevel"/>
    <w:tmpl w:val="85E64A32"/>
    <w:lvl w:ilvl="0" w:tplc="0409001B">
      <w:start w:val="1"/>
      <w:numFmt w:val="lowerRoman"/>
      <w:lvlText w:val="%1."/>
      <w:lvlJc w:val="righ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7" w15:restartNumberingAfterBreak="0">
    <w:nsid w:val="385149DD"/>
    <w:multiLevelType w:val="hybridMultilevel"/>
    <w:tmpl w:val="B164F8E6"/>
    <w:lvl w:ilvl="0" w:tplc="0409001B">
      <w:start w:val="1"/>
      <w:numFmt w:val="lowerRoman"/>
      <w:lvlText w:val="%1."/>
      <w:lvlJc w:val="righ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8"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3E74295A"/>
    <w:multiLevelType w:val="hybridMultilevel"/>
    <w:tmpl w:val="130AD9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4320733"/>
    <w:multiLevelType w:val="hybridMultilevel"/>
    <w:tmpl w:val="A54CDD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4483CB7"/>
    <w:multiLevelType w:val="multilevel"/>
    <w:tmpl w:val="8EEED1EA"/>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9AC1467"/>
    <w:multiLevelType w:val="hybridMultilevel"/>
    <w:tmpl w:val="D8C2473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8"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5877511"/>
    <w:multiLevelType w:val="multilevel"/>
    <w:tmpl w:val="2528CB18"/>
    <w:numStyleLink w:val="MOUList"/>
  </w:abstractNum>
  <w:abstractNum w:abstractNumId="32" w15:restartNumberingAfterBreak="0">
    <w:nsid w:val="574A032E"/>
    <w:multiLevelType w:val="hybridMultilevel"/>
    <w:tmpl w:val="9AB0F44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3"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6"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5ECC13F2"/>
    <w:multiLevelType w:val="multilevel"/>
    <w:tmpl w:val="BA0C132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0"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1" w15:restartNumberingAfterBreak="0">
    <w:nsid w:val="739D26F4"/>
    <w:multiLevelType w:val="hybridMultilevel"/>
    <w:tmpl w:val="49A49A2E"/>
    <w:lvl w:ilvl="0" w:tplc="0409001B">
      <w:start w:val="1"/>
      <w:numFmt w:val="low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16cid:durableId="1510291079">
    <w:abstractNumId w:val="13"/>
  </w:num>
  <w:num w:numId="2" w16cid:durableId="660357496">
    <w:abstractNumId w:val="10"/>
  </w:num>
  <w:num w:numId="3" w16cid:durableId="325474144">
    <w:abstractNumId w:val="35"/>
  </w:num>
  <w:num w:numId="4" w16cid:durableId="1820147811">
    <w:abstractNumId w:val="18"/>
  </w:num>
  <w:num w:numId="5" w16cid:durableId="1405375629">
    <w:abstractNumId w:val="12"/>
  </w:num>
  <w:num w:numId="6" w16cid:durableId="102580427">
    <w:abstractNumId w:val="8"/>
  </w:num>
  <w:num w:numId="7" w16cid:durableId="2040424246">
    <w:abstractNumId w:val="24"/>
  </w:num>
  <w:num w:numId="8" w16cid:durableId="901402666">
    <w:abstractNumId w:val="25"/>
  </w:num>
  <w:num w:numId="9" w16cid:durableId="1308172720">
    <w:abstractNumId w:val="7"/>
  </w:num>
  <w:num w:numId="10" w16cid:durableId="932980032">
    <w:abstractNumId w:val="29"/>
  </w:num>
  <w:num w:numId="11" w16cid:durableId="681204368">
    <w:abstractNumId w:val="5"/>
  </w:num>
  <w:num w:numId="12" w16cid:durableId="544759412">
    <w:abstractNumId w:val="33"/>
  </w:num>
  <w:num w:numId="13" w16cid:durableId="1093207062">
    <w:abstractNumId w:val="37"/>
  </w:num>
  <w:num w:numId="14" w16cid:durableId="1760130718">
    <w:abstractNumId w:val="36"/>
  </w:num>
  <w:num w:numId="15" w16cid:durableId="1477798573">
    <w:abstractNumId w:val="4"/>
  </w:num>
  <w:num w:numId="16" w16cid:durableId="974677661">
    <w:abstractNumId w:val="3"/>
  </w:num>
  <w:num w:numId="17" w16cid:durableId="21158596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4637598">
    <w:abstractNumId w:val="30"/>
  </w:num>
  <w:num w:numId="19" w16cid:durableId="248125194">
    <w:abstractNumId w:val="21"/>
  </w:num>
  <w:num w:numId="20" w16cid:durableId="564530653">
    <w:abstractNumId w:val="34"/>
  </w:num>
  <w:num w:numId="21" w16cid:durableId="1791240998">
    <w:abstractNumId w:val="20"/>
  </w:num>
  <w:num w:numId="22" w16cid:durableId="281307161">
    <w:abstractNumId w:val="14"/>
  </w:num>
  <w:num w:numId="23" w16cid:durableId="1764258361">
    <w:abstractNumId w:val="23"/>
  </w:num>
  <w:num w:numId="24" w16cid:durableId="339895764">
    <w:abstractNumId w:val="16"/>
  </w:num>
  <w:num w:numId="25" w16cid:durableId="1338339738">
    <w:abstractNumId w:val="38"/>
  </w:num>
  <w:num w:numId="26" w16cid:durableId="837693314">
    <w:abstractNumId w:val="28"/>
  </w:num>
  <w:num w:numId="27" w16cid:durableId="800926434">
    <w:abstractNumId w:val="31"/>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623344020">
    <w:abstractNumId w:val="40"/>
  </w:num>
  <w:num w:numId="29" w16cid:durableId="1460995096">
    <w:abstractNumId w:val="39"/>
  </w:num>
  <w:num w:numId="30" w16cid:durableId="322196521">
    <w:abstractNumId w:val="9"/>
  </w:num>
  <w:num w:numId="31" w16cid:durableId="1799958709">
    <w:abstractNumId w:val="22"/>
  </w:num>
  <w:num w:numId="32" w16cid:durableId="1174035750">
    <w:abstractNumId w:val="1"/>
  </w:num>
  <w:num w:numId="33" w16cid:durableId="619460273">
    <w:abstractNumId w:val="32"/>
  </w:num>
  <w:num w:numId="34" w16cid:durableId="1799761286">
    <w:abstractNumId w:val="6"/>
  </w:num>
  <w:num w:numId="35" w16cid:durableId="767504952">
    <w:abstractNumId w:val="15"/>
  </w:num>
  <w:num w:numId="36" w16cid:durableId="1464344589">
    <w:abstractNumId w:val="17"/>
  </w:num>
  <w:num w:numId="37" w16cid:durableId="1516457925">
    <w:abstractNumId w:val="41"/>
  </w:num>
  <w:num w:numId="38" w16cid:durableId="130025716">
    <w:abstractNumId w:val="2"/>
  </w:num>
  <w:num w:numId="39" w16cid:durableId="822622773">
    <w:abstractNumId w:val="19"/>
  </w:num>
  <w:num w:numId="40" w16cid:durableId="2121483114">
    <w:abstractNumId w:val="0"/>
  </w:num>
  <w:num w:numId="41" w16cid:durableId="561526121">
    <w:abstractNumId w:val="26"/>
  </w:num>
  <w:num w:numId="42" w16cid:durableId="25402154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3D67"/>
    <w:rsid w:val="000156B7"/>
    <w:rsid w:val="00017C38"/>
    <w:rsid w:val="000205FD"/>
    <w:rsid w:val="000210F8"/>
    <w:rsid w:val="0002281F"/>
    <w:rsid w:val="00022B43"/>
    <w:rsid w:val="00023B9B"/>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1AEF"/>
    <w:rsid w:val="0007239D"/>
    <w:rsid w:val="00075426"/>
    <w:rsid w:val="00076FB0"/>
    <w:rsid w:val="00080202"/>
    <w:rsid w:val="00081B0A"/>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6709"/>
    <w:rsid w:val="000D010D"/>
    <w:rsid w:val="000D2618"/>
    <w:rsid w:val="000D31D9"/>
    <w:rsid w:val="000D4419"/>
    <w:rsid w:val="000D49F9"/>
    <w:rsid w:val="000D4DFC"/>
    <w:rsid w:val="000D4F75"/>
    <w:rsid w:val="000D4FEE"/>
    <w:rsid w:val="000D70E6"/>
    <w:rsid w:val="000D7583"/>
    <w:rsid w:val="000D7C27"/>
    <w:rsid w:val="000E0993"/>
    <w:rsid w:val="000E0D3B"/>
    <w:rsid w:val="000E10DB"/>
    <w:rsid w:val="000E4F9D"/>
    <w:rsid w:val="000E667C"/>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09CD"/>
    <w:rsid w:val="00122651"/>
    <w:rsid w:val="001267AC"/>
    <w:rsid w:val="00127293"/>
    <w:rsid w:val="0012785C"/>
    <w:rsid w:val="00127E74"/>
    <w:rsid w:val="00131B56"/>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2C8B"/>
    <w:rsid w:val="00174CAF"/>
    <w:rsid w:val="00176D38"/>
    <w:rsid w:val="0017725F"/>
    <w:rsid w:val="00182519"/>
    <w:rsid w:val="0018280E"/>
    <w:rsid w:val="00187025"/>
    <w:rsid w:val="00190550"/>
    <w:rsid w:val="001942E5"/>
    <w:rsid w:val="00195D2E"/>
    <w:rsid w:val="001975EC"/>
    <w:rsid w:val="0019777A"/>
    <w:rsid w:val="001A173B"/>
    <w:rsid w:val="001A4F28"/>
    <w:rsid w:val="001A627D"/>
    <w:rsid w:val="001A6D73"/>
    <w:rsid w:val="001B0231"/>
    <w:rsid w:val="001B03E3"/>
    <w:rsid w:val="001B5D84"/>
    <w:rsid w:val="001B7DCE"/>
    <w:rsid w:val="001C29F5"/>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37995"/>
    <w:rsid w:val="00242B93"/>
    <w:rsid w:val="00245806"/>
    <w:rsid w:val="002464F0"/>
    <w:rsid w:val="00251F8F"/>
    <w:rsid w:val="00252FCB"/>
    <w:rsid w:val="00253223"/>
    <w:rsid w:val="002542A2"/>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24C"/>
    <w:rsid w:val="002968EA"/>
    <w:rsid w:val="00297556"/>
    <w:rsid w:val="002A1E91"/>
    <w:rsid w:val="002A4A2F"/>
    <w:rsid w:val="002A4DA3"/>
    <w:rsid w:val="002A6687"/>
    <w:rsid w:val="002A6AEF"/>
    <w:rsid w:val="002A7674"/>
    <w:rsid w:val="002B0D7A"/>
    <w:rsid w:val="002B13F1"/>
    <w:rsid w:val="002B170E"/>
    <w:rsid w:val="002B1A25"/>
    <w:rsid w:val="002B222C"/>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07CF2"/>
    <w:rsid w:val="003112E4"/>
    <w:rsid w:val="00312025"/>
    <w:rsid w:val="00312B07"/>
    <w:rsid w:val="0031336E"/>
    <w:rsid w:val="00313500"/>
    <w:rsid w:val="00314456"/>
    <w:rsid w:val="003145FD"/>
    <w:rsid w:val="0031481D"/>
    <w:rsid w:val="00314E5C"/>
    <w:rsid w:val="003158EB"/>
    <w:rsid w:val="00315BE7"/>
    <w:rsid w:val="00315C7E"/>
    <w:rsid w:val="00316C98"/>
    <w:rsid w:val="00317923"/>
    <w:rsid w:val="0032150B"/>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47393"/>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0467"/>
    <w:rsid w:val="00382569"/>
    <w:rsid w:val="00383EE2"/>
    <w:rsid w:val="00387F13"/>
    <w:rsid w:val="00390A05"/>
    <w:rsid w:val="00390DB6"/>
    <w:rsid w:val="00391DD1"/>
    <w:rsid w:val="00392299"/>
    <w:rsid w:val="00392AC3"/>
    <w:rsid w:val="003967D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307BE"/>
    <w:rsid w:val="00431C14"/>
    <w:rsid w:val="00435DC8"/>
    <w:rsid w:val="00437785"/>
    <w:rsid w:val="004419A8"/>
    <w:rsid w:val="00443744"/>
    <w:rsid w:val="00445058"/>
    <w:rsid w:val="00445C89"/>
    <w:rsid w:val="0044669E"/>
    <w:rsid w:val="00453993"/>
    <w:rsid w:val="004544D7"/>
    <w:rsid w:val="0045759E"/>
    <w:rsid w:val="00465653"/>
    <w:rsid w:val="00470AB2"/>
    <w:rsid w:val="004759E9"/>
    <w:rsid w:val="00475D0F"/>
    <w:rsid w:val="004801A7"/>
    <w:rsid w:val="0048020C"/>
    <w:rsid w:val="00481EEE"/>
    <w:rsid w:val="004825E8"/>
    <w:rsid w:val="00483DAC"/>
    <w:rsid w:val="004849EE"/>
    <w:rsid w:val="004867BB"/>
    <w:rsid w:val="00487D8F"/>
    <w:rsid w:val="00492383"/>
    <w:rsid w:val="00492619"/>
    <w:rsid w:val="00492684"/>
    <w:rsid w:val="00492990"/>
    <w:rsid w:val="004929F4"/>
    <w:rsid w:val="00496DCD"/>
    <w:rsid w:val="00496ED0"/>
    <w:rsid w:val="00497C61"/>
    <w:rsid w:val="004A4A27"/>
    <w:rsid w:val="004B45F7"/>
    <w:rsid w:val="004B597F"/>
    <w:rsid w:val="004B75B3"/>
    <w:rsid w:val="004C02A0"/>
    <w:rsid w:val="004C0DB6"/>
    <w:rsid w:val="004C2C74"/>
    <w:rsid w:val="004C34B2"/>
    <w:rsid w:val="004C6E60"/>
    <w:rsid w:val="004C795B"/>
    <w:rsid w:val="004C7DAC"/>
    <w:rsid w:val="004D007C"/>
    <w:rsid w:val="004D11C4"/>
    <w:rsid w:val="004D2739"/>
    <w:rsid w:val="004D392D"/>
    <w:rsid w:val="004D466F"/>
    <w:rsid w:val="004D5BFA"/>
    <w:rsid w:val="004E147B"/>
    <w:rsid w:val="004E4AF2"/>
    <w:rsid w:val="004E5170"/>
    <w:rsid w:val="004F7C4E"/>
    <w:rsid w:val="00502D4E"/>
    <w:rsid w:val="00504C57"/>
    <w:rsid w:val="005075E3"/>
    <w:rsid w:val="005129C0"/>
    <w:rsid w:val="00513347"/>
    <w:rsid w:val="00513F73"/>
    <w:rsid w:val="00517EBD"/>
    <w:rsid w:val="00524487"/>
    <w:rsid w:val="00524AF9"/>
    <w:rsid w:val="00527D1B"/>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349A"/>
    <w:rsid w:val="0059778A"/>
    <w:rsid w:val="00597EA5"/>
    <w:rsid w:val="005A385B"/>
    <w:rsid w:val="005A4A32"/>
    <w:rsid w:val="005A5C92"/>
    <w:rsid w:val="005B0639"/>
    <w:rsid w:val="005B29DC"/>
    <w:rsid w:val="005B4C2B"/>
    <w:rsid w:val="005C1E31"/>
    <w:rsid w:val="005C3491"/>
    <w:rsid w:val="005C554B"/>
    <w:rsid w:val="005C55DF"/>
    <w:rsid w:val="005C5777"/>
    <w:rsid w:val="005C5EAE"/>
    <w:rsid w:val="005C631C"/>
    <w:rsid w:val="005C7E7D"/>
    <w:rsid w:val="005D0369"/>
    <w:rsid w:val="005D0FDF"/>
    <w:rsid w:val="005D13EB"/>
    <w:rsid w:val="005D1EC4"/>
    <w:rsid w:val="005D4FDA"/>
    <w:rsid w:val="005D5580"/>
    <w:rsid w:val="005D58E5"/>
    <w:rsid w:val="005D6CB6"/>
    <w:rsid w:val="005E3815"/>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20365"/>
    <w:rsid w:val="00632E5F"/>
    <w:rsid w:val="00634BB6"/>
    <w:rsid w:val="006402DE"/>
    <w:rsid w:val="00641654"/>
    <w:rsid w:val="00642075"/>
    <w:rsid w:val="00642B89"/>
    <w:rsid w:val="00644282"/>
    <w:rsid w:val="00645496"/>
    <w:rsid w:val="00651DC8"/>
    <w:rsid w:val="00653CC7"/>
    <w:rsid w:val="00654308"/>
    <w:rsid w:val="00656961"/>
    <w:rsid w:val="00660C37"/>
    <w:rsid w:val="006643D8"/>
    <w:rsid w:val="00664624"/>
    <w:rsid w:val="00665E2F"/>
    <w:rsid w:val="0066703F"/>
    <w:rsid w:val="006753E3"/>
    <w:rsid w:val="00676143"/>
    <w:rsid w:val="00676FA7"/>
    <w:rsid w:val="00685CE2"/>
    <w:rsid w:val="00686493"/>
    <w:rsid w:val="00692502"/>
    <w:rsid w:val="00692C37"/>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26086"/>
    <w:rsid w:val="00730B92"/>
    <w:rsid w:val="00733F68"/>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4ADF"/>
    <w:rsid w:val="00775B4F"/>
    <w:rsid w:val="00781159"/>
    <w:rsid w:val="00786481"/>
    <w:rsid w:val="00786FF7"/>
    <w:rsid w:val="00792351"/>
    <w:rsid w:val="00797BC5"/>
    <w:rsid w:val="007A25BA"/>
    <w:rsid w:val="007A6013"/>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2C16"/>
    <w:rsid w:val="007E32ED"/>
    <w:rsid w:val="007E3BC8"/>
    <w:rsid w:val="007E5428"/>
    <w:rsid w:val="007E74CF"/>
    <w:rsid w:val="007F106C"/>
    <w:rsid w:val="007F16D9"/>
    <w:rsid w:val="007F20A7"/>
    <w:rsid w:val="007F3498"/>
    <w:rsid w:val="007F370D"/>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C7E8A"/>
    <w:rsid w:val="008D1514"/>
    <w:rsid w:val="008D1584"/>
    <w:rsid w:val="008D2FFB"/>
    <w:rsid w:val="008D450B"/>
    <w:rsid w:val="008D5F42"/>
    <w:rsid w:val="008D7B70"/>
    <w:rsid w:val="008E0BF4"/>
    <w:rsid w:val="008E228D"/>
    <w:rsid w:val="008E53A0"/>
    <w:rsid w:val="008E642A"/>
    <w:rsid w:val="008E69D0"/>
    <w:rsid w:val="008F1B64"/>
    <w:rsid w:val="008F1CA8"/>
    <w:rsid w:val="008F33F0"/>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08"/>
    <w:rsid w:val="00945E3C"/>
    <w:rsid w:val="0094612E"/>
    <w:rsid w:val="00946D91"/>
    <w:rsid w:val="0094727C"/>
    <w:rsid w:val="00950416"/>
    <w:rsid w:val="0095116E"/>
    <w:rsid w:val="009517F2"/>
    <w:rsid w:val="009528FA"/>
    <w:rsid w:val="00954E77"/>
    <w:rsid w:val="00960F32"/>
    <w:rsid w:val="009635F4"/>
    <w:rsid w:val="00965AE9"/>
    <w:rsid w:val="009668A0"/>
    <w:rsid w:val="009700D0"/>
    <w:rsid w:val="0097034E"/>
    <w:rsid w:val="00973AE2"/>
    <w:rsid w:val="009756FA"/>
    <w:rsid w:val="00976661"/>
    <w:rsid w:val="00987AEC"/>
    <w:rsid w:val="0099063A"/>
    <w:rsid w:val="00992570"/>
    <w:rsid w:val="00992B4C"/>
    <w:rsid w:val="00993261"/>
    <w:rsid w:val="0099364E"/>
    <w:rsid w:val="00993813"/>
    <w:rsid w:val="00993A34"/>
    <w:rsid w:val="0099514A"/>
    <w:rsid w:val="0099764D"/>
    <w:rsid w:val="009A1613"/>
    <w:rsid w:val="009A5CDC"/>
    <w:rsid w:val="009A627C"/>
    <w:rsid w:val="009A7413"/>
    <w:rsid w:val="009B350D"/>
    <w:rsid w:val="009B448D"/>
    <w:rsid w:val="009B5E10"/>
    <w:rsid w:val="009C01EA"/>
    <w:rsid w:val="009C0911"/>
    <w:rsid w:val="009C3D22"/>
    <w:rsid w:val="009C48C9"/>
    <w:rsid w:val="009C4C4B"/>
    <w:rsid w:val="009D0CDB"/>
    <w:rsid w:val="009D0F29"/>
    <w:rsid w:val="009D199C"/>
    <w:rsid w:val="009D4D4D"/>
    <w:rsid w:val="009D6B79"/>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07BC"/>
    <w:rsid w:val="00A51A60"/>
    <w:rsid w:val="00A51D9D"/>
    <w:rsid w:val="00A5202E"/>
    <w:rsid w:val="00A52EB4"/>
    <w:rsid w:val="00A61016"/>
    <w:rsid w:val="00A61D62"/>
    <w:rsid w:val="00A62672"/>
    <w:rsid w:val="00A62C2B"/>
    <w:rsid w:val="00A63087"/>
    <w:rsid w:val="00A653F3"/>
    <w:rsid w:val="00A65D6B"/>
    <w:rsid w:val="00A67B0A"/>
    <w:rsid w:val="00A70290"/>
    <w:rsid w:val="00A70467"/>
    <w:rsid w:val="00A7066B"/>
    <w:rsid w:val="00A7300D"/>
    <w:rsid w:val="00A767CC"/>
    <w:rsid w:val="00A767EC"/>
    <w:rsid w:val="00A803FD"/>
    <w:rsid w:val="00A816FC"/>
    <w:rsid w:val="00A848DF"/>
    <w:rsid w:val="00A86DD2"/>
    <w:rsid w:val="00A90043"/>
    <w:rsid w:val="00A90B9E"/>
    <w:rsid w:val="00A91FC3"/>
    <w:rsid w:val="00A932DF"/>
    <w:rsid w:val="00A95357"/>
    <w:rsid w:val="00AA024E"/>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53A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1B64"/>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2C9D"/>
    <w:rsid w:val="00BA5A19"/>
    <w:rsid w:val="00BA7833"/>
    <w:rsid w:val="00BB02D4"/>
    <w:rsid w:val="00BB1979"/>
    <w:rsid w:val="00BB6D26"/>
    <w:rsid w:val="00BC00C8"/>
    <w:rsid w:val="00BC0A8D"/>
    <w:rsid w:val="00BC28F1"/>
    <w:rsid w:val="00BC3F04"/>
    <w:rsid w:val="00BC41B6"/>
    <w:rsid w:val="00BC4907"/>
    <w:rsid w:val="00BC566A"/>
    <w:rsid w:val="00BD04DE"/>
    <w:rsid w:val="00BD1C46"/>
    <w:rsid w:val="00BD2BD8"/>
    <w:rsid w:val="00BD4BC8"/>
    <w:rsid w:val="00BD595A"/>
    <w:rsid w:val="00BE3331"/>
    <w:rsid w:val="00BE39E2"/>
    <w:rsid w:val="00BE4C69"/>
    <w:rsid w:val="00BE57EA"/>
    <w:rsid w:val="00BE7891"/>
    <w:rsid w:val="00BF2D45"/>
    <w:rsid w:val="00BF400D"/>
    <w:rsid w:val="00BF697F"/>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26C2E"/>
    <w:rsid w:val="00C337CA"/>
    <w:rsid w:val="00C337EB"/>
    <w:rsid w:val="00C34EDA"/>
    <w:rsid w:val="00C36343"/>
    <w:rsid w:val="00C407EE"/>
    <w:rsid w:val="00C4144A"/>
    <w:rsid w:val="00C4177B"/>
    <w:rsid w:val="00C452E5"/>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774C5"/>
    <w:rsid w:val="00C80839"/>
    <w:rsid w:val="00C80908"/>
    <w:rsid w:val="00C80C92"/>
    <w:rsid w:val="00C80D03"/>
    <w:rsid w:val="00C81A41"/>
    <w:rsid w:val="00C82C27"/>
    <w:rsid w:val="00C86BAD"/>
    <w:rsid w:val="00C87494"/>
    <w:rsid w:val="00C908A1"/>
    <w:rsid w:val="00C92562"/>
    <w:rsid w:val="00C92AF0"/>
    <w:rsid w:val="00C9327F"/>
    <w:rsid w:val="00C941B3"/>
    <w:rsid w:val="00C9680F"/>
    <w:rsid w:val="00C976A5"/>
    <w:rsid w:val="00CA27A3"/>
    <w:rsid w:val="00CB4090"/>
    <w:rsid w:val="00CB74C4"/>
    <w:rsid w:val="00CB7F42"/>
    <w:rsid w:val="00CC15AF"/>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987"/>
    <w:rsid w:val="00CF6AC2"/>
    <w:rsid w:val="00CF7FBD"/>
    <w:rsid w:val="00D03779"/>
    <w:rsid w:val="00D0381D"/>
    <w:rsid w:val="00D044F5"/>
    <w:rsid w:val="00D04743"/>
    <w:rsid w:val="00D05306"/>
    <w:rsid w:val="00D111A4"/>
    <w:rsid w:val="00D138E3"/>
    <w:rsid w:val="00D14F73"/>
    <w:rsid w:val="00D1622D"/>
    <w:rsid w:val="00D17605"/>
    <w:rsid w:val="00D216E3"/>
    <w:rsid w:val="00D223D4"/>
    <w:rsid w:val="00D24DFA"/>
    <w:rsid w:val="00D259DB"/>
    <w:rsid w:val="00D27208"/>
    <w:rsid w:val="00D34A04"/>
    <w:rsid w:val="00D35FDC"/>
    <w:rsid w:val="00D36FB2"/>
    <w:rsid w:val="00D378FC"/>
    <w:rsid w:val="00D42253"/>
    <w:rsid w:val="00D428EB"/>
    <w:rsid w:val="00D43070"/>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33D4"/>
    <w:rsid w:val="00D74717"/>
    <w:rsid w:val="00D74AAD"/>
    <w:rsid w:val="00D75E0B"/>
    <w:rsid w:val="00D7717C"/>
    <w:rsid w:val="00D809AB"/>
    <w:rsid w:val="00D816B5"/>
    <w:rsid w:val="00D8271E"/>
    <w:rsid w:val="00D835C1"/>
    <w:rsid w:val="00D8721B"/>
    <w:rsid w:val="00D875AC"/>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4306"/>
    <w:rsid w:val="00DE71A3"/>
    <w:rsid w:val="00DE72A5"/>
    <w:rsid w:val="00DE7A5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CDC"/>
    <w:rsid w:val="00E24E71"/>
    <w:rsid w:val="00E3061A"/>
    <w:rsid w:val="00E323FD"/>
    <w:rsid w:val="00E329C6"/>
    <w:rsid w:val="00E367B1"/>
    <w:rsid w:val="00E37567"/>
    <w:rsid w:val="00E42240"/>
    <w:rsid w:val="00E46145"/>
    <w:rsid w:val="00E51021"/>
    <w:rsid w:val="00E513F3"/>
    <w:rsid w:val="00E52E73"/>
    <w:rsid w:val="00E52EC9"/>
    <w:rsid w:val="00E5363C"/>
    <w:rsid w:val="00E5436A"/>
    <w:rsid w:val="00E544D5"/>
    <w:rsid w:val="00E56464"/>
    <w:rsid w:val="00E56674"/>
    <w:rsid w:val="00E5781A"/>
    <w:rsid w:val="00E6079D"/>
    <w:rsid w:val="00E6137A"/>
    <w:rsid w:val="00E6614C"/>
    <w:rsid w:val="00E70172"/>
    <w:rsid w:val="00E70820"/>
    <w:rsid w:val="00E70FF3"/>
    <w:rsid w:val="00E71A67"/>
    <w:rsid w:val="00E73699"/>
    <w:rsid w:val="00E75163"/>
    <w:rsid w:val="00E75319"/>
    <w:rsid w:val="00E7556B"/>
    <w:rsid w:val="00E757E1"/>
    <w:rsid w:val="00E76FC8"/>
    <w:rsid w:val="00E77106"/>
    <w:rsid w:val="00E8056E"/>
    <w:rsid w:val="00E829DA"/>
    <w:rsid w:val="00E8486D"/>
    <w:rsid w:val="00E85901"/>
    <w:rsid w:val="00E85E6D"/>
    <w:rsid w:val="00E902D5"/>
    <w:rsid w:val="00E909C4"/>
    <w:rsid w:val="00E90DC1"/>
    <w:rsid w:val="00E91D4B"/>
    <w:rsid w:val="00E92256"/>
    <w:rsid w:val="00E93860"/>
    <w:rsid w:val="00E94566"/>
    <w:rsid w:val="00E96050"/>
    <w:rsid w:val="00E97379"/>
    <w:rsid w:val="00EA166A"/>
    <w:rsid w:val="00EA6B56"/>
    <w:rsid w:val="00EB172C"/>
    <w:rsid w:val="00EB2D3E"/>
    <w:rsid w:val="00EB564D"/>
    <w:rsid w:val="00EB5D03"/>
    <w:rsid w:val="00EC012F"/>
    <w:rsid w:val="00EC03C8"/>
    <w:rsid w:val="00EC0826"/>
    <w:rsid w:val="00EC0B9F"/>
    <w:rsid w:val="00EC158B"/>
    <w:rsid w:val="00EC6410"/>
    <w:rsid w:val="00EC7B59"/>
    <w:rsid w:val="00ED0728"/>
    <w:rsid w:val="00ED11D1"/>
    <w:rsid w:val="00ED31B1"/>
    <w:rsid w:val="00ED6648"/>
    <w:rsid w:val="00EE4F5E"/>
    <w:rsid w:val="00EE5492"/>
    <w:rsid w:val="00EE5595"/>
    <w:rsid w:val="00EE7216"/>
    <w:rsid w:val="00EE7CC9"/>
    <w:rsid w:val="00EF1A5D"/>
    <w:rsid w:val="00EF2414"/>
    <w:rsid w:val="00EF38A2"/>
    <w:rsid w:val="00EF41AB"/>
    <w:rsid w:val="00EF5B78"/>
    <w:rsid w:val="00EF5F8B"/>
    <w:rsid w:val="00EF6C03"/>
    <w:rsid w:val="00EF78A7"/>
    <w:rsid w:val="00F0190C"/>
    <w:rsid w:val="00F06159"/>
    <w:rsid w:val="00F06D94"/>
    <w:rsid w:val="00F12C84"/>
    <w:rsid w:val="00F15A5A"/>
    <w:rsid w:val="00F27B51"/>
    <w:rsid w:val="00F36081"/>
    <w:rsid w:val="00F42516"/>
    <w:rsid w:val="00F430A5"/>
    <w:rsid w:val="00F4326D"/>
    <w:rsid w:val="00F52356"/>
    <w:rsid w:val="00F540AD"/>
    <w:rsid w:val="00F5689F"/>
    <w:rsid w:val="00F569F1"/>
    <w:rsid w:val="00F57637"/>
    <w:rsid w:val="00F57EA3"/>
    <w:rsid w:val="00F6253C"/>
    <w:rsid w:val="00F63F01"/>
    <w:rsid w:val="00F714AE"/>
    <w:rsid w:val="00F75B4E"/>
    <w:rsid w:val="00F811C0"/>
    <w:rsid w:val="00F82335"/>
    <w:rsid w:val="00F83B1D"/>
    <w:rsid w:val="00F852C6"/>
    <w:rsid w:val="00F86F74"/>
    <w:rsid w:val="00F90856"/>
    <w:rsid w:val="00F90B91"/>
    <w:rsid w:val="00F911A8"/>
    <w:rsid w:val="00F91A9F"/>
    <w:rsid w:val="00F94D8B"/>
    <w:rsid w:val="00F96620"/>
    <w:rsid w:val="00FA0041"/>
    <w:rsid w:val="00FA0BEA"/>
    <w:rsid w:val="00FA2073"/>
    <w:rsid w:val="00FA47DA"/>
    <w:rsid w:val="00FA63E8"/>
    <w:rsid w:val="00FA6B43"/>
    <w:rsid w:val="00FA70A0"/>
    <w:rsid w:val="00FA7D05"/>
    <w:rsid w:val="00FB0141"/>
    <w:rsid w:val="00FB2250"/>
    <w:rsid w:val="00FB303F"/>
    <w:rsid w:val="00FB3B26"/>
    <w:rsid w:val="00FB5DA2"/>
    <w:rsid w:val="00FB68D2"/>
    <w:rsid w:val="00FB68F6"/>
    <w:rsid w:val="00FB7812"/>
    <w:rsid w:val="00FB7A75"/>
    <w:rsid w:val="00FC050B"/>
    <w:rsid w:val="00FC0512"/>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E5FE5"/>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styleId="FollowedHyperlink">
    <w:name w:val="FollowedHyperlink"/>
    <w:basedOn w:val="DefaultParagraphFont"/>
    <w:uiPriority w:val="99"/>
    <w:semiHidden/>
    <w:unhideWhenUsed/>
    <w:rsid w:val="00023B9B"/>
    <w:rPr>
      <w:color w:val="800080" w:themeColor="followedHyperlink"/>
      <w:u w:val="single"/>
    </w:rPr>
  </w:style>
  <w:style w:type="paragraph" w:customStyle="1" w:styleId="ExhibitC1">
    <w:name w:val="ExhibitC1"/>
    <w:basedOn w:val="Normal"/>
    <w:rsid w:val="00ED11D1"/>
    <w:pPr>
      <w:numPr>
        <w:numId w:val="42"/>
      </w:numPr>
    </w:pPr>
    <w:rPr>
      <w:rFonts w:eastAsia="Times New Roman"/>
      <w:noProof/>
      <w:u w:val="single"/>
    </w:rPr>
  </w:style>
  <w:style w:type="paragraph" w:customStyle="1" w:styleId="ExhibitC2">
    <w:name w:val="ExhibitC2"/>
    <w:basedOn w:val="Normal"/>
    <w:rsid w:val="00ED11D1"/>
    <w:pPr>
      <w:numPr>
        <w:ilvl w:val="1"/>
        <w:numId w:val="42"/>
      </w:numPr>
    </w:pPr>
    <w:rPr>
      <w:rFonts w:eastAsia="Times New Roman"/>
      <w:noProof/>
    </w:rPr>
  </w:style>
  <w:style w:type="paragraph" w:customStyle="1" w:styleId="ExhibitC3">
    <w:name w:val="ExhibitC3"/>
    <w:basedOn w:val="Normal"/>
    <w:rsid w:val="00ED11D1"/>
    <w:pPr>
      <w:keepNext/>
      <w:numPr>
        <w:ilvl w:val="2"/>
        <w:numId w:val="42"/>
      </w:numPr>
      <w:tabs>
        <w:tab w:val="left" w:pos="2592"/>
        <w:tab w:val="left" w:pos="4176"/>
        <w:tab w:val="left" w:pos="10710"/>
      </w:tabs>
      <w:ind w:right="187"/>
      <w:outlineLvl w:val="0"/>
    </w:pPr>
    <w:rPr>
      <w:rFonts w:eastAsia="Times New Roman"/>
    </w:rPr>
  </w:style>
  <w:style w:type="paragraph" w:customStyle="1" w:styleId="ExhibitC4">
    <w:name w:val="ExhibitC4"/>
    <w:basedOn w:val="Normal"/>
    <w:rsid w:val="00ED11D1"/>
    <w:pPr>
      <w:numPr>
        <w:ilvl w:val="3"/>
        <w:numId w:val="42"/>
      </w:numPr>
      <w:spacing w:before="120" w:after="120"/>
    </w:pPr>
    <w:rPr>
      <w:rFonts w:eastAsia="Times New Roman"/>
    </w:rPr>
  </w:style>
  <w:style w:type="paragraph" w:customStyle="1" w:styleId="ExhibitC5">
    <w:name w:val="ExhibitC5"/>
    <w:basedOn w:val="Normal"/>
    <w:rsid w:val="00ED11D1"/>
    <w:pPr>
      <w:numPr>
        <w:ilvl w:val="4"/>
        <w:numId w:val="42"/>
      </w:numPr>
      <w:spacing w:before="120" w:after="120"/>
    </w:pPr>
    <w:rPr>
      <w:rFonts w:eastAsia="Times New Roman"/>
    </w:rPr>
  </w:style>
  <w:style w:type="paragraph" w:customStyle="1" w:styleId="ExhibitC6">
    <w:name w:val="ExhibitC6"/>
    <w:basedOn w:val="Normal"/>
    <w:rsid w:val="00ED11D1"/>
    <w:pPr>
      <w:numPr>
        <w:ilvl w:val="5"/>
        <w:numId w:val="42"/>
      </w:numPr>
      <w:spacing w:before="120" w:after="120"/>
    </w:pPr>
    <w:rPr>
      <w:rFonts w:eastAsia="Times New Roman"/>
    </w:rPr>
  </w:style>
  <w:style w:type="paragraph" w:customStyle="1" w:styleId="ExhibitC7">
    <w:name w:val="ExhibitC7"/>
    <w:basedOn w:val="Normal"/>
    <w:rsid w:val="00ED11D1"/>
    <w:pPr>
      <w:numPr>
        <w:ilvl w:val="6"/>
        <w:numId w:val="42"/>
      </w:numPr>
      <w:spacing w:before="120"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urts.ca.gov/jbwcp.htm" TargetMode="Externa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mailto:JBWCP@jud.ca.gov"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www.courts.ca.gov/documents/jbwcp_Sedgwick_Service_Guidelines_.pdf" TargetMode="Externa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urts.ca.gov/jbwcp.htm" TargetMode="External"/><Relationship Id="rId22" Type="http://schemas.openxmlformats.org/officeDocument/2006/relationships/hyperlink" Target="https://www.courts.ca.gov/documents/JBCM-Post-Contract-Certification-Form.docx" TargetMode="External"/><Relationship Id="rId27"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10638</Words>
  <Characters>58889</Characters>
  <Application>Microsoft Office Word</Application>
  <DocSecurity>0</DocSecurity>
  <Lines>981</Lines>
  <Paragraphs>312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APPENDIX A</vt:lpstr>
      <vt:lpstr>Services</vt:lpstr>
      <vt:lpstr>    </vt:lpstr>
      <vt:lpstr>    Date submitted to the JBE:_____________</vt:lpstr>
      <vt:lpstr/>
      <vt:lpstr>APPENDIX B</vt:lpstr>
      <vt:lpstr>Payment Provisions </vt:lpstr>
      <vt:lpstr>        .</vt:lpstr>
      <vt:lpstr>APPENDIX C</vt:lpstr>
      <vt:lpstr>General Provisions</vt:lpstr>
      <vt:lpstr>APPENDIX D</vt:lpstr>
      <vt:lpstr>Defined Terms</vt:lpstr>
      <vt:lpstr>APPENDIX E</vt:lpstr>
    </vt:vector>
  </TitlesOfParts>
  <Company/>
  <LinksUpToDate>false</LinksUpToDate>
  <CharactersWithSpaces>69622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Shirley</dc:creator>
  <cp:lastModifiedBy>Ho, Lana</cp:lastModifiedBy>
  <cp:revision>2</cp:revision>
  <dcterms:created xsi:type="dcterms:W3CDTF">2023-11-15T17:01:00Z</dcterms:created>
  <dcterms:modified xsi:type="dcterms:W3CDTF">2023-11-15T17:01:00Z</dcterms:modified>
</cp:coreProperties>
</file>