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E44784" w:rsidTr="00AB585B">
        <w:trPr>
          <w:cantSplit/>
          <w:trHeight w:hRule="exact" w:val="4860"/>
        </w:trPr>
        <w:tc>
          <w:tcPr>
            <w:tcW w:w="2880" w:type="dxa"/>
            <w:vMerge w:val="restart"/>
            <w:tcMar>
              <w:left w:w="0" w:type="dxa"/>
              <w:right w:w="0" w:type="dxa"/>
            </w:tcMar>
          </w:tcPr>
          <w:p w:rsidR="00C37FF7" w:rsidRPr="00E44784" w:rsidRDefault="00C37FF7" w:rsidP="00AB585B">
            <w:pPr>
              <w:rPr>
                <w:rFonts w:ascii="Arial" w:hAnsi="Arial" w:cs="Arial"/>
              </w:rPr>
            </w:pPr>
            <w:r w:rsidRPr="00E44784">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E44784" w:rsidRDefault="00C37FF7" w:rsidP="00AB585B">
            <w:pPr>
              <w:rPr>
                <w:rFonts w:ascii="Arial" w:hAnsi="Arial" w:cs="Arial"/>
                <w:color w:val="000000" w:themeColor="text1"/>
              </w:rPr>
            </w:pPr>
          </w:p>
        </w:tc>
        <w:tc>
          <w:tcPr>
            <w:tcW w:w="6300" w:type="dxa"/>
            <w:tcBorders>
              <w:bottom w:val="single" w:sz="4" w:space="0" w:color="auto"/>
            </w:tcBorders>
            <w:tcMar>
              <w:left w:w="0" w:type="dxa"/>
              <w:right w:w="0" w:type="dxa"/>
            </w:tcMar>
            <w:vAlign w:val="bottom"/>
          </w:tcPr>
          <w:p w:rsidR="00C37FF7" w:rsidRPr="00E44784" w:rsidRDefault="00C37FF7" w:rsidP="00AB585B">
            <w:pPr>
              <w:pStyle w:val="JCCReportCoverTitle"/>
              <w:rPr>
                <w:rFonts w:ascii="Arial" w:hAnsi="Arial" w:cs="Arial"/>
                <w:color w:val="000000" w:themeColor="text1"/>
              </w:rPr>
            </w:pPr>
            <w:r w:rsidRPr="00E44784">
              <w:rPr>
                <w:rFonts w:ascii="Arial" w:hAnsi="Arial" w:cs="Arial"/>
                <w:color w:val="000000" w:themeColor="text1"/>
              </w:rPr>
              <w:t>REQUEST FOR PROPOSAL</w:t>
            </w:r>
            <w:r w:rsidR="004425FB" w:rsidRPr="00E44784">
              <w:rPr>
                <w:rFonts w:ascii="Arial" w:hAnsi="Arial" w:cs="Arial"/>
                <w:color w:val="000000" w:themeColor="text1"/>
              </w:rPr>
              <w:t>S</w:t>
            </w:r>
          </w:p>
          <w:p w:rsidR="00C37FF7" w:rsidRPr="00E44784" w:rsidRDefault="00C37FF7" w:rsidP="00AB585B">
            <w:pPr>
              <w:pStyle w:val="JCCReportCoverSpacer"/>
              <w:rPr>
                <w:rFonts w:ascii="Arial" w:hAnsi="Arial" w:cs="Arial"/>
                <w:color w:val="000000" w:themeColor="text1"/>
              </w:rPr>
            </w:pPr>
            <w:r w:rsidRPr="00E44784">
              <w:rPr>
                <w:rFonts w:ascii="Arial" w:hAnsi="Arial" w:cs="Arial"/>
                <w:color w:val="000000" w:themeColor="text1"/>
              </w:rPr>
              <w:t xml:space="preserve"> </w:t>
            </w:r>
          </w:p>
        </w:tc>
      </w:tr>
      <w:tr w:rsidR="00C37FF7" w:rsidRPr="00E44784" w:rsidTr="00AB585B">
        <w:trPr>
          <w:cantSplit/>
          <w:trHeight w:hRule="exact" w:val="6580"/>
        </w:trPr>
        <w:tc>
          <w:tcPr>
            <w:tcW w:w="2880" w:type="dxa"/>
            <w:vMerge/>
            <w:tcMar>
              <w:left w:w="0" w:type="dxa"/>
              <w:right w:w="0" w:type="dxa"/>
            </w:tcMar>
          </w:tcPr>
          <w:p w:rsidR="00C37FF7" w:rsidRPr="00E44784" w:rsidRDefault="00C37FF7" w:rsidP="00AB585B">
            <w:pPr>
              <w:rPr>
                <w:rFonts w:ascii="Arial" w:hAnsi="Arial" w:cs="Arial"/>
              </w:rPr>
            </w:pPr>
          </w:p>
        </w:tc>
        <w:tc>
          <w:tcPr>
            <w:tcW w:w="270" w:type="dxa"/>
            <w:vMerge/>
            <w:tcMar>
              <w:left w:w="0" w:type="dxa"/>
              <w:right w:w="0" w:type="dxa"/>
            </w:tcMar>
          </w:tcPr>
          <w:p w:rsidR="00C37FF7" w:rsidRPr="00E44784" w:rsidRDefault="00C37FF7" w:rsidP="00AB585B">
            <w:pPr>
              <w:rPr>
                <w:rFonts w:ascii="Arial" w:hAnsi="Arial" w:cs="Arial"/>
                <w:b/>
                <w:caps/>
                <w:color w:val="000000" w:themeColor="text1"/>
                <w:spacing w:val="20"/>
                <w:sz w:val="28"/>
              </w:rPr>
            </w:pPr>
          </w:p>
        </w:tc>
        <w:tc>
          <w:tcPr>
            <w:tcW w:w="6300" w:type="dxa"/>
            <w:tcBorders>
              <w:top w:val="single" w:sz="4" w:space="0" w:color="auto"/>
            </w:tcBorders>
            <w:tcMar>
              <w:left w:w="0" w:type="dxa"/>
              <w:right w:w="0" w:type="dxa"/>
            </w:tcMar>
          </w:tcPr>
          <w:p w:rsidR="00C37FF7" w:rsidRPr="00E44784" w:rsidRDefault="00C37FF7" w:rsidP="00AB585B">
            <w:pPr>
              <w:pStyle w:val="JCCReportCoverSubhead"/>
              <w:rPr>
                <w:rFonts w:ascii="Arial" w:hAnsi="Arial" w:cs="Arial"/>
                <w:b/>
                <w:color w:val="000000" w:themeColor="text1"/>
                <w:szCs w:val="28"/>
              </w:rPr>
            </w:pPr>
            <w:r w:rsidRPr="00E44784">
              <w:rPr>
                <w:rFonts w:ascii="Arial" w:hAnsi="Arial" w:cs="Arial"/>
                <w:b/>
                <w:color w:val="000000" w:themeColor="text1"/>
                <w:szCs w:val="28"/>
              </w:rPr>
              <w:t>AdministRative Office of the Courts (AOC)</w:t>
            </w:r>
          </w:p>
          <w:p w:rsidR="00C37FF7" w:rsidRPr="00E44784" w:rsidRDefault="00C37FF7" w:rsidP="00AB585B">
            <w:pPr>
              <w:pStyle w:val="JCCReportCoverSubhead"/>
              <w:rPr>
                <w:rFonts w:ascii="Arial" w:hAnsi="Arial" w:cs="Arial"/>
                <w:b/>
                <w:color w:val="000000" w:themeColor="text1"/>
                <w:szCs w:val="28"/>
              </w:rPr>
            </w:pPr>
          </w:p>
          <w:p w:rsidR="0083274C" w:rsidRPr="00E44784" w:rsidRDefault="00C37FF7" w:rsidP="00AB585B">
            <w:pPr>
              <w:pStyle w:val="JCCReportCoverSubhead"/>
              <w:rPr>
                <w:rFonts w:ascii="Arial" w:hAnsi="Arial" w:cs="Arial"/>
                <w:b/>
                <w:i/>
                <w:caps w:val="0"/>
                <w:color w:val="000000" w:themeColor="text1"/>
                <w:szCs w:val="28"/>
              </w:rPr>
            </w:pPr>
            <w:r w:rsidRPr="00E44784">
              <w:rPr>
                <w:rFonts w:ascii="Arial" w:hAnsi="Arial" w:cs="Arial"/>
                <w:b/>
                <w:color w:val="000000" w:themeColor="text1"/>
                <w:szCs w:val="28"/>
              </w:rPr>
              <w:t>Regarding:</w:t>
            </w:r>
            <w:r w:rsidRPr="00E44784">
              <w:rPr>
                <w:rFonts w:ascii="Arial" w:hAnsi="Arial" w:cs="Arial"/>
                <w:b/>
                <w:color w:val="000000" w:themeColor="text1"/>
                <w:szCs w:val="28"/>
              </w:rPr>
              <w:br/>
            </w:r>
            <w:r w:rsidR="0083274C" w:rsidRPr="00E44784">
              <w:rPr>
                <w:rFonts w:ascii="Arial" w:hAnsi="Arial" w:cs="Arial"/>
                <w:b/>
                <w:i/>
                <w:caps w:val="0"/>
                <w:color w:val="000000" w:themeColor="text1"/>
                <w:szCs w:val="28"/>
              </w:rPr>
              <w:t>Employee Assistance Program for the State of California’s Judicial Branch</w:t>
            </w:r>
          </w:p>
          <w:p w:rsidR="00C37FF7" w:rsidRPr="00E44784" w:rsidRDefault="007C0684" w:rsidP="00AB585B">
            <w:pPr>
              <w:pStyle w:val="JCCReportCoverSubhead"/>
              <w:rPr>
                <w:rFonts w:ascii="Arial" w:hAnsi="Arial" w:cs="Arial"/>
                <w:b/>
                <w:i/>
                <w:caps w:val="0"/>
                <w:color w:val="000000" w:themeColor="text1"/>
                <w:szCs w:val="28"/>
              </w:rPr>
            </w:pPr>
            <w:r w:rsidRPr="00E44784">
              <w:rPr>
                <w:rFonts w:ascii="Arial" w:hAnsi="Arial" w:cs="Arial"/>
                <w:b/>
                <w:i/>
                <w:caps w:val="0"/>
                <w:color w:val="000000" w:themeColor="text1"/>
                <w:szCs w:val="28"/>
              </w:rPr>
              <w:t>RFP #HR</w:t>
            </w:r>
            <w:r w:rsidR="004B7BEE" w:rsidRPr="00E44784">
              <w:rPr>
                <w:rFonts w:ascii="Arial" w:hAnsi="Arial" w:cs="Arial"/>
                <w:b/>
                <w:i/>
                <w:caps w:val="0"/>
                <w:color w:val="000000" w:themeColor="text1"/>
                <w:szCs w:val="28"/>
              </w:rPr>
              <w:t>-</w:t>
            </w:r>
            <w:r w:rsidR="009C1996" w:rsidRPr="00E44784">
              <w:rPr>
                <w:rFonts w:ascii="Arial" w:hAnsi="Arial" w:cs="Arial"/>
                <w:b/>
                <w:i/>
                <w:caps w:val="0"/>
                <w:color w:val="000000" w:themeColor="text1"/>
                <w:szCs w:val="28"/>
              </w:rPr>
              <w:t>2012-01-RB</w:t>
            </w:r>
          </w:p>
          <w:p w:rsidR="004B7BEE" w:rsidRPr="00E44784" w:rsidRDefault="004B7BEE" w:rsidP="00AB585B">
            <w:pPr>
              <w:pStyle w:val="JCCReportCoverSubhead"/>
              <w:rPr>
                <w:rFonts w:ascii="Arial" w:hAnsi="Arial" w:cs="Arial"/>
                <w:color w:val="000000" w:themeColor="text1"/>
                <w:szCs w:val="28"/>
              </w:rPr>
            </w:pPr>
          </w:p>
          <w:p w:rsidR="00C37FF7" w:rsidRPr="00E44784" w:rsidRDefault="00C37FF7" w:rsidP="00AB585B">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E44784" w:rsidRDefault="00C37FF7" w:rsidP="00AB585B">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834E14" w:rsidRPr="00E44784" w:rsidRDefault="00C37FF7" w:rsidP="00AB585B">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E44784">
              <w:rPr>
                <w:rFonts w:ascii="Arial" w:hAnsi="Arial" w:cs="Arial"/>
                <w:b/>
                <w:bCs/>
                <w:smallCaps/>
                <w:color w:val="000000" w:themeColor="text1"/>
                <w:sz w:val="28"/>
                <w:szCs w:val="20"/>
              </w:rPr>
              <w:t xml:space="preserve">PROPOSALS DUE:  </w:t>
            </w:r>
          </w:p>
          <w:p w:rsidR="00834E14" w:rsidRPr="00E44784" w:rsidRDefault="00834E14" w:rsidP="00AB585B">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E44784" w:rsidRDefault="00834E14" w:rsidP="00AB585B">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E44784">
              <w:rPr>
                <w:rFonts w:ascii="Arial" w:hAnsi="Arial" w:cs="Arial"/>
                <w:b/>
                <w:i/>
                <w:color w:val="000000" w:themeColor="text1"/>
                <w:sz w:val="28"/>
                <w:szCs w:val="28"/>
              </w:rPr>
              <w:t>November 29</w:t>
            </w:r>
            <w:r w:rsidR="00FF15AB" w:rsidRPr="00E44784">
              <w:rPr>
                <w:rFonts w:ascii="Arial" w:hAnsi="Arial" w:cs="Arial"/>
                <w:b/>
                <w:i/>
                <w:color w:val="000000" w:themeColor="text1"/>
                <w:sz w:val="28"/>
                <w:szCs w:val="28"/>
              </w:rPr>
              <w:t>, 2012</w:t>
            </w:r>
            <w:r w:rsidR="00C37FF7" w:rsidRPr="00E44784">
              <w:rPr>
                <w:rFonts w:ascii="Arial" w:hAnsi="Arial" w:cs="Arial"/>
                <w:b/>
                <w:i/>
                <w:color w:val="000000" w:themeColor="text1"/>
                <w:sz w:val="28"/>
                <w:szCs w:val="28"/>
              </w:rPr>
              <w:t xml:space="preserve"> </w:t>
            </w:r>
            <w:r w:rsidR="00C37FF7" w:rsidRPr="00E44784">
              <w:rPr>
                <w:rFonts w:ascii="Arial" w:hAnsi="Arial" w:cs="Arial"/>
                <w:i/>
                <w:color w:val="000000" w:themeColor="text1"/>
                <w:sz w:val="28"/>
                <w:szCs w:val="28"/>
              </w:rPr>
              <w:t xml:space="preserve">no later than </w:t>
            </w:r>
            <w:r w:rsidR="007C0684" w:rsidRPr="00E44784">
              <w:rPr>
                <w:rFonts w:ascii="Arial" w:hAnsi="Arial" w:cs="Arial"/>
                <w:b/>
                <w:i/>
                <w:color w:val="000000" w:themeColor="text1"/>
                <w:sz w:val="28"/>
                <w:szCs w:val="28"/>
              </w:rPr>
              <w:t>1</w:t>
            </w:r>
            <w:r w:rsidR="00B27A74" w:rsidRPr="00E44784">
              <w:rPr>
                <w:rFonts w:ascii="Arial" w:hAnsi="Arial" w:cs="Arial"/>
                <w:b/>
                <w:i/>
                <w:color w:val="000000" w:themeColor="text1"/>
                <w:sz w:val="28"/>
                <w:szCs w:val="28"/>
              </w:rPr>
              <w:t>:00</w:t>
            </w:r>
            <w:r w:rsidR="00C37FF7" w:rsidRPr="00E44784">
              <w:rPr>
                <w:rFonts w:ascii="Arial" w:hAnsi="Arial" w:cs="Arial"/>
                <w:b/>
                <w:i/>
                <w:color w:val="000000" w:themeColor="text1"/>
                <w:sz w:val="28"/>
                <w:szCs w:val="28"/>
              </w:rPr>
              <w:t xml:space="preserve"> p.m. Pacific time</w:t>
            </w:r>
            <w:r w:rsidR="00C37FF7" w:rsidRPr="00E44784">
              <w:rPr>
                <w:rFonts w:ascii="Arial" w:hAnsi="Arial" w:cs="Arial"/>
                <w:bCs/>
                <w:smallCaps/>
                <w:color w:val="000000" w:themeColor="text1"/>
                <w:sz w:val="28"/>
                <w:szCs w:val="20"/>
              </w:rPr>
              <w:t xml:space="preserve"> </w:t>
            </w:r>
          </w:p>
          <w:p w:rsidR="00C37FF7" w:rsidRPr="00E44784" w:rsidRDefault="00C37FF7" w:rsidP="00AB585B">
            <w:pPr>
              <w:pStyle w:val="Header"/>
              <w:tabs>
                <w:tab w:val="clear" w:pos="4320"/>
                <w:tab w:val="clear" w:pos="8640"/>
              </w:tabs>
              <w:autoSpaceDE w:val="0"/>
              <w:autoSpaceDN w:val="0"/>
              <w:adjustRightInd w:val="0"/>
              <w:rPr>
                <w:rFonts w:ascii="Arial" w:hAnsi="Arial" w:cs="Arial"/>
                <w:b/>
                <w:bCs/>
                <w:color w:val="000000" w:themeColor="text1"/>
                <w:sz w:val="36"/>
              </w:rPr>
            </w:pPr>
          </w:p>
        </w:tc>
      </w:tr>
    </w:tbl>
    <w:p w:rsidR="00C37FF7" w:rsidRPr="00E44784"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E44784">
        <w:rPr>
          <w:rFonts w:ascii="Arial" w:hAnsi="Arial" w:cs="Arial"/>
        </w:rPr>
        <w:br/>
      </w:r>
      <w:r w:rsidRPr="00E44784">
        <w:rPr>
          <w:rFonts w:ascii="Arial" w:hAnsi="Arial" w:cs="Arial"/>
        </w:rPr>
        <w:tab/>
      </w:r>
    </w:p>
    <w:p w:rsidR="00C37FF7" w:rsidRPr="00E44784" w:rsidRDefault="00C37FF7" w:rsidP="00C37FF7">
      <w:pPr>
        <w:jc w:val="center"/>
        <w:rPr>
          <w:b/>
          <w:bCs/>
          <w:sz w:val="26"/>
          <w:szCs w:val="26"/>
        </w:rPr>
      </w:pPr>
    </w:p>
    <w:p w:rsidR="008C2680" w:rsidRPr="00E44784" w:rsidRDefault="00897369" w:rsidP="00444507">
      <w:pPr>
        <w:pStyle w:val="ListParagraph"/>
        <w:numPr>
          <w:ilvl w:val="0"/>
          <w:numId w:val="15"/>
        </w:numPr>
        <w:spacing w:after="240"/>
        <w:jc w:val="left"/>
      </w:pPr>
      <w:r w:rsidRPr="00E44784">
        <w:rPr>
          <w:sz w:val="26"/>
          <w:szCs w:val="26"/>
        </w:rPr>
        <w:br w:type="page"/>
      </w:r>
      <w:r w:rsidR="00B126F3" w:rsidRPr="00E44784">
        <w:lastRenderedPageBreak/>
        <w:t>INTRODUCTION</w:t>
      </w:r>
    </w:p>
    <w:p w:rsidR="00444507" w:rsidRPr="00E44784" w:rsidRDefault="000D18C1" w:rsidP="00444507">
      <w:pPr>
        <w:pStyle w:val="ListParagraph"/>
        <w:numPr>
          <w:ilvl w:val="1"/>
          <w:numId w:val="15"/>
        </w:numPr>
        <w:spacing w:after="240"/>
        <w:ind w:left="1440"/>
        <w:jc w:val="left"/>
        <w:rPr>
          <w:rFonts w:asciiTheme="minorHAnsi" w:hAnsiTheme="minorHAnsi" w:cstheme="minorHAnsi"/>
          <w:b w:val="0"/>
        </w:rPr>
      </w:pPr>
      <w:r w:rsidRPr="00E44784">
        <w:rPr>
          <w:b w:val="0"/>
        </w:rPr>
        <w:t xml:space="preserve">The purpose of this Request for Proposals (RFP) is to identify and retain a qualified service provider to deliver </w:t>
      </w:r>
      <w:r w:rsidR="00444507" w:rsidRPr="00E44784">
        <w:rPr>
          <w:b w:val="0"/>
        </w:rPr>
        <w:t xml:space="preserve">up to </w:t>
      </w:r>
      <w:r w:rsidRPr="00E44784">
        <w:rPr>
          <w:b w:val="0"/>
        </w:rPr>
        <w:t xml:space="preserve">six face-to-face or telephonic mental health counseling sessions per incident to </w:t>
      </w:r>
      <w:r w:rsidR="00444507" w:rsidRPr="00E44784">
        <w:rPr>
          <w:b w:val="0"/>
        </w:rPr>
        <w:t xml:space="preserve">up to </w:t>
      </w:r>
      <w:r w:rsidRPr="00E44784">
        <w:rPr>
          <w:b w:val="0"/>
        </w:rPr>
        <w:t>approximately 4,</w:t>
      </w:r>
      <w:r w:rsidR="008C2680" w:rsidRPr="00E44784">
        <w:rPr>
          <w:b w:val="0"/>
        </w:rPr>
        <w:t>0</w:t>
      </w:r>
      <w:r w:rsidRPr="00E44784">
        <w:rPr>
          <w:b w:val="0"/>
        </w:rPr>
        <w:t xml:space="preserve">00 participants and members of their household. The membership will include California Judicial Branch’s justices, judges, retired judges in the Assigned Judges Program, subordinate judicial officers and employees of the Supreme Court, Courts of Appeal, </w:t>
      </w:r>
      <w:r w:rsidR="00D64F37" w:rsidRPr="00E44784">
        <w:rPr>
          <w:b w:val="0"/>
        </w:rPr>
        <w:t>Administrative Office of the Courts (“AOC</w:t>
      </w:r>
      <w:r w:rsidR="00D64F37" w:rsidRPr="00E44784">
        <w:t>”)</w:t>
      </w:r>
      <w:r w:rsidRPr="00E44784">
        <w:rPr>
          <w:b w:val="0"/>
        </w:rPr>
        <w:t xml:space="preserve">, California Judicial Center Library, Habeas Corpus Resource Center (“HCRC”), and the Commission on Judicial Performance (“CJP”) and respective members of their household. </w:t>
      </w:r>
      <w:r w:rsidRPr="00E44784">
        <w:rPr>
          <w:rFonts w:asciiTheme="minorHAnsi" w:hAnsiTheme="minorHAnsi" w:cstheme="minorHAnsi"/>
          <w:b w:val="0"/>
        </w:rPr>
        <w:t xml:space="preserve">The </w:t>
      </w:r>
      <w:r w:rsidR="00444507" w:rsidRPr="00E44784">
        <w:rPr>
          <w:rFonts w:asciiTheme="minorHAnsi" w:hAnsiTheme="minorHAnsi" w:cstheme="minorHAnsi"/>
          <w:b w:val="0"/>
        </w:rPr>
        <w:t>service provider</w:t>
      </w:r>
      <w:r w:rsidRPr="00E44784">
        <w:rPr>
          <w:rFonts w:asciiTheme="minorHAnsi" w:hAnsiTheme="minorHAnsi" w:cstheme="minorHAnsi"/>
          <w:b w:val="0"/>
        </w:rPr>
        <w:t xml:space="preserve"> will also provide referral services and sessions as needed by the AOC’ s Human Resources Office (“HR”) for workplace and productivity issues, life events, personal challenges, or other issues that an employee may not feel comfortable discussing with a supervisor or human resources representative. </w:t>
      </w:r>
    </w:p>
    <w:p w:rsidR="00D64F37" w:rsidRPr="00E44784" w:rsidRDefault="00D64F37" w:rsidP="00AC79E9">
      <w:pPr>
        <w:pStyle w:val="ListParagraph"/>
        <w:numPr>
          <w:ilvl w:val="1"/>
          <w:numId w:val="15"/>
        </w:numPr>
        <w:ind w:left="1440"/>
        <w:jc w:val="left"/>
        <w:rPr>
          <w:b w:val="0"/>
        </w:rPr>
      </w:pPr>
      <w:r w:rsidRPr="00E44784">
        <w:rPr>
          <w:b w:val="0"/>
        </w:rPr>
        <w:t>Members have no financial responsibility in connection with services.  However, fees for professional services provided by resources other than the contractor or counselors will be the responsibility of the member and/or his or her group health plan or other benefit programs, as applicable.</w:t>
      </w:r>
    </w:p>
    <w:p w:rsidR="008C2680" w:rsidRPr="00E44784" w:rsidRDefault="0045618D" w:rsidP="00444507">
      <w:pPr>
        <w:pStyle w:val="ListParagraph"/>
        <w:numPr>
          <w:ilvl w:val="1"/>
          <w:numId w:val="15"/>
        </w:numPr>
        <w:spacing w:after="240"/>
        <w:ind w:left="1440"/>
        <w:jc w:val="left"/>
        <w:rPr>
          <w:b w:val="0"/>
        </w:rPr>
      </w:pPr>
      <w:r w:rsidRPr="00E44784">
        <w:rPr>
          <w:b w:val="0"/>
        </w:rPr>
        <w:t>HR</w:t>
      </w:r>
      <w:r w:rsidR="00444507" w:rsidRPr="00E44784">
        <w:rPr>
          <w:b w:val="0"/>
        </w:rPr>
        <w:t xml:space="preserve"> seeks the services of an entity with demonstrated expertise in linking members with relevant mental health professionals to guide them through emotional, health, and employee/employer workplace issues such as anger management, interpersonal communications, and effective working relationships. The provider should have a network of mental health professionals throughout the state of California to ensure support in each of the state’s 58 counties.  The provider must have demonstrated success in designing a methodology to deliver confidential, timely, and relevant mental health services to over 4,000 members.</w:t>
      </w:r>
    </w:p>
    <w:p w:rsidR="004B4141" w:rsidRPr="00E44784" w:rsidRDefault="004B4141" w:rsidP="00444507">
      <w:pPr>
        <w:pStyle w:val="ListParagraph"/>
        <w:numPr>
          <w:ilvl w:val="1"/>
          <w:numId w:val="15"/>
        </w:numPr>
        <w:spacing w:after="240"/>
        <w:ind w:left="1440"/>
        <w:jc w:val="left"/>
        <w:rPr>
          <w:b w:val="0"/>
        </w:rPr>
      </w:pPr>
      <w:r w:rsidRPr="00E44784">
        <w:rPr>
          <w:b w:val="0"/>
        </w:rPr>
        <w:t>The AOC intends to award a one-year agreement for the services set forth in this RFP with the possibility of four additional one-year option terms.</w:t>
      </w:r>
    </w:p>
    <w:p w:rsidR="009C1666" w:rsidRPr="00E44784" w:rsidRDefault="009C1666" w:rsidP="00444507">
      <w:pPr>
        <w:pStyle w:val="ListParagraph"/>
        <w:numPr>
          <w:ilvl w:val="0"/>
          <w:numId w:val="15"/>
        </w:numPr>
        <w:spacing w:after="240"/>
        <w:jc w:val="left"/>
      </w:pPr>
      <w:r w:rsidRPr="00E44784">
        <w:t>BACKGROUND INFORMATION</w:t>
      </w:r>
    </w:p>
    <w:p w:rsidR="00444507" w:rsidRPr="00E44784" w:rsidRDefault="00444507" w:rsidP="00444507">
      <w:pPr>
        <w:pStyle w:val="ListParagraph"/>
        <w:numPr>
          <w:ilvl w:val="1"/>
          <w:numId w:val="15"/>
        </w:numPr>
        <w:spacing w:after="240"/>
        <w:jc w:val="left"/>
      </w:pPr>
      <w:r w:rsidRPr="00E44784">
        <w:rPr>
          <w:b w:val="0"/>
        </w:rPr>
        <w:t>The Judicial Council of California (“JCC”),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AOC is the staff agency for the council and assists both the council and its chair in performing their duties.</w:t>
      </w:r>
    </w:p>
    <w:p w:rsidR="008C2680" w:rsidRPr="00E44784" w:rsidRDefault="00B42C33" w:rsidP="00444507">
      <w:pPr>
        <w:pStyle w:val="ListParagraph"/>
        <w:numPr>
          <w:ilvl w:val="1"/>
          <w:numId w:val="15"/>
        </w:numPr>
        <w:spacing w:after="240"/>
        <w:jc w:val="left"/>
        <w:rPr>
          <w:b w:val="0"/>
        </w:rPr>
      </w:pPr>
      <w:r w:rsidRPr="00E44784">
        <w:rPr>
          <w:b w:val="0"/>
        </w:rPr>
        <w:t xml:space="preserve">The AOC serves as the liaison to the employee assistance provider for several judicial branch entities including Supreme Court justices and employees, Courts of Appeal justices and employees, trial court subordinate judicial officers, </w:t>
      </w:r>
      <w:r w:rsidRPr="00E44784">
        <w:rPr>
          <w:b w:val="0"/>
        </w:rPr>
        <w:lastRenderedPageBreak/>
        <w:t>Habeas Corpus Resource Center employees, Commission on Judicial Performance</w:t>
      </w:r>
      <w:r w:rsidR="000E5382" w:rsidRPr="00E44784">
        <w:rPr>
          <w:b w:val="0"/>
        </w:rPr>
        <w:t xml:space="preserve"> </w:t>
      </w:r>
      <w:r w:rsidRPr="00E44784">
        <w:rPr>
          <w:b w:val="0"/>
        </w:rPr>
        <w:t>employees, California Judicial Center Li</w:t>
      </w:r>
      <w:r w:rsidR="001F7006" w:rsidRPr="00E44784">
        <w:rPr>
          <w:b w:val="0"/>
        </w:rPr>
        <w:t xml:space="preserve">brary employees, AOC employees, </w:t>
      </w:r>
      <w:r w:rsidRPr="00E44784">
        <w:rPr>
          <w:b w:val="0"/>
        </w:rPr>
        <w:t>and retired judges in the Assigned Judge program and all dependents or</w:t>
      </w:r>
      <w:r w:rsidR="000E5382" w:rsidRPr="00E44784">
        <w:rPr>
          <w:b w:val="0"/>
        </w:rPr>
        <w:t xml:space="preserve"> spouses/domestic partners.</w:t>
      </w:r>
    </w:p>
    <w:p w:rsidR="008C2680" w:rsidRPr="00E44784" w:rsidRDefault="00B42C33" w:rsidP="00444507">
      <w:pPr>
        <w:pStyle w:val="ListParagraph"/>
        <w:numPr>
          <w:ilvl w:val="0"/>
          <w:numId w:val="15"/>
        </w:numPr>
        <w:spacing w:after="240"/>
        <w:jc w:val="left"/>
      </w:pPr>
      <w:r w:rsidRPr="00E44784">
        <w:t xml:space="preserve">DESCRIPTION OF SERVICES AND DELIVERABLES </w:t>
      </w:r>
    </w:p>
    <w:p w:rsidR="00CB4595" w:rsidRPr="00E44784" w:rsidRDefault="00CC12A5" w:rsidP="004C4750">
      <w:pPr>
        <w:spacing w:after="240"/>
        <w:ind w:left="720"/>
      </w:pPr>
      <w:r w:rsidRPr="00E44784">
        <w:t xml:space="preserve">The </w:t>
      </w:r>
      <w:r w:rsidR="004C4750" w:rsidRPr="00E44784">
        <w:t>selected contractor</w:t>
      </w:r>
      <w:r w:rsidRPr="00E44784">
        <w:t xml:space="preserve"> </w:t>
      </w:r>
      <w:r w:rsidR="00444507" w:rsidRPr="00E44784">
        <w:t>will</w:t>
      </w:r>
      <w:r w:rsidRPr="00E44784">
        <w:t xml:space="preserve"> be required to </w:t>
      </w:r>
      <w:r w:rsidR="004C4750" w:rsidRPr="00E44784">
        <w:t>provide the following services/perform the following activities listed below:</w:t>
      </w:r>
    </w:p>
    <w:p w:rsidR="00766158" w:rsidRPr="00E44784" w:rsidRDefault="00766158" w:rsidP="00AF10E1">
      <w:pPr>
        <w:pStyle w:val="ListParagraph"/>
        <w:numPr>
          <w:ilvl w:val="1"/>
          <w:numId w:val="15"/>
        </w:numPr>
        <w:spacing w:after="240"/>
        <w:ind w:left="1627"/>
        <w:jc w:val="left"/>
        <w:rPr>
          <w:b w:val="0"/>
        </w:rPr>
      </w:pPr>
      <w:r w:rsidRPr="00E44784">
        <w:rPr>
          <w:b w:val="0"/>
        </w:rPr>
        <w:t xml:space="preserve">Mental Health Professionals Network </w:t>
      </w:r>
    </w:p>
    <w:p w:rsidR="00EE6C27" w:rsidRPr="00E44784" w:rsidRDefault="00EE6C27" w:rsidP="00AF10E1">
      <w:pPr>
        <w:pStyle w:val="ListParagraph"/>
        <w:numPr>
          <w:ilvl w:val="2"/>
          <w:numId w:val="15"/>
        </w:numPr>
        <w:spacing w:after="240"/>
        <w:ind w:left="2347"/>
        <w:jc w:val="left"/>
        <w:rPr>
          <w:b w:val="0"/>
        </w:rPr>
      </w:pPr>
      <w:r w:rsidRPr="00E44784">
        <w:rPr>
          <w:b w:val="0"/>
        </w:rPr>
        <w:t xml:space="preserve">Maintain a toll-free telephone access line 24 hours per day, 365 days per year, for members to access mental health professional services.  Intake specialists </w:t>
      </w:r>
      <w:r w:rsidR="009A1372" w:rsidRPr="00E44784">
        <w:rPr>
          <w:b w:val="0"/>
        </w:rPr>
        <w:t>must be a</w:t>
      </w:r>
      <w:r w:rsidRPr="00E44784">
        <w:rPr>
          <w:b w:val="0"/>
        </w:rPr>
        <w:t xml:space="preserve">vailable through the telephone access line to assess </w:t>
      </w:r>
      <w:r w:rsidR="009A1372" w:rsidRPr="00E44784">
        <w:rPr>
          <w:b w:val="0"/>
        </w:rPr>
        <w:t>a</w:t>
      </w:r>
      <w:r w:rsidRPr="00E44784">
        <w:rPr>
          <w:b w:val="0"/>
        </w:rPr>
        <w:t xml:space="preserve"> </w:t>
      </w:r>
      <w:r w:rsidR="009A1372" w:rsidRPr="00E44784">
        <w:rPr>
          <w:b w:val="0"/>
        </w:rPr>
        <w:t>member’</w:t>
      </w:r>
      <w:r w:rsidRPr="00E44784">
        <w:rPr>
          <w:b w:val="0"/>
        </w:rPr>
        <w:t xml:space="preserve">s problem and arrange for appropriate </w:t>
      </w:r>
      <w:r w:rsidR="009A1372" w:rsidRPr="00E44784">
        <w:rPr>
          <w:b w:val="0"/>
        </w:rPr>
        <w:t>counselo</w:t>
      </w:r>
      <w:r w:rsidRPr="00E44784">
        <w:rPr>
          <w:b w:val="0"/>
        </w:rPr>
        <w:t xml:space="preserve">r services. In addition, the intake specialist </w:t>
      </w:r>
      <w:r w:rsidR="009A1372" w:rsidRPr="00E44784">
        <w:rPr>
          <w:b w:val="0"/>
        </w:rPr>
        <w:t>must</w:t>
      </w:r>
      <w:r w:rsidRPr="00E44784">
        <w:rPr>
          <w:b w:val="0"/>
        </w:rPr>
        <w:t xml:space="preserve"> provide </w:t>
      </w:r>
      <w:r w:rsidR="009A1372" w:rsidRPr="00E44784">
        <w:rPr>
          <w:b w:val="0"/>
        </w:rPr>
        <w:t>c</w:t>
      </w:r>
      <w:r w:rsidRPr="00E44784">
        <w:rPr>
          <w:b w:val="0"/>
        </w:rPr>
        <w:t xml:space="preserve">risis </w:t>
      </w:r>
      <w:r w:rsidR="009A1372" w:rsidRPr="00E44784">
        <w:rPr>
          <w:b w:val="0"/>
        </w:rPr>
        <w:t>c</w:t>
      </w:r>
      <w:r w:rsidRPr="00E44784">
        <w:rPr>
          <w:b w:val="0"/>
        </w:rPr>
        <w:t>ounseling.</w:t>
      </w:r>
    </w:p>
    <w:p w:rsidR="00994B9E" w:rsidRPr="00E44784" w:rsidRDefault="009A1372" w:rsidP="00AF10E1">
      <w:pPr>
        <w:pStyle w:val="ListParagraph"/>
        <w:numPr>
          <w:ilvl w:val="2"/>
          <w:numId w:val="15"/>
        </w:numPr>
        <w:spacing w:after="240"/>
        <w:ind w:left="2347"/>
        <w:jc w:val="left"/>
        <w:rPr>
          <w:b w:val="0"/>
        </w:rPr>
      </w:pPr>
      <w:r w:rsidRPr="00E44784">
        <w:rPr>
          <w:b w:val="0"/>
        </w:rPr>
        <w:t>Members are to</w:t>
      </w:r>
      <w:r w:rsidR="00994B9E" w:rsidRPr="00E44784">
        <w:rPr>
          <w:b w:val="0"/>
        </w:rPr>
        <w:t xml:space="preserve"> be referred to relevant and geographically desirable mental health professionals. </w:t>
      </w:r>
    </w:p>
    <w:p w:rsidR="00EE6C27" w:rsidRPr="00E44784" w:rsidRDefault="00EE6C27" w:rsidP="00AF10E1">
      <w:pPr>
        <w:pStyle w:val="ListParagraph"/>
        <w:numPr>
          <w:ilvl w:val="2"/>
          <w:numId w:val="15"/>
        </w:numPr>
        <w:spacing w:after="240"/>
        <w:ind w:left="2347"/>
        <w:jc w:val="left"/>
        <w:rPr>
          <w:b w:val="0"/>
        </w:rPr>
      </w:pPr>
      <w:r w:rsidRPr="00E44784">
        <w:rPr>
          <w:b w:val="0"/>
        </w:rPr>
        <w:t xml:space="preserve">In-person </w:t>
      </w:r>
      <w:r w:rsidR="009A1372" w:rsidRPr="00E44784">
        <w:rPr>
          <w:b w:val="0"/>
        </w:rPr>
        <w:t>s</w:t>
      </w:r>
      <w:r w:rsidRPr="00E44784">
        <w:rPr>
          <w:b w:val="0"/>
        </w:rPr>
        <w:t xml:space="preserve">essions </w:t>
      </w:r>
      <w:r w:rsidR="009A1372" w:rsidRPr="00E44784">
        <w:rPr>
          <w:b w:val="0"/>
        </w:rPr>
        <w:t xml:space="preserve">are to be made </w:t>
      </w:r>
      <w:r w:rsidRPr="00E44784">
        <w:rPr>
          <w:b w:val="0"/>
        </w:rPr>
        <w:t xml:space="preserve">available by appointment on weekdays, evenings, and Saturdays at the offices of the </w:t>
      </w:r>
      <w:r w:rsidR="004C4750" w:rsidRPr="00E44784">
        <w:rPr>
          <w:b w:val="0"/>
        </w:rPr>
        <w:t>contractor</w:t>
      </w:r>
      <w:r w:rsidRPr="00E44784">
        <w:rPr>
          <w:b w:val="0"/>
        </w:rPr>
        <w:t xml:space="preserve">’s </w:t>
      </w:r>
      <w:r w:rsidR="009A1372" w:rsidRPr="00E44784">
        <w:rPr>
          <w:b w:val="0"/>
        </w:rPr>
        <w:t>c</w:t>
      </w:r>
      <w:r w:rsidRPr="00E44784">
        <w:rPr>
          <w:b w:val="0"/>
        </w:rPr>
        <w:t xml:space="preserve">ounselors statewide. A </w:t>
      </w:r>
      <w:r w:rsidR="009A1372" w:rsidRPr="00E44784">
        <w:rPr>
          <w:b w:val="0"/>
        </w:rPr>
        <w:t>c</w:t>
      </w:r>
      <w:r w:rsidRPr="00E44784">
        <w:rPr>
          <w:b w:val="0"/>
        </w:rPr>
        <w:t xml:space="preserve">ounselor </w:t>
      </w:r>
      <w:r w:rsidR="009A1372" w:rsidRPr="00E44784">
        <w:rPr>
          <w:b w:val="0"/>
        </w:rPr>
        <w:t xml:space="preserve">must be </w:t>
      </w:r>
      <w:r w:rsidRPr="00E44784">
        <w:rPr>
          <w:b w:val="0"/>
        </w:rPr>
        <w:t xml:space="preserve">available to provide an </w:t>
      </w:r>
      <w:r w:rsidR="009A1372" w:rsidRPr="00E44784">
        <w:rPr>
          <w:b w:val="0"/>
        </w:rPr>
        <w:t>i</w:t>
      </w:r>
      <w:r w:rsidRPr="00E44784">
        <w:rPr>
          <w:b w:val="0"/>
        </w:rPr>
        <w:t xml:space="preserve">n-person </w:t>
      </w:r>
      <w:r w:rsidR="009A1372" w:rsidRPr="00E44784">
        <w:rPr>
          <w:b w:val="0"/>
        </w:rPr>
        <w:t>s</w:t>
      </w:r>
      <w:r w:rsidRPr="00E44784">
        <w:rPr>
          <w:b w:val="0"/>
        </w:rPr>
        <w:t>ession within seven (7) days of the request for service in connection with routine matters and within forty-eight (48) hours for ur</w:t>
      </w:r>
      <w:r w:rsidR="009A1372" w:rsidRPr="00E44784">
        <w:rPr>
          <w:b w:val="0"/>
        </w:rPr>
        <w:t>gent matters. The intake specialist</w:t>
      </w:r>
      <w:r w:rsidRPr="00E44784">
        <w:rPr>
          <w:b w:val="0"/>
        </w:rPr>
        <w:t xml:space="preserve"> </w:t>
      </w:r>
      <w:r w:rsidR="009A1372" w:rsidRPr="00E44784">
        <w:rPr>
          <w:b w:val="0"/>
        </w:rPr>
        <w:t>must</w:t>
      </w:r>
      <w:r w:rsidRPr="00E44784">
        <w:rPr>
          <w:b w:val="0"/>
        </w:rPr>
        <w:t xml:space="preserve"> assess the </w:t>
      </w:r>
      <w:r w:rsidR="002F1052" w:rsidRPr="00E44784">
        <w:rPr>
          <w:b w:val="0"/>
        </w:rPr>
        <w:t>member’s</w:t>
      </w:r>
      <w:r w:rsidRPr="00E44784">
        <w:rPr>
          <w:b w:val="0"/>
        </w:rPr>
        <w:t xml:space="preserve"> problems and, in accordance with the </w:t>
      </w:r>
      <w:r w:rsidR="002F1052" w:rsidRPr="00E44784">
        <w:rPr>
          <w:b w:val="0"/>
        </w:rPr>
        <w:t>intake specialist’s</w:t>
      </w:r>
      <w:r w:rsidRPr="00E44784">
        <w:rPr>
          <w:b w:val="0"/>
        </w:rPr>
        <w:t xml:space="preserve"> best judgment, provide </w:t>
      </w:r>
      <w:r w:rsidR="009A1372" w:rsidRPr="00E44784">
        <w:rPr>
          <w:b w:val="0"/>
        </w:rPr>
        <w:t>b</w:t>
      </w:r>
      <w:r w:rsidRPr="00E44784">
        <w:rPr>
          <w:b w:val="0"/>
        </w:rPr>
        <w:t xml:space="preserve">rief </w:t>
      </w:r>
      <w:r w:rsidR="009A1372" w:rsidRPr="00E44784">
        <w:rPr>
          <w:b w:val="0"/>
        </w:rPr>
        <w:t>c</w:t>
      </w:r>
      <w:r w:rsidRPr="00E44784">
        <w:rPr>
          <w:b w:val="0"/>
        </w:rPr>
        <w:t xml:space="preserve">ounseling and/or refer the </w:t>
      </w:r>
      <w:r w:rsidR="002F1052" w:rsidRPr="00E44784">
        <w:rPr>
          <w:b w:val="0"/>
        </w:rPr>
        <w:t>member</w:t>
      </w:r>
      <w:r w:rsidRPr="00E44784">
        <w:rPr>
          <w:b w:val="0"/>
        </w:rPr>
        <w:t xml:space="preserve"> to an appropriate treatment provider and/or community resource.  Each </w:t>
      </w:r>
      <w:r w:rsidR="002F1052" w:rsidRPr="00E44784">
        <w:rPr>
          <w:b w:val="0"/>
        </w:rPr>
        <w:t>member</w:t>
      </w:r>
      <w:r w:rsidRPr="00E44784">
        <w:rPr>
          <w:b w:val="0"/>
        </w:rPr>
        <w:t xml:space="preserve"> is eligible for up to six (6) </w:t>
      </w:r>
      <w:r w:rsidR="009A1372" w:rsidRPr="00E44784">
        <w:rPr>
          <w:b w:val="0"/>
        </w:rPr>
        <w:t>i</w:t>
      </w:r>
      <w:r w:rsidRPr="00E44784">
        <w:rPr>
          <w:b w:val="0"/>
        </w:rPr>
        <w:t xml:space="preserve">n-person </w:t>
      </w:r>
      <w:r w:rsidR="009A1372" w:rsidRPr="00E44784">
        <w:rPr>
          <w:b w:val="0"/>
        </w:rPr>
        <w:t>s</w:t>
      </w:r>
      <w:r w:rsidRPr="00E44784">
        <w:rPr>
          <w:b w:val="0"/>
        </w:rPr>
        <w:t xml:space="preserve">essions per problem per year, as clinically appropriate.  If the </w:t>
      </w:r>
      <w:r w:rsidR="002F1052" w:rsidRPr="00E44784">
        <w:rPr>
          <w:b w:val="0"/>
        </w:rPr>
        <w:t>intake specialist</w:t>
      </w:r>
      <w:r w:rsidRPr="00E44784">
        <w:rPr>
          <w:b w:val="0"/>
        </w:rPr>
        <w:t xml:space="preserve"> determines that a </w:t>
      </w:r>
      <w:r w:rsidR="002F1052" w:rsidRPr="00E44784">
        <w:rPr>
          <w:b w:val="0"/>
        </w:rPr>
        <w:t xml:space="preserve">member </w:t>
      </w:r>
      <w:r w:rsidRPr="00E44784">
        <w:rPr>
          <w:b w:val="0"/>
        </w:rPr>
        <w:t xml:space="preserve">requires services beyond the scope of the </w:t>
      </w:r>
      <w:r w:rsidR="002F1052" w:rsidRPr="00E44784">
        <w:rPr>
          <w:b w:val="0"/>
        </w:rPr>
        <w:t>program</w:t>
      </w:r>
      <w:r w:rsidRPr="00E44784">
        <w:rPr>
          <w:b w:val="0"/>
        </w:rPr>
        <w:t xml:space="preserve"> including medical care or other specialized services, the </w:t>
      </w:r>
      <w:r w:rsidR="002F1052" w:rsidRPr="00E44784">
        <w:rPr>
          <w:b w:val="0"/>
        </w:rPr>
        <w:t>intake specialist</w:t>
      </w:r>
      <w:r w:rsidRPr="00E44784">
        <w:rPr>
          <w:b w:val="0"/>
        </w:rPr>
        <w:t xml:space="preserve"> will refer the </w:t>
      </w:r>
      <w:r w:rsidR="002F1052" w:rsidRPr="00E44784">
        <w:rPr>
          <w:b w:val="0"/>
        </w:rPr>
        <w:t xml:space="preserve">member </w:t>
      </w:r>
      <w:r w:rsidRPr="00E44784">
        <w:rPr>
          <w:b w:val="0"/>
        </w:rPr>
        <w:t xml:space="preserve">to an appropriate treatment provider and/or community resources. </w:t>
      </w:r>
    </w:p>
    <w:p w:rsidR="006467B5" w:rsidRPr="00E44784" w:rsidRDefault="009A1372" w:rsidP="00AF10E1">
      <w:pPr>
        <w:pStyle w:val="ListParagraph"/>
        <w:numPr>
          <w:ilvl w:val="2"/>
          <w:numId w:val="15"/>
        </w:numPr>
        <w:spacing w:after="240"/>
        <w:ind w:left="2347"/>
        <w:jc w:val="left"/>
        <w:rPr>
          <w:b w:val="0"/>
        </w:rPr>
      </w:pPr>
      <w:r w:rsidRPr="00E44784">
        <w:rPr>
          <w:b w:val="0"/>
        </w:rPr>
        <w:t xml:space="preserve">Provide </w:t>
      </w:r>
      <w:r w:rsidR="006467B5" w:rsidRPr="00E44784">
        <w:rPr>
          <w:b w:val="0"/>
        </w:rPr>
        <w:t>intake specialists familiar with identifying geographically feasib</w:t>
      </w:r>
      <w:r w:rsidR="00994B9E" w:rsidRPr="00E44784">
        <w:rPr>
          <w:b w:val="0"/>
        </w:rPr>
        <w:t>le</w:t>
      </w:r>
      <w:r w:rsidR="006467B5" w:rsidRPr="00E44784">
        <w:rPr>
          <w:b w:val="0"/>
        </w:rPr>
        <w:t xml:space="preserve"> an</w:t>
      </w:r>
      <w:r w:rsidR="00994B9E" w:rsidRPr="00E44784">
        <w:rPr>
          <w:b w:val="0"/>
        </w:rPr>
        <w:t>d befitting mental health professionals for member needs</w:t>
      </w:r>
      <w:r w:rsidR="004B4141" w:rsidRPr="00E44784">
        <w:rPr>
          <w:b w:val="0"/>
        </w:rPr>
        <w:t>.</w:t>
      </w:r>
    </w:p>
    <w:p w:rsidR="00766158" w:rsidRPr="00E44784" w:rsidRDefault="00766158" w:rsidP="00AF10E1">
      <w:pPr>
        <w:pStyle w:val="ListParagraph"/>
        <w:numPr>
          <w:ilvl w:val="2"/>
          <w:numId w:val="15"/>
        </w:numPr>
        <w:spacing w:after="240"/>
        <w:ind w:left="2347"/>
        <w:jc w:val="left"/>
        <w:rPr>
          <w:b w:val="0"/>
        </w:rPr>
      </w:pPr>
      <w:r w:rsidRPr="00E44784">
        <w:rPr>
          <w:b w:val="0"/>
        </w:rPr>
        <w:t>Provide</w:t>
      </w:r>
      <w:r w:rsidR="00E05817" w:rsidRPr="00E44784">
        <w:rPr>
          <w:b w:val="0"/>
        </w:rPr>
        <w:t xml:space="preserve"> a</w:t>
      </w:r>
      <w:r w:rsidRPr="00E44784">
        <w:rPr>
          <w:b w:val="0"/>
        </w:rPr>
        <w:t xml:space="preserve"> qualified</w:t>
      </w:r>
      <w:r w:rsidR="00E05817" w:rsidRPr="00E44784">
        <w:rPr>
          <w:b w:val="0"/>
        </w:rPr>
        <w:t xml:space="preserve"> and diverse</w:t>
      </w:r>
      <w:r w:rsidRPr="00E44784">
        <w:rPr>
          <w:b w:val="0"/>
        </w:rPr>
        <w:t xml:space="preserve"> mental</w:t>
      </w:r>
      <w:r w:rsidR="00E05817" w:rsidRPr="00E44784">
        <w:rPr>
          <w:b w:val="0"/>
        </w:rPr>
        <w:t xml:space="preserve"> health professional pool </w:t>
      </w:r>
      <w:r w:rsidRPr="00E44784">
        <w:rPr>
          <w:b w:val="0"/>
        </w:rPr>
        <w:t>in each of California’s 58 counties, including mental health professionals who have experience working with and handling the issues of law enforcement/ professional employees and public officials.</w:t>
      </w:r>
    </w:p>
    <w:p w:rsidR="001E0F87" w:rsidRPr="00E44784" w:rsidRDefault="009A1372" w:rsidP="00AF10E1">
      <w:pPr>
        <w:pStyle w:val="ListParagraph"/>
        <w:numPr>
          <w:ilvl w:val="2"/>
          <w:numId w:val="15"/>
        </w:numPr>
        <w:spacing w:after="240"/>
        <w:ind w:left="2347"/>
        <w:jc w:val="left"/>
        <w:rPr>
          <w:b w:val="0"/>
        </w:rPr>
      </w:pPr>
      <w:r w:rsidRPr="00E44784">
        <w:rPr>
          <w:b w:val="0"/>
        </w:rPr>
        <w:t>P</w:t>
      </w:r>
      <w:r w:rsidR="001E0F87" w:rsidRPr="00E44784">
        <w:rPr>
          <w:b w:val="0"/>
        </w:rPr>
        <w:t xml:space="preserve">rovide services such as problem-focused form of individual or family outpatient counseling that (a) seeks resolution of problems in living (e.g., parenting concerns, emotional stress, marital and family distress, alcohol- and drug-related problems) rather than basic character change; </w:t>
      </w:r>
      <w:r w:rsidR="001E0F87" w:rsidRPr="00E44784">
        <w:rPr>
          <w:b w:val="0"/>
        </w:rPr>
        <w:lastRenderedPageBreak/>
        <w:t>(b) emphasizes counselee skills, strengths and resources; (c) involves setting and maintaining realistic goals that are achievable in a one to five month period; (d) encourages counselees to practice behavior outside the counseling session to promote therapeutic goals; and (e) in which the counselor provides structure, interprets behavior, offers suggestions, and assigns "homework" activities.</w:t>
      </w:r>
    </w:p>
    <w:p w:rsidR="002F1052" w:rsidRPr="00E44784" w:rsidRDefault="00A30860" w:rsidP="00AF10E1">
      <w:pPr>
        <w:pStyle w:val="ListParagraph"/>
        <w:numPr>
          <w:ilvl w:val="2"/>
          <w:numId w:val="15"/>
        </w:numPr>
        <w:spacing w:after="240"/>
        <w:ind w:left="2347"/>
        <w:jc w:val="left"/>
        <w:rPr>
          <w:b w:val="0"/>
        </w:rPr>
      </w:pPr>
      <w:r w:rsidRPr="00E44784">
        <w:rPr>
          <w:b w:val="0"/>
        </w:rPr>
        <w:t>P</w:t>
      </w:r>
      <w:r w:rsidR="00E05817" w:rsidRPr="00E44784">
        <w:rPr>
          <w:b w:val="0"/>
        </w:rPr>
        <w:t>rovide mental health professionals with the following licenses:</w:t>
      </w:r>
      <w:r w:rsidRPr="00E44784">
        <w:rPr>
          <w:b w:val="0"/>
        </w:rPr>
        <w:t xml:space="preserve"> </w:t>
      </w:r>
      <w:r w:rsidR="00E05817" w:rsidRPr="00E44784">
        <w:rPr>
          <w:b w:val="0"/>
        </w:rPr>
        <w:t>marriage and family therapist (MFT), licensed professional counselors (LPC), licensed clinical social workers (LCSW), attorneys (JD), and psychologists (PhD).</w:t>
      </w:r>
    </w:p>
    <w:p w:rsidR="002F1052" w:rsidRPr="00E44784" w:rsidRDefault="004C4750" w:rsidP="00AF10E1">
      <w:pPr>
        <w:pStyle w:val="ListParagraph"/>
        <w:numPr>
          <w:ilvl w:val="2"/>
          <w:numId w:val="15"/>
        </w:numPr>
        <w:spacing w:after="240"/>
        <w:ind w:left="2347"/>
        <w:jc w:val="left"/>
        <w:rPr>
          <w:b w:val="0"/>
        </w:rPr>
      </w:pPr>
      <w:r w:rsidRPr="00E44784">
        <w:rPr>
          <w:b w:val="0"/>
        </w:rPr>
        <w:t>Provide i</w:t>
      </w:r>
      <w:r w:rsidR="00E16DCA" w:rsidRPr="00E44784">
        <w:rPr>
          <w:b w:val="0"/>
        </w:rPr>
        <w:t xml:space="preserve">n-person, </w:t>
      </w:r>
      <w:r w:rsidRPr="00E44784">
        <w:rPr>
          <w:b w:val="0"/>
        </w:rPr>
        <w:t>w</w:t>
      </w:r>
      <w:r w:rsidR="00E16DCA" w:rsidRPr="00E44784">
        <w:rPr>
          <w:b w:val="0"/>
        </w:rPr>
        <w:t>eb-based, or telephonic mental health professional sessions for employees.</w:t>
      </w:r>
    </w:p>
    <w:p w:rsidR="002F1052" w:rsidRPr="00E44784" w:rsidRDefault="002F1052" w:rsidP="00AF10E1">
      <w:pPr>
        <w:pStyle w:val="ListParagraph"/>
        <w:numPr>
          <w:ilvl w:val="2"/>
          <w:numId w:val="15"/>
        </w:numPr>
        <w:spacing w:after="240"/>
        <w:ind w:left="2347"/>
        <w:jc w:val="left"/>
        <w:rPr>
          <w:b w:val="0"/>
        </w:rPr>
      </w:pPr>
      <w:r w:rsidRPr="00E44784">
        <w:rPr>
          <w:b w:val="0"/>
        </w:rPr>
        <w:t>Throughout the Sta</w:t>
      </w:r>
      <w:r w:rsidR="00A30860" w:rsidRPr="00E44784">
        <w:rPr>
          <w:b w:val="0"/>
        </w:rPr>
        <w:t>te of California, at least one c</w:t>
      </w:r>
      <w:r w:rsidRPr="00E44784">
        <w:rPr>
          <w:b w:val="0"/>
        </w:rPr>
        <w:t xml:space="preserve">ounselor </w:t>
      </w:r>
      <w:r w:rsidR="00A30860" w:rsidRPr="00E44784">
        <w:rPr>
          <w:b w:val="0"/>
        </w:rPr>
        <w:t>must be available to provide i</w:t>
      </w:r>
      <w:r w:rsidRPr="00E44784">
        <w:rPr>
          <w:b w:val="0"/>
        </w:rPr>
        <w:t xml:space="preserve">n-person </w:t>
      </w:r>
      <w:r w:rsidR="00A30860" w:rsidRPr="00E44784">
        <w:rPr>
          <w:b w:val="0"/>
        </w:rPr>
        <w:t>s</w:t>
      </w:r>
      <w:r w:rsidRPr="00E44784">
        <w:rPr>
          <w:b w:val="0"/>
        </w:rPr>
        <w:t xml:space="preserve">essions as follows:  urban and suburban areas: within a 5-mile radius, at least 95% of the time, of a member’s home or work location; and rural areas: within a 25-mile radius, at least 95% of the time, of a member’s home or work location.  All </w:t>
      </w:r>
      <w:r w:rsidR="00A30860" w:rsidRPr="00E44784">
        <w:rPr>
          <w:b w:val="0"/>
        </w:rPr>
        <w:t>c</w:t>
      </w:r>
      <w:r w:rsidRPr="00E44784">
        <w:rPr>
          <w:b w:val="0"/>
        </w:rPr>
        <w:t xml:space="preserve">ounselors </w:t>
      </w:r>
      <w:r w:rsidR="00A30860" w:rsidRPr="00E44784">
        <w:rPr>
          <w:b w:val="0"/>
        </w:rPr>
        <w:t>must</w:t>
      </w:r>
      <w:r w:rsidRPr="00E44784">
        <w:rPr>
          <w:b w:val="0"/>
        </w:rPr>
        <w:t xml:space="preserve"> have (1) training and experience in assessing substance abuse problems and in conducting focused, problem-resolution counseling and (2) at least a master's level degree in the appropriate field or such other training and practical experience in behavioral health treatment settings that qualify them to provide the applicable Services.</w:t>
      </w:r>
    </w:p>
    <w:p w:rsidR="002F1052" w:rsidRPr="00E44784" w:rsidRDefault="00A30860" w:rsidP="00AF10E1">
      <w:pPr>
        <w:pStyle w:val="ListParagraph"/>
        <w:numPr>
          <w:ilvl w:val="2"/>
          <w:numId w:val="15"/>
        </w:numPr>
        <w:spacing w:after="240"/>
        <w:ind w:left="2347"/>
        <w:jc w:val="left"/>
        <w:rPr>
          <w:b w:val="0"/>
        </w:rPr>
      </w:pPr>
      <w:r w:rsidRPr="00E44784">
        <w:rPr>
          <w:b w:val="0"/>
        </w:rPr>
        <w:t>A</w:t>
      </w:r>
      <w:r w:rsidR="002F1052" w:rsidRPr="00E44784">
        <w:rPr>
          <w:b w:val="0"/>
        </w:rPr>
        <w:t>ccess to clinical EAP services through self-referral, supervisor referral, and human resources referral.</w:t>
      </w:r>
    </w:p>
    <w:p w:rsidR="00766158" w:rsidRPr="00E44784" w:rsidRDefault="00766158" w:rsidP="00AF10E1">
      <w:pPr>
        <w:pStyle w:val="ListParagraph"/>
        <w:numPr>
          <w:ilvl w:val="2"/>
          <w:numId w:val="15"/>
        </w:numPr>
        <w:spacing w:after="240"/>
        <w:ind w:left="2347"/>
        <w:jc w:val="left"/>
        <w:rPr>
          <w:b w:val="0"/>
        </w:rPr>
      </w:pPr>
      <w:r w:rsidRPr="00E44784">
        <w:rPr>
          <w:b w:val="0"/>
        </w:rPr>
        <w:t>R</w:t>
      </w:r>
      <w:r w:rsidR="00994B9E" w:rsidRPr="00E44784">
        <w:rPr>
          <w:b w:val="0"/>
        </w:rPr>
        <w:t xml:space="preserve">eview </w:t>
      </w:r>
      <w:r w:rsidRPr="00E44784">
        <w:rPr>
          <w:b w:val="0"/>
        </w:rPr>
        <w:t>mental health professionals</w:t>
      </w:r>
      <w:r w:rsidR="00994B9E" w:rsidRPr="00E44784">
        <w:rPr>
          <w:b w:val="0"/>
        </w:rPr>
        <w:t>’ qualifications</w:t>
      </w:r>
      <w:r w:rsidRPr="00E44784">
        <w:rPr>
          <w:b w:val="0"/>
        </w:rPr>
        <w:t xml:space="preserve"> and allow the AOC to retain the right of selecting the assigned mental health professionals. The provider will conduct mental health professional audits a minimum of twice yearly to determine current licensure, active network membership, client satisfaction, and to ensure that appointments are being made within one week of the employee or employer’s call. </w:t>
      </w:r>
    </w:p>
    <w:p w:rsidR="002F1052" w:rsidRPr="00E44784" w:rsidRDefault="002F1052" w:rsidP="00AF10E1">
      <w:pPr>
        <w:pStyle w:val="ListParagraph"/>
        <w:numPr>
          <w:ilvl w:val="2"/>
          <w:numId w:val="15"/>
        </w:numPr>
        <w:spacing w:after="240"/>
        <w:ind w:left="2347"/>
        <w:jc w:val="left"/>
        <w:rPr>
          <w:b w:val="0"/>
        </w:rPr>
      </w:pPr>
      <w:r w:rsidRPr="00E44784">
        <w:rPr>
          <w:b w:val="0"/>
        </w:rPr>
        <w:t xml:space="preserve">Upon request of the AOC Human </w:t>
      </w:r>
      <w:r w:rsidR="004C4750" w:rsidRPr="00E44784">
        <w:rPr>
          <w:b w:val="0"/>
        </w:rPr>
        <w:t>Resources Services Office, the c</w:t>
      </w:r>
      <w:r w:rsidRPr="00E44784">
        <w:rPr>
          <w:b w:val="0"/>
        </w:rPr>
        <w:t>ontractor will provide consultation to any manager or supervisor considering the referral of an Employee to the program and will assist the manager or supervisor in the "supportive confrontation" process as needed.  In the case of a sup</w:t>
      </w:r>
      <w:r w:rsidR="004C4750" w:rsidRPr="00E44784">
        <w:rPr>
          <w:b w:val="0"/>
        </w:rPr>
        <w:t>ervisor-referred employee, the c</w:t>
      </w:r>
      <w:r w:rsidRPr="00E44784">
        <w:rPr>
          <w:b w:val="0"/>
        </w:rPr>
        <w:t>ontractor will remain in regular contact with the referring supervisor regarding</w:t>
      </w:r>
      <w:r w:rsidR="004C4750" w:rsidRPr="00E44784">
        <w:rPr>
          <w:b w:val="0"/>
        </w:rPr>
        <w:t xml:space="preserve"> work performance issues.  The c</w:t>
      </w:r>
      <w:r w:rsidRPr="00E44784">
        <w:rPr>
          <w:b w:val="0"/>
        </w:rPr>
        <w:t>ontractor will also provide consultation regarding management of high-risk situations in wh</w:t>
      </w:r>
      <w:r w:rsidR="004C4750" w:rsidRPr="00E44784">
        <w:rPr>
          <w:b w:val="0"/>
        </w:rPr>
        <w:t>ich an employee</w:t>
      </w:r>
      <w:r w:rsidRPr="00E44784">
        <w:rPr>
          <w:b w:val="0"/>
        </w:rPr>
        <w:t xml:space="preserve">'s personal problems may create a threat of violence in the workplace.  As appropriate and to the extent authorized by an </w:t>
      </w:r>
      <w:r w:rsidR="004C4750" w:rsidRPr="00E44784">
        <w:rPr>
          <w:b w:val="0"/>
        </w:rPr>
        <w:t>e</w:t>
      </w:r>
      <w:r w:rsidRPr="00E44784">
        <w:rPr>
          <w:b w:val="0"/>
        </w:rPr>
        <w:t>mployee or as o</w:t>
      </w:r>
      <w:r w:rsidR="004C4750" w:rsidRPr="00E44784">
        <w:rPr>
          <w:b w:val="0"/>
        </w:rPr>
        <w:t>therwise permitted by law, the c</w:t>
      </w:r>
      <w:r w:rsidRPr="00E44784">
        <w:rPr>
          <w:b w:val="0"/>
        </w:rPr>
        <w:t>ontractor will provide consultation on the process required to facilita</w:t>
      </w:r>
      <w:r w:rsidR="004C4750" w:rsidRPr="00E44784">
        <w:rPr>
          <w:b w:val="0"/>
        </w:rPr>
        <w:t>te an e</w:t>
      </w:r>
      <w:r w:rsidRPr="00E44784">
        <w:rPr>
          <w:b w:val="0"/>
        </w:rPr>
        <w:t>mployee's return to work.</w:t>
      </w:r>
    </w:p>
    <w:p w:rsidR="00AF10E1" w:rsidRPr="00E44784" w:rsidRDefault="00CB4595" w:rsidP="0045618D">
      <w:pPr>
        <w:pStyle w:val="ListParagraph"/>
        <w:keepNext/>
        <w:numPr>
          <w:ilvl w:val="1"/>
          <w:numId w:val="15"/>
        </w:numPr>
        <w:spacing w:after="240"/>
        <w:ind w:left="1627"/>
        <w:jc w:val="left"/>
        <w:rPr>
          <w:b w:val="0"/>
        </w:rPr>
      </w:pPr>
      <w:r w:rsidRPr="00E44784">
        <w:rPr>
          <w:b w:val="0"/>
        </w:rPr>
        <w:lastRenderedPageBreak/>
        <w:t>Program Management</w:t>
      </w:r>
    </w:p>
    <w:p w:rsidR="00766158" w:rsidRPr="00E44784" w:rsidRDefault="00766158" w:rsidP="00AF10E1">
      <w:pPr>
        <w:pStyle w:val="ListParagraph"/>
        <w:numPr>
          <w:ilvl w:val="2"/>
          <w:numId w:val="15"/>
        </w:numPr>
        <w:spacing w:after="240"/>
        <w:jc w:val="left"/>
        <w:rPr>
          <w:b w:val="0"/>
        </w:rPr>
      </w:pPr>
      <w:r w:rsidRPr="00E44784">
        <w:rPr>
          <w:b w:val="0"/>
        </w:rPr>
        <w:t>Provide a dedicated program manager with experience regarding the administration, monitoring, and maintenance of an employer-provided mental health professional network.</w:t>
      </w:r>
    </w:p>
    <w:p w:rsidR="008C2680" w:rsidRPr="00E44784" w:rsidRDefault="001A38EF" w:rsidP="00AF10E1">
      <w:pPr>
        <w:pStyle w:val="ListParagraph"/>
        <w:numPr>
          <w:ilvl w:val="2"/>
          <w:numId w:val="15"/>
        </w:numPr>
        <w:spacing w:after="240"/>
        <w:jc w:val="left"/>
        <w:rPr>
          <w:b w:val="0"/>
        </w:rPr>
      </w:pPr>
      <w:r w:rsidRPr="00E44784">
        <w:rPr>
          <w:b w:val="0"/>
        </w:rPr>
        <w:t xml:space="preserve">Provide ongoing oversight of the network to ensure that services are provided in a timely and relevant matter. </w:t>
      </w:r>
      <w:r w:rsidR="00994B9E" w:rsidRPr="00E44784">
        <w:rPr>
          <w:b w:val="0"/>
        </w:rPr>
        <w:t>Member calls should be answered at all times and members</w:t>
      </w:r>
      <w:r w:rsidRPr="00E44784">
        <w:rPr>
          <w:b w:val="0"/>
        </w:rPr>
        <w:t xml:space="preserve"> should receive an initial counseling session within</w:t>
      </w:r>
      <w:r w:rsidR="00CE04F6" w:rsidRPr="00E44784">
        <w:rPr>
          <w:b w:val="0"/>
        </w:rPr>
        <w:t xml:space="preserve"> </w:t>
      </w:r>
      <w:r w:rsidR="009D3F5C" w:rsidRPr="00E44784">
        <w:rPr>
          <w:b w:val="0"/>
        </w:rPr>
        <w:t>one week</w:t>
      </w:r>
      <w:r w:rsidRPr="00E44784">
        <w:rPr>
          <w:b w:val="0"/>
        </w:rPr>
        <w:t xml:space="preserve"> of placing a call to the provider. </w:t>
      </w:r>
    </w:p>
    <w:p w:rsidR="008C2680" w:rsidRPr="00E44784" w:rsidRDefault="001A38EF" w:rsidP="00AF10E1">
      <w:pPr>
        <w:pStyle w:val="ListParagraph"/>
        <w:numPr>
          <w:ilvl w:val="2"/>
          <w:numId w:val="15"/>
        </w:numPr>
        <w:spacing w:after="240"/>
        <w:jc w:val="left"/>
        <w:rPr>
          <w:b w:val="0"/>
        </w:rPr>
      </w:pPr>
      <w:r w:rsidRPr="00E44784">
        <w:rPr>
          <w:b w:val="0"/>
        </w:rPr>
        <w:t>Provide informational</w:t>
      </w:r>
      <w:r w:rsidR="00A6109A" w:rsidRPr="00E44784">
        <w:rPr>
          <w:b w:val="0"/>
        </w:rPr>
        <w:t>/promotional</w:t>
      </w:r>
      <w:r w:rsidRPr="00E44784">
        <w:rPr>
          <w:b w:val="0"/>
        </w:rPr>
        <w:t xml:space="preserve"> materials so that AOC can continually inform members of se</w:t>
      </w:r>
      <w:r w:rsidR="00766158" w:rsidRPr="00E44784">
        <w:rPr>
          <w:b w:val="0"/>
        </w:rPr>
        <w:t>rvices and contact information via electronic means, e.g. flyers, brochures, Intranet postings, etc.</w:t>
      </w:r>
    </w:p>
    <w:p w:rsidR="008C2680" w:rsidRPr="00E44784" w:rsidRDefault="002F1052" w:rsidP="00AF10E1">
      <w:pPr>
        <w:pStyle w:val="ListParagraph"/>
        <w:numPr>
          <w:ilvl w:val="1"/>
          <w:numId w:val="15"/>
        </w:numPr>
        <w:spacing w:after="240"/>
        <w:ind w:left="1627"/>
        <w:jc w:val="left"/>
        <w:rPr>
          <w:b w:val="0"/>
        </w:rPr>
      </w:pPr>
      <w:r w:rsidRPr="00E44784">
        <w:rPr>
          <w:b w:val="0"/>
        </w:rPr>
        <w:t xml:space="preserve">Record Keeping and </w:t>
      </w:r>
      <w:r w:rsidR="00FC1FBB" w:rsidRPr="00E44784">
        <w:rPr>
          <w:b w:val="0"/>
        </w:rPr>
        <w:t xml:space="preserve">Utilization </w:t>
      </w:r>
    </w:p>
    <w:p w:rsidR="002F1052" w:rsidRPr="00E44784" w:rsidRDefault="004C4750" w:rsidP="00AF10E1">
      <w:pPr>
        <w:pStyle w:val="ListParagraph"/>
        <w:numPr>
          <w:ilvl w:val="2"/>
          <w:numId w:val="15"/>
        </w:numPr>
        <w:spacing w:after="240"/>
        <w:jc w:val="left"/>
        <w:rPr>
          <w:b w:val="0"/>
        </w:rPr>
      </w:pPr>
      <w:r w:rsidRPr="00E44784">
        <w:rPr>
          <w:b w:val="0"/>
        </w:rPr>
        <w:t>The c</w:t>
      </w:r>
      <w:r w:rsidR="002F1052" w:rsidRPr="00E44784">
        <w:rPr>
          <w:b w:val="0"/>
        </w:rPr>
        <w:t xml:space="preserve">ontractor will maintain records for each member who contacts the </w:t>
      </w:r>
      <w:r w:rsidRPr="00E44784">
        <w:rPr>
          <w:b w:val="0"/>
        </w:rPr>
        <w:t>c</w:t>
      </w:r>
      <w:r w:rsidR="002F1052" w:rsidRPr="00E44784">
        <w:rPr>
          <w:b w:val="0"/>
        </w:rPr>
        <w:t xml:space="preserve">ontractor for Services. </w:t>
      </w:r>
    </w:p>
    <w:p w:rsidR="008C2680" w:rsidRPr="00E44784" w:rsidRDefault="00CB4595" w:rsidP="00AF10E1">
      <w:pPr>
        <w:pStyle w:val="ListParagraph"/>
        <w:numPr>
          <w:ilvl w:val="2"/>
          <w:numId w:val="15"/>
        </w:numPr>
        <w:spacing w:after="240"/>
        <w:jc w:val="left"/>
        <w:rPr>
          <w:b w:val="0"/>
        </w:rPr>
      </w:pPr>
      <w:r w:rsidRPr="00E44784">
        <w:rPr>
          <w:b w:val="0"/>
        </w:rPr>
        <w:t>M</w:t>
      </w:r>
      <w:r w:rsidR="006114A0" w:rsidRPr="00E44784">
        <w:rPr>
          <w:b w:val="0"/>
        </w:rPr>
        <w:t>onitor the</w:t>
      </w:r>
      <w:r w:rsidR="004968F4" w:rsidRPr="00E44784">
        <w:rPr>
          <w:b w:val="0"/>
        </w:rPr>
        <w:t xml:space="preserve"> utilization of </w:t>
      </w:r>
      <w:r w:rsidR="00BD4FD9" w:rsidRPr="00E44784">
        <w:rPr>
          <w:b w:val="0"/>
        </w:rPr>
        <w:t>the mental</w:t>
      </w:r>
      <w:r w:rsidR="008F687B" w:rsidRPr="00E44784">
        <w:rPr>
          <w:b w:val="0"/>
        </w:rPr>
        <w:t xml:space="preserve"> health professional</w:t>
      </w:r>
      <w:r w:rsidR="00740104" w:rsidRPr="00E44784">
        <w:rPr>
          <w:b w:val="0"/>
        </w:rPr>
        <w:t xml:space="preserve"> network </w:t>
      </w:r>
      <w:r w:rsidR="004968F4" w:rsidRPr="00E44784">
        <w:rPr>
          <w:b w:val="0"/>
        </w:rPr>
        <w:t>and make recommendations to improve utilization.</w:t>
      </w:r>
      <w:r w:rsidR="00740104" w:rsidRPr="00E44784">
        <w:rPr>
          <w:b w:val="0"/>
        </w:rPr>
        <w:t xml:space="preserve"> </w:t>
      </w:r>
    </w:p>
    <w:p w:rsidR="00766158" w:rsidRPr="00E44784" w:rsidRDefault="00740104" w:rsidP="00AF10E1">
      <w:pPr>
        <w:pStyle w:val="ListParagraph"/>
        <w:numPr>
          <w:ilvl w:val="2"/>
          <w:numId w:val="15"/>
        </w:numPr>
        <w:spacing w:after="240"/>
        <w:jc w:val="left"/>
        <w:rPr>
          <w:b w:val="0"/>
        </w:rPr>
      </w:pPr>
      <w:r w:rsidRPr="00E44784">
        <w:rPr>
          <w:b w:val="0"/>
        </w:rPr>
        <w:t>Provide quarterly utilization reports</w:t>
      </w:r>
      <w:r w:rsidR="002F1052" w:rsidRPr="00E44784">
        <w:rPr>
          <w:b w:val="0"/>
        </w:rPr>
        <w:t xml:space="preserve"> using aggregate data and including</w:t>
      </w:r>
      <w:r w:rsidRPr="00E44784">
        <w:rPr>
          <w:b w:val="0"/>
        </w:rPr>
        <w:t xml:space="preserve"> entity type: Judge, Justice, Subordinate Judicial Officer, </w:t>
      </w:r>
      <w:r w:rsidR="00585FDD" w:rsidRPr="00E44784">
        <w:rPr>
          <w:b w:val="0"/>
        </w:rPr>
        <w:t>and Retired</w:t>
      </w:r>
      <w:r w:rsidRPr="00E44784">
        <w:rPr>
          <w:b w:val="0"/>
        </w:rPr>
        <w:t xml:space="preserve"> Judge in Assigned Judge program, Habeas Corpus Resource Center employee, Supreme Court employee, Courts of Appeal employee, California Judicial Center Library employee, spouse/entity t</w:t>
      </w:r>
      <w:r w:rsidR="00766158" w:rsidRPr="00E44784">
        <w:rPr>
          <w:b w:val="0"/>
        </w:rPr>
        <w:t xml:space="preserve">ype, and dependent/entity type and call type: marriage/family, substance abuse, </w:t>
      </w:r>
      <w:r w:rsidR="006467B5" w:rsidRPr="00E44784">
        <w:rPr>
          <w:b w:val="0"/>
        </w:rPr>
        <w:t xml:space="preserve">job related, stress, illness, etc. </w:t>
      </w:r>
    </w:p>
    <w:p w:rsidR="002F1052" w:rsidRPr="00E44784" w:rsidRDefault="002F1052" w:rsidP="00AF10E1">
      <w:pPr>
        <w:pStyle w:val="ListParagraph"/>
        <w:numPr>
          <w:ilvl w:val="2"/>
          <w:numId w:val="15"/>
        </w:numPr>
        <w:spacing w:after="240"/>
        <w:jc w:val="left"/>
        <w:rPr>
          <w:b w:val="0"/>
        </w:rPr>
      </w:pPr>
      <w:r w:rsidRPr="00E44784">
        <w:rPr>
          <w:b w:val="0"/>
        </w:rPr>
        <w:t xml:space="preserve">The utilization reports shall not include member identifiable information. </w:t>
      </w:r>
      <w:r w:rsidR="009D2629" w:rsidRPr="00E44784">
        <w:rPr>
          <w:b w:val="0"/>
        </w:rPr>
        <w:t xml:space="preserve"> </w:t>
      </w:r>
      <w:r w:rsidRPr="00E44784">
        <w:rPr>
          <w:b w:val="0"/>
        </w:rPr>
        <w:t>Age and gender data may be included if available.</w:t>
      </w:r>
    </w:p>
    <w:p w:rsidR="007876FD" w:rsidRPr="00E44784" w:rsidRDefault="007876FD" w:rsidP="00AF10E1">
      <w:pPr>
        <w:pStyle w:val="ListParagraph"/>
        <w:numPr>
          <w:ilvl w:val="1"/>
          <w:numId w:val="15"/>
        </w:numPr>
        <w:spacing w:after="240"/>
        <w:jc w:val="left"/>
        <w:rPr>
          <w:b w:val="0"/>
        </w:rPr>
      </w:pPr>
      <w:r w:rsidRPr="00E44784">
        <w:rPr>
          <w:b w:val="0"/>
        </w:rPr>
        <w:t>Transition Services</w:t>
      </w:r>
      <w:r w:rsidR="007D0698" w:rsidRPr="00E44784">
        <w:rPr>
          <w:b w:val="0"/>
        </w:rPr>
        <w:t>.  Provide a transition plan for services that are in progress at the time of change-over from the existing employee assistance provider to the new service provider</w:t>
      </w:r>
    </w:p>
    <w:p w:rsidR="00EE6C27" w:rsidRPr="00E44784" w:rsidRDefault="00EE6C27" w:rsidP="00AF10E1">
      <w:pPr>
        <w:pStyle w:val="ListParagraph"/>
        <w:numPr>
          <w:ilvl w:val="1"/>
          <w:numId w:val="15"/>
        </w:numPr>
        <w:spacing w:after="240"/>
        <w:jc w:val="left"/>
        <w:rPr>
          <w:b w:val="0"/>
        </w:rPr>
      </w:pPr>
      <w:r w:rsidRPr="00E44784">
        <w:rPr>
          <w:b w:val="0"/>
        </w:rPr>
        <w:t>Critical Need Consultation</w:t>
      </w:r>
      <w:r w:rsidR="007D0698" w:rsidRPr="00E44784">
        <w:rPr>
          <w:b w:val="0"/>
        </w:rPr>
        <w:t xml:space="preserve">.  Respond to and consult in connection with a sudden, unanticipated, traumatic incident or circumstance occurring at the workplace (e.g., accident, death, threat of violence, natural disaster) that produces a high degree of distress in the affected workplace of the State or an immediate or delayed emotional reaction in </w:t>
      </w:r>
      <w:proofErr w:type="gramStart"/>
      <w:r w:rsidR="007D0698" w:rsidRPr="00E44784">
        <w:rPr>
          <w:b w:val="0"/>
        </w:rPr>
        <w:t>employees, that</w:t>
      </w:r>
      <w:proofErr w:type="gramEnd"/>
      <w:r w:rsidR="007D0698" w:rsidRPr="00E44784">
        <w:rPr>
          <w:b w:val="0"/>
        </w:rPr>
        <w:t xml:space="preserve"> surpasses normal coping mechanisms.</w:t>
      </w:r>
    </w:p>
    <w:p w:rsidR="00A50B42" w:rsidRPr="00E44784" w:rsidRDefault="00A50B42" w:rsidP="00D64F37">
      <w:pPr>
        <w:pStyle w:val="ListParagraph"/>
        <w:keepNext/>
        <w:keepLines/>
        <w:numPr>
          <w:ilvl w:val="0"/>
          <w:numId w:val="15"/>
        </w:numPr>
        <w:spacing w:after="240"/>
        <w:jc w:val="left"/>
      </w:pPr>
      <w:r w:rsidRPr="00E44784">
        <w:lastRenderedPageBreak/>
        <w:t>TIMELINE FOR THIS RFP</w:t>
      </w:r>
    </w:p>
    <w:p w:rsidR="00A50B42" w:rsidRPr="00E44784" w:rsidRDefault="00A50B42" w:rsidP="00D64F37">
      <w:pPr>
        <w:keepNext/>
        <w:keepLines/>
        <w:widowControl w:val="0"/>
        <w:spacing w:after="240"/>
        <w:ind w:left="720"/>
        <w:rPr>
          <w:bCs/>
          <w:iCs/>
        </w:rPr>
      </w:pPr>
      <w:r w:rsidRPr="00E44784">
        <w:rPr>
          <w:bCs/>
          <w:iCs/>
        </w:rPr>
        <w:t xml:space="preserve">The AOC has developed the following list of key events </w:t>
      </w:r>
      <w:r w:rsidR="00FC4A81" w:rsidRPr="00E44784">
        <w:rPr>
          <w:bCs/>
          <w:iCs/>
        </w:rPr>
        <w:t>related to this RFP</w:t>
      </w:r>
      <w:r w:rsidRPr="00E44784">
        <w:rPr>
          <w:bCs/>
          <w:iCs/>
        </w:rPr>
        <w:t>.  All dates are subject to change at the discretion of the AOC.</w:t>
      </w:r>
    </w:p>
    <w:tbl>
      <w:tblPr>
        <w:tblStyle w:val="TableGrid"/>
        <w:tblW w:w="0" w:type="auto"/>
        <w:tblInd w:w="738" w:type="dxa"/>
        <w:tblLook w:val="04A0"/>
      </w:tblPr>
      <w:tblGrid>
        <w:gridCol w:w="4050"/>
        <w:gridCol w:w="4788"/>
      </w:tblGrid>
      <w:tr w:rsidR="000A47A6" w:rsidRPr="00E44784" w:rsidTr="000A47A6">
        <w:trPr>
          <w:trHeight w:val="162"/>
        </w:trPr>
        <w:tc>
          <w:tcPr>
            <w:tcW w:w="8838" w:type="dxa"/>
            <w:gridSpan w:val="2"/>
            <w:tcBorders>
              <w:top w:val="nil"/>
              <w:left w:val="nil"/>
              <w:right w:val="nil"/>
            </w:tcBorders>
            <w:shd w:val="clear" w:color="auto" w:fill="FFFFFF" w:themeFill="background1"/>
            <w:vAlign w:val="center"/>
          </w:tcPr>
          <w:p w:rsidR="000A47A6" w:rsidRPr="00E44784" w:rsidRDefault="000A47A6" w:rsidP="000A47A6">
            <w:pPr>
              <w:widowControl w:val="0"/>
              <w:tabs>
                <w:tab w:val="left" w:pos="2178"/>
              </w:tabs>
              <w:rPr>
                <w:b/>
                <w:bCs/>
                <w:iCs/>
                <w:sz w:val="22"/>
                <w:szCs w:val="22"/>
              </w:rPr>
            </w:pPr>
            <w:r w:rsidRPr="00E44784">
              <w:rPr>
                <w:b/>
                <w:bCs/>
                <w:iCs/>
                <w:sz w:val="22"/>
                <w:szCs w:val="22"/>
              </w:rPr>
              <w:t>Table 1:</w:t>
            </w:r>
          </w:p>
        </w:tc>
      </w:tr>
      <w:tr w:rsidR="007220A6" w:rsidRPr="00E44784" w:rsidTr="00FD6D60">
        <w:trPr>
          <w:trHeight w:val="422"/>
        </w:trPr>
        <w:tc>
          <w:tcPr>
            <w:tcW w:w="4050" w:type="dxa"/>
            <w:shd w:val="clear" w:color="auto" w:fill="D9D9D9" w:themeFill="background1" w:themeFillShade="D9"/>
            <w:vAlign w:val="center"/>
          </w:tcPr>
          <w:p w:rsidR="007220A6" w:rsidRPr="00E44784" w:rsidRDefault="007220A6" w:rsidP="007220A6">
            <w:pPr>
              <w:widowControl w:val="0"/>
              <w:jc w:val="center"/>
              <w:rPr>
                <w:b/>
                <w:bCs/>
                <w:iCs/>
                <w:sz w:val="22"/>
                <w:szCs w:val="22"/>
              </w:rPr>
            </w:pPr>
            <w:r w:rsidRPr="00E44784">
              <w:rPr>
                <w:b/>
                <w:bCs/>
                <w:iCs/>
                <w:sz w:val="22"/>
                <w:szCs w:val="22"/>
              </w:rPr>
              <w:t>EVENT</w:t>
            </w:r>
          </w:p>
        </w:tc>
        <w:tc>
          <w:tcPr>
            <w:tcW w:w="4788" w:type="dxa"/>
            <w:shd w:val="clear" w:color="auto" w:fill="D9D9D9" w:themeFill="background1" w:themeFillShade="D9"/>
            <w:vAlign w:val="center"/>
          </w:tcPr>
          <w:p w:rsidR="007220A6" w:rsidRPr="00E44784" w:rsidRDefault="007220A6" w:rsidP="007220A6">
            <w:pPr>
              <w:widowControl w:val="0"/>
              <w:tabs>
                <w:tab w:val="left" w:pos="2178"/>
              </w:tabs>
              <w:jc w:val="center"/>
              <w:rPr>
                <w:b/>
                <w:bCs/>
                <w:iCs/>
                <w:sz w:val="22"/>
                <w:szCs w:val="22"/>
              </w:rPr>
            </w:pPr>
            <w:r w:rsidRPr="00E44784">
              <w:rPr>
                <w:b/>
                <w:bCs/>
                <w:iCs/>
                <w:sz w:val="22"/>
                <w:szCs w:val="22"/>
              </w:rPr>
              <w:t>DATE</w:t>
            </w:r>
          </w:p>
        </w:tc>
      </w:tr>
      <w:tr w:rsidR="007220A6" w:rsidRPr="00E44784" w:rsidTr="00FD6D60">
        <w:tc>
          <w:tcPr>
            <w:tcW w:w="4050" w:type="dxa"/>
            <w:vAlign w:val="center"/>
          </w:tcPr>
          <w:p w:rsidR="007220A6" w:rsidRPr="00E44784" w:rsidRDefault="007220A6" w:rsidP="007220A6">
            <w:pPr>
              <w:widowControl w:val="0"/>
              <w:rPr>
                <w:b/>
                <w:bCs/>
                <w:iCs/>
                <w:sz w:val="22"/>
                <w:szCs w:val="22"/>
              </w:rPr>
            </w:pPr>
            <w:r w:rsidRPr="00E44784">
              <w:rPr>
                <w:bCs/>
                <w:iCs/>
                <w:sz w:val="22"/>
                <w:szCs w:val="22"/>
              </w:rPr>
              <w:t>RFP issued</w:t>
            </w:r>
            <w:r w:rsidRPr="00E44784">
              <w:rPr>
                <w:b/>
                <w:bCs/>
                <w:iCs/>
                <w:vanish/>
                <w:sz w:val="22"/>
                <w:szCs w:val="22"/>
              </w:rPr>
              <w:t>:</w:t>
            </w:r>
          </w:p>
        </w:tc>
        <w:tc>
          <w:tcPr>
            <w:tcW w:w="4788" w:type="dxa"/>
            <w:vAlign w:val="center"/>
          </w:tcPr>
          <w:p w:rsidR="007220A6" w:rsidRPr="00E44784" w:rsidRDefault="00A01422" w:rsidP="00FD6D60">
            <w:pPr>
              <w:widowControl w:val="0"/>
              <w:tabs>
                <w:tab w:val="left" w:pos="2178"/>
              </w:tabs>
              <w:jc w:val="center"/>
              <w:rPr>
                <w:b/>
                <w:bCs/>
                <w:iCs/>
                <w:sz w:val="22"/>
                <w:szCs w:val="22"/>
              </w:rPr>
            </w:pPr>
            <w:r w:rsidRPr="00E44784">
              <w:rPr>
                <w:b/>
                <w:bCs/>
                <w:iCs/>
                <w:sz w:val="22"/>
                <w:szCs w:val="22"/>
              </w:rPr>
              <w:t>October 2</w:t>
            </w:r>
            <w:r w:rsidR="00FD6D60" w:rsidRPr="00E44784">
              <w:rPr>
                <w:b/>
                <w:bCs/>
                <w:iCs/>
                <w:sz w:val="22"/>
                <w:szCs w:val="22"/>
              </w:rPr>
              <w:t>6</w:t>
            </w:r>
            <w:r w:rsidR="007220A6" w:rsidRPr="00E44784">
              <w:rPr>
                <w:b/>
                <w:bCs/>
                <w:iCs/>
                <w:sz w:val="22"/>
                <w:szCs w:val="22"/>
              </w:rPr>
              <w:t>, 2012</w:t>
            </w:r>
          </w:p>
        </w:tc>
      </w:tr>
      <w:tr w:rsidR="007220A6" w:rsidRPr="00E44784" w:rsidTr="00FD6D60">
        <w:tc>
          <w:tcPr>
            <w:tcW w:w="4050" w:type="dxa"/>
            <w:vAlign w:val="center"/>
          </w:tcPr>
          <w:p w:rsidR="007220A6" w:rsidRPr="00E44784" w:rsidRDefault="007220A6" w:rsidP="007220A6">
            <w:pPr>
              <w:widowControl w:val="0"/>
              <w:rPr>
                <w:bCs/>
                <w:sz w:val="22"/>
                <w:szCs w:val="22"/>
              </w:rPr>
            </w:pPr>
            <w:r w:rsidRPr="00E44784">
              <w:rPr>
                <w:bCs/>
                <w:iCs/>
                <w:sz w:val="22"/>
                <w:szCs w:val="22"/>
              </w:rPr>
              <w:t xml:space="preserve">Deadline for questions to </w:t>
            </w:r>
            <w:hyperlink r:id="rId9" w:history="1">
              <w:r w:rsidRPr="00E44784">
                <w:rPr>
                  <w:rStyle w:val="Hyperlink"/>
                  <w:bCs/>
                  <w:iCs/>
                  <w:color w:val="auto"/>
                  <w:sz w:val="22"/>
                  <w:szCs w:val="22"/>
                </w:rPr>
                <w:t>solicitations@jud.ca.gov</w:t>
              </w:r>
            </w:hyperlink>
          </w:p>
        </w:tc>
        <w:tc>
          <w:tcPr>
            <w:tcW w:w="4788" w:type="dxa"/>
            <w:vAlign w:val="center"/>
          </w:tcPr>
          <w:p w:rsidR="007220A6" w:rsidRPr="00E44784" w:rsidRDefault="00A01422" w:rsidP="007220A6">
            <w:pPr>
              <w:widowControl w:val="0"/>
              <w:tabs>
                <w:tab w:val="left" w:pos="2178"/>
              </w:tabs>
              <w:jc w:val="center"/>
              <w:rPr>
                <w:b/>
                <w:bCs/>
                <w:sz w:val="22"/>
                <w:szCs w:val="22"/>
              </w:rPr>
            </w:pPr>
            <w:r w:rsidRPr="00E44784">
              <w:rPr>
                <w:b/>
                <w:bCs/>
                <w:sz w:val="22"/>
                <w:szCs w:val="22"/>
              </w:rPr>
              <w:t>November 1</w:t>
            </w:r>
            <w:r w:rsidR="007220A6" w:rsidRPr="00E44784">
              <w:rPr>
                <w:b/>
                <w:bCs/>
                <w:sz w:val="22"/>
                <w:szCs w:val="22"/>
              </w:rPr>
              <w:t>, 2012</w:t>
            </w:r>
          </w:p>
        </w:tc>
      </w:tr>
      <w:tr w:rsidR="007220A6" w:rsidRPr="00E44784" w:rsidTr="00FD6D60">
        <w:tc>
          <w:tcPr>
            <w:tcW w:w="4050" w:type="dxa"/>
            <w:vAlign w:val="center"/>
          </w:tcPr>
          <w:p w:rsidR="007220A6" w:rsidRPr="00E44784" w:rsidRDefault="007220A6" w:rsidP="007220A6">
            <w:pPr>
              <w:widowControl w:val="0"/>
              <w:rPr>
                <w:bCs/>
                <w:sz w:val="22"/>
                <w:szCs w:val="22"/>
              </w:rPr>
            </w:pPr>
            <w:r w:rsidRPr="00E44784">
              <w:rPr>
                <w:bCs/>
                <w:sz w:val="22"/>
                <w:szCs w:val="22"/>
              </w:rPr>
              <w:t>Questions and answers posted</w:t>
            </w:r>
          </w:p>
        </w:tc>
        <w:tc>
          <w:tcPr>
            <w:tcW w:w="4788" w:type="dxa"/>
            <w:vAlign w:val="center"/>
          </w:tcPr>
          <w:p w:rsidR="007220A6" w:rsidRPr="00E44784" w:rsidRDefault="00A01422" w:rsidP="007220A6">
            <w:pPr>
              <w:widowControl w:val="0"/>
              <w:tabs>
                <w:tab w:val="left" w:pos="2178"/>
              </w:tabs>
              <w:jc w:val="center"/>
              <w:rPr>
                <w:b/>
                <w:bCs/>
                <w:sz w:val="22"/>
                <w:szCs w:val="22"/>
              </w:rPr>
            </w:pPr>
            <w:r w:rsidRPr="00E44784">
              <w:rPr>
                <w:b/>
                <w:bCs/>
                <w:sz w:val="22"/>
                <w:szCs w:val="22"/>
              </w:rPr>
              <w:t>November 8</w:t>
            </w:r>
            <w:r w:rsidR="007220A6" w:rsidRPr="00E44784">
              <w:rPr>
                <w:b/>
                <w:bCs/>
                <w:sz w:val="22"/>
                <w:szCs w:val="22"/>
              </w:rPr>
              <w:t>, 2012</w:t>
            </w:r>
          </w:p>
        </w:tc>
      </w:tr>
      <w:tr w:rsidR="007220A6" w:rsidRPr="00E44784" w:rsidTr="00FD6D60">
        <w:tc>
          <w:tcPr>
            <w:tcW w:w="4050" w:type="dxa"/>
            <w:vAlign w:val="center"/>
          </w:tcPr>
          <w:p w:rsidR="007220A6" w:rsidRPr="00E44784" w:rsidRDefault="007220A6" w:rsidP="007220A6">
            <w:pPr>
              <w:widowControl w:val="0"/>
              <w:rPr>
                <w:bCs/>
                <w:sz w:val="22"/>
                <w:szCs w:val="22"/>
              </w:rPr>
            </w:pPr>
            <w:r w:rsidRPr="00E44784">
              <w:rPr>
                <w:bCs/>
                <w:sz w:val="22"/>
                <w:szCs w:val="22"/>
              </w:rPr>
              <w:t>Latest date and time proposal may be submitted</w:t>
            </w:r>
          </w:p>
        </w:tc>
        <w:tc>
          <w:tcPr>
            <w:tcW w:w="4788" w:type="dxa"/>
            <w:vAlign w:val="center"/>
          </w:tcPr>
          <w:p w:rsidR="007220A6" w:rsidRPr="00E44784" w:rsidRDefault="00A01422" w:rsidP="007220A6">
            <w:pPr>
              <w:widowControl w:val="0"/>
              <w:jc w:val="center"/>
              <w:rPr>
                <w:b/>
                <w:bCs/>
                <w:i/>
                <w:sz w:val="22"/>
                <w:szCs w:val="22"/>
              </w:rPr>
            </w:pPr>
            <w:r w:rsidRPr="00E44784">
              <w:rPr>
                <w:b/>
                <w:bCs/>
                <w:sz w:val="22"/>
                <w:szCs w:val="22"/>
              </w:rPr>
              <w:t>November 29</w:t>
            </w:r>
            <w:r w:rsidR="007220A6" w:rsidRPr="00E44784">
              <w:rPr>
                <w:b/>
                <w:bCs/>
                <w:sz w:val="22"/>
                <w:szCs w:val="22"/>
              </w:rPr>
              <w:t>, 2012</w:t>
            </w:r>
            <w:r w:rsidR="004B4141" w:rsidRPr="00E44784">
              <w:rPr>
                <w:b/>
                <w:bCs/>
                <w:sz w:val="22"/>
                <w:szCs w:val="22"/>
              </w:rPr>
              <w:t xml:space="preserve">, 1:00 </w:t>
            </w:r>
            <w:r w:rsidR="00FD6D60" w:rsidRPr="00E44784">
              <w:rPr>
                <w:b/>
                <w:bCs/>
                <w:sz w:val="22"/>
                <w:szCs w:val="22"/>
              </w:rPr>
              <w:t xml:space="preserve">p.m. </w:t>
            </w:r>
            <w:r w:rsidR="004B4141" w:rsidRPr="00E44784">
              <w:rPr>
                <w:b/>
                <w:bCs/>
                <w:sz w:val="22"/>
                <w:szCs w:val="22"/>
              </w:rPr>
              <w:t>Pacific Time</w:t>
            </w:r>
          </w:p>
          <w:p w:rsidR="007220A6" w:rsidRPr="00E44784" w:rsidRDefault="007220A6" w:rsidP="007220A6">
            <w:pPr>
              <w:widowControl w:val="0"/>
              <w:jc w:val="center"/>
              <w:rPr>
                <w:b/>
                <w:bCs/>
                <w:sz w:val="22"/>
                <w:szCs w:val="22"/>
              </w:rPr>
            </w:pPr>
          </w:p>
        </w:tc>
      </w:tr>
      <w:tr w:rsidR="007220A6" w:rsidRPr="00E44784" w:rsidTr="00FD6D60">
        <w:tc>
          <w:tcPr>
            <w:tcW w:w="4050" w:type="dxa"/>
            <w:vAlign w:val="center"/>
          </w:tcPr>
          <w:p w:rsidR="007220A6" w:rsidRPr="00E44784" w:rsidRDefault="007220A6" w:rsidP="007220A6">
            <w:pPr>
              <w:widowControl w:val="0"/>
              <w:ind w:right="576"/>
              <w:rPr>
                <w:bCs/>
                <w:sz w:val="22"/>
                <w:szCs w:val="22"/>
              </w:rPr>
            </w:pPr>
            <w:r w:rsidRPr="00E44784">
              <w:rPr>
                <w:bCs/>
                <w:sz w:val="22"/>
                <w:szCs w:val="22"/>
              </w:rPr>
              <w:t>Evaluation of proposals (</w:t>
            </w:r>
            <w:r w:rsidRPr="00E44784">
              <w:rPr>
                <w:bCs/>
                <w:i/>
                <w:sz w:val="22"/>
                <w:szCs w:val="22"/>
              </w:rPr>
              <w:t>estimate only)</w:t>
            </w:r>
          </w:p>
        </w:tc>
        <w:tc>
          <w:tcPr>
            <w:tcW w:w="4788" w:type="dxa"/>
            <w:vAlign w:val="center"/>
          </w:tcPr>
          <w:p w:rsidR="007220A6" w:rsidRPr="00E44784" w:rsidRDefault="00A01422" w:rsidP="00A01422">
            <w:pPr>
              <w:widowControl w:val="0"/>
              <w:jc w:val="center"/>
              <w:rPr>
                <w:b/>
                <w:bCs/>
                <w:sz w:val="12"/>
                <w:szCs w:val="12"/>
              </w:rPr>
            </w:pPr>
            <w:r w:rsidRPr="00E44784">
              <w:rPr>
                <w:b/>
                <w:bCs/>
                <w:sz w:val="22"/>
                <w:szCs w:val="22"/>
              </w:rPr>
              <w:t>December 3</w:t>
            </w:r>
            <w:r w:rsidR="007220A6" w:rsidRPr="00E44784">
              <w:rPr>
                <w:b/>
                <w:bCs/>
                <w:sz w:val="22"/>
                <w:szCs w:val="22"/>
              </w:rPr>
              <w:t xml:space="preserve"> – </w:t>
            </w:r>
            <w:r w:rsidRPr="00E44784">
              <w:rPr>
                <w:b/>
                <w:bCs/>
                <w:sz w:val="22"/>
                <w:szCs w:val="22"/>
              </w:rPr>
              <w:t>December 5</w:t>
            </w:r>
            <w:r w:rsidR="007220A6" w:rsidRPr="00E44784">
              <w:rPr>
                <w:b/>
                <w:bCs/>
                <w:sz w:val="22"/>
                <w:szCs w:val="22"/>
              </w:rPr>
              <w:t>, 2012</w:t>
            </w:r>
          </w:p>
        </w:tc>
      </w:tr>
      <w:tr w:rsidR="007220A6" w:rsidRPr="00E44784" w:rsidTr="00FD6D60">
        <w:tc>
          <w:tcPr>
            <w:tcW w:w="4050" w:type="dxa"/>
            <w:vAlign w:val="center"/>
          </w:tcPr>
          <w:p w:rsidR="007220A6" w:rsidRPr="00E44784" w:rsidRDefault="007220A6" w:rsidP="007220A6">
            <w:pPr>
              <w:widowControl w:val="0"/>
              <w:rPr>
                <w:bCs/>
                <w:sz w:val="22"/>
                <w:szCs w:val="22"/>
              </w:rPr>
            </w:pPr>
            <w:r w:rsidRPr="00E44784">
              <w:rPr>
                <w:bCs/>
                <w:sz w:val="22"/>
                <w:szCs w:val="22"/>
              </w:rPr>
              <w:t>Oral Presentations</w:t>
            </w:r>
          </w:p>
        </w:tc>
        <w:tc>
          <w:tcPr>
            <w:tcW w:w="4788" w:type="dxa"/>
            <w:vAlign w:val="center"/>
          </w:tcPr>
          <w:p w:rsidR="007220A6" w:rsidRPr="00E44784" w:rsidRDefault="00A01422" w:rsidP="00A01422">
            <w:pPr>
              <w:widowControl w:val="0"/>
              <w:jc w:val="center"/>
              <w:rPr>
                <w:b/>
                <w:bCs/>
                <w:i/>
                <w:sz w:val="22"/>
                <w:szCs w:val="22"/>
              </w:rPr>
            </w:pPr>
            <w:r w:rsidRPr="00E44784">
              <w:rPr>
                <w:b/>
                <w:bCs/>
                <w:sz w:val="22"/>
                <w:szCs w:val="22"/>
              </w:rPr>
              <w:t>December 10</w:t>
            </w:r>
            <w:r w:rsidR="007220A6" w:rsidRPr="00E44784">
              <w:rPr>
                <w:b/>
                <w:bCs/>
                <w:sz w:val="22"/>
                <w:szCs w:val="22"/>
              </w:rPr>
              <w:t>, 2012</w:t>
            </w:r>
          </w:p>
        </w:tc>
      </w:tr>
      <w:tr w:rsidR="007220A6" w:rsidRPr="00E44784" w:rsidTr="00FD6D60">
        <w:tc>
          <w:tcPr>
            <w:tcW w:w="4050" w:type="dxa"/>
            <w:vAlign w:val="center"/>
          </w:tcPr>
          <w:p w:rsidR="007220A6" w:rsidRPr="00E44784" w:rsidRDefault="007220A6" w:rsidP="007220A6">
            <w:pPr>
              <w:widowControl w:val="0"/>
              <w:rPr>
                <w:bCs/>
                <w:sz w:val="22"/>
                <w:szCs w:val="22"/>
              </w:rPr>
            </w:pPr>
            <w:r w:rsidRPr="00E44784">
              <w:rPr>
                <w:bCs/>
                <w:sz w:val="22"/>
                <w:szCs w:val="22"/>
              </w:rPr>
              <w:t>Notice of Intent to Award (</w:t>
            </w:r>
            <w:r w:rsidRPr="00E44784">
              <w:rPr>
                <w:bCs/>
                <w:i/>
                <w:sz w:val="22"/>
                <w:szCs w:val="22"/>
              </w:rPr>
              <w:t>estimate only</w:t>
            </w:r>
            <w:r w:rsidRPr="00E44784">
              <w:rPr>
                <w:bCs/>
                <w:sz w:val="22"/>
                <w:szCs w:val="22"/>
              </w:rPr>
              <w:t>)</w:t>
            </w:r>
          </w:p>
        </w:tc>
        <w:tc>
          <w:tcPr>
            <w:tcW w:w="4788" w:type="dxa"/>
            <w:vAlign w:val="center"/>
          </w:tcPr>
          <w:p w:rsidR="007220A6" w:rsidRPr="00E44784" w:rsidRDefault="00A01422" w:rsidP="00A01422">
            <w:pPr>
              <w:widowControl w:val="0"/>
              <w:jc w:val="center"/>
              <w:rPr>
                <w:b/>
                <w:bCs/>
                <w:sz w:val="22"/>
                <w:szCs w:val="22"/>
              </w:rPr>
            </w:pPr>
            <w:r w:rsidRPr="00E44784">
              <w:rPr>
                <w:b/>
                <w:bCs/>
                <w:sz w:val="22"/>
                <w:szCs w:val="22"/>
              </w:rPr>
              <w:t>December 14</w:t>
            </w:r>
            <w:r w:rsidR="007220A6" w:rsidRPr="00E44784">
              <w:rPr>
                <w:b/>
                <w:bCs/>
                <w:sz w:val="22"/>
                <w:szCs w:val="22"/>
              </w:rPr>
              <w:t>, 2012</w:t>
            </w:r>
          </w:p>
        </w:tc>
      </w:tr>
      <w:tr w:rsidR="007220A6" w:rsidRPr="00E44784" w:rsidTr="00FD6D60">
        <w:tc>
          <w:tcPr>
            <w:tcW w:w="4050" w:type="dxa"/>
            <w:vAlign w:val="center"/>
          </w:tcPr>
          <w:p w:rsidR="007220A6" w:rsidRPr="00E44784" w:rsidRDefault="007220A6" w:rsidP="007220A6">
            <w:pPr>
              <w:widowControl w:val="0"/>
              <w:rPr>
                <w:bCs/>
                <w:sz w:val="22"/>
                <w:szCs w:val="22"/>
              </w:rPr>
            </w:pPr>
            <w:r w:rsidRPr="00E44784">
              <w:rPr>
                <w:bCs/>
                <w:sz w:val="22"/>
                <w:szCs w:val="22"/>
              </w:rPr>
              <w:t>Negotiations and execution of contract (</w:t>
            </w:r>
            <w:r w:rsidRPr="00E44784">
              <w:rPr>
                <w:bCs/>
                <w:i/>
                <w:sz w:val="22"/>
                <w:szCs w:val="22"/>
              </w:rPr>
              <w:t>estimate only</w:t>
            </w:r>
            <w:r w:rsidRPr="00E44784">
              <w:rPr>
                <w:bCs/>
                <w:sz w:val="22"/>
                <w:szCs w:val="22"/>
              </w:rPr>
              <w:t>)</w:t>
            </w:r>
          </w:p>
        </w:tc>
        <w:tc>
          <w:tcPr>
            <w:tcW w:w="4788" w:type="dxa"/>
            <w:vAlign w:val="center"/>
          </w:tcPr>
          <w:p w:rsidR="007220A6" w:rsidRPr="00E44784" w:rsidRDefault="00A01422" w:rsidP="007220A6">
            <w:pPr>
              <w:widowControl w:val="0"/>
              <w:jc w:val="center"/>
              <w:rPr>
                <w:b/>
                <w:bCs/>
                <w:sz w:val="22"/>
                <w:szCs w:val="22"/>
              </w:rPr>
            </w:pPr>
            <w:r w:rsidRPr="00E44784">
              <w:rPr>
                <w:b/>
                <w:bCs/>
                <w:sz w:val="22"/>
                <w:szCs w:val="22"/>
              </w:rPr>
              <w:t>December 17 - 21</w:t>
            </w:r>
            <w:r w:rsidR="007220A6" w:rsidRPr="00E44784">
              <w:rPr>
                <w:b/>
                <w:bCs/>
                <w:sz w:val="22"/>
                <w:szCs w:val="22"/>
              </w:rPr>
              <w:t xml:space="preserve">, 2012 </w:t>
            </w:r>
          </w:p>
        </w:tc>
      </w:tr>
      <w:tr w:rsidR="007220A6" w:rsidRPr="00E44784" w:rsidTr="00FD6D60">
        <w:tc>
          <w:tcPr>
            <w:tcW w:w="4050" w:type="dxa"/>
            <w:vAlign w:val="center"/>
          </w:tcPr>
          <w:p w:rsidR="007220A6" w:rsidRPr="00E44784" w:rsidRDefault="007220A6" w:rsidP="007220A6">
            <w:pPr>
              <w:widowControl w:val="0"/>
              <w:rPr>
                <w:bCs/>
                <w:sz w:val="22"/>
                <w:szCs w:val="22"/>
              </w:rPr>
            </w:pPr>
            <w:r w:rsidRPr="00E44784">
              <w:rPr>
                <w:bCs/>
                <w:sz w:val="22"/>
                <w:szCs w:val="22"/>
              </w:rPr>
              <w:t>Notice of Award</w:t>
            </w:r>
            <w:r w:rsidRPr="00E44784">
              <w:rPr>
                <w:bCs/>
                <w:i/>
                <w:sz w:val="22"/>
                <w:szCs w:val="22"/>
              </w:rPr>
              <w:t xml:space="preserve"> (estimate only)</w:t>
            </w:r>
          </w:p>
        </w:tc>
        <w:tc>
          <w:tcPr>
            <w:tcW w:w="4788" w:type="dxa"/>
            <w:vAlign w:val="center"/>
          </w:tcPr>
          <w:p w:rsidR="007220A6" w:rsidRPr="00E44784" w:rsidRDefault="00A01422" w:rsidP="007220A6">
            <w:pPr>
              <w:widowControl w:val="0"/>
              <w:jc w:val="center"/>
              <w:rPr>
                <w:b/>
                <w:bCs/>
                <w:sz w:val="22"/>
                <w:szCs w:val="22"/>
              </w:rPr>
            </w:pPr>
            <w:r w:rsidRPr="00E44784">
              <w:rPr>
                <w:b/>
                <w:bCs/>
                <w:sz w:val="22"/>
                <w:szCs w:val="22"/>
              </w:rPr>
              <w:t>December 26</w:t>
            </w:r>
            <w:r w:rsidR="007220A6" w:rsidRPr="00E44784">
              <w:rPr>
                <w:b/>
                <w:bCs/>
                <w:sz w:val="22"/>
                <w:szCs w:val="22"/>
              </w:rPr>
              <w:t>, 2012</w:t>
            </w:r>
          </w:p>
        </w:tc>
      </w:tr>
      <w:tr w:rsidR="007220A6" w:rsidRPr="00E44784" w:rsidTr="00FD6D60">
        <w:tc>
          <w:tcPr>
            <w:tcW w:w="4050" w:type="dxa"/>
            <w:vAlign w:val="center"/>
          </w:tcPr>
          <w:p w:rsidR="007220A6" w:rsidRPr="00E44784" w:rsidRDefault="007220A6" w:rsidP="007220A6">
            <w:pPr>
              <w:widowControl w:val="0"/>
              <w:rPr>
                <w:bCs/>
                <w:sz w:val="22"/>
                <w:szCs w:val="22"/>
              </w:rPr>
            </w:pPr>
            <w:r w:rsidRPr="00E44784">
              <w:rPr>
                <w:bCs/>
                <w:sz w:val="22"/>
                <w:szCs w:val="22"/>
              </w:rPr>
              <w:t>Contract start date  (</w:t>
            </w:r>
            <w:r w:rsidRPr="00E44784">
              <w:rPr>
                <w:bCs/>
                <w:i/>
                <w:sz w:val="22"/>
                <w:szCs w:val="22"/>
              </w:rPr>
              <w:t>estimate only</w:t>
            </w:r>
            <w:r w:rsidRPr="00E44784">
              <w:rPr>
                <w:bCs/>
                <w:sz w:val="22"/>
                <w:szCs w:val="22"/>
              </w:rPr>
              <w:t>)</w:t>
            </w:r>
          </w:p>
        </w:tc>
        <w:tc>
          <w:tcPr>
            <w:tcW w:w="4788" w:type="dxa"/>
            <w:vAlign w:val="center"/>
          </w:tcPr>
          <w:p w:rsidR="007220A6" w:rsidRPr="00E44784" w:rsidRDefault="007220A6" w:rsidP="007220A6">
            <w:pPr>
              <w:widowControl w:val="0"/>
              <w:jc w:val="center"/>
              <w:rPr>
                <w:b/>
                <w:bCs/>
                <w:sz w:val="22"/>
                <w:szCs w:val="22"/>
              </w:rPr>
            </w:pPr>
            <w:r w:rsidRPr="00E44784">
              <w:rPr>
                <w:b/>
                <w:bCs/>
                <w:sz w:val="22"/>
                <w:szCs w:val="22"/>
              </w:rPr>
              <w:t>January 1, 2013</w:t>
            </w:r>
          </w:p>
        </w:tc>
      </w:tr>
      <w:tr w:rsidR="007220A6" w:rsidRPr="00E44784" w:rsidTr="00FD6D60">
        <w:tc>
          <w:tcPr>
            <w:tcW w:w="4050" w:type="dxa"/>
            <w:vAlign w:val="center"/>
          </w:tcPr>
          <w:p w:rsidR="007220A6" w:rsidRPr="00E44784" w:rsidRDefault="007220A6" w:rsidP="007220A6">
            <w:pPr>
              <w:widowControl w:val="0"/>
              <w:rPr>
                <w:bCs/>
                <w:sz w:val="22"/>
                <w:szCs w:val="22"/>
              </w:rPr>
            </w:pPr>
            <w:r w:rsidRPr="00E44784">
              <w:rPr>
                <w:bCs/>
                <w:sz w:val="22"/>
                <w:szCs w:val="22"/>
              </w:rPr>
              <w:t>Contract end date  (</w:t>
            </w:r>
            <w:r w:rsidRPr="00E44784">
              <w:rPr>
                <w:bCs/>
                <w:i/>
                <w:sz w:val="22"/>
                <w:szCs w:val="22"/>
              </w:rPr>
              <w:t>estimate only</w:t>
            </w:r>
            <w:r w:rsidRPr="00E44784">
              <w:rPr>
                <w:bCs/>
                <w:sz w:val="22"/>
                <w:szCs w:val="22"/>
              </w:rPr>
              <w:t>)</w:t>
            </w:r>
          </w:p>
        </w:tc>
        <w:tc>
          <w:tcPr>
            <w:tcW w:w="4788" w:type="dxa"/>
            <w:vAlign w:val="center"/>
          </w:tcPr>
          <w:p w:rsidR="007220A6" w:rsidRPr="00E44784" w:rsidRDefault="007220A6" w:rsidP="007220A6">
            <w:pPr>
              <w:widowControl w:val="0"/>
              <w:jc w:val="center"/>
              <w:rPr>
                <w:b/>
                <w:bCs/>
                <w:sz w:val="22"/>
                <w:szCs w:val="22"/>
              </w:rPr>
            </w:pPr>
            <w:r w:rsidRPr="00E44784">
              <w:rPr>
                <w:b/>
                <w:bCs/>
                <w:sz w:val="22"/>
                <w:szCs w:val="22"/>
              </w:rPr>
              <w:t>December 31, 2013</w:t>
            </w:r>
          </w:p>
        </w:tc>
      </w:tr>
    </w:tbl>
    <w:p w:rsidR="00A50B42" w:rsidRPr="00E44784" w:rsidRDefault="00A50B42" w:rsidP="00A50B42">
      <w:pPr>
        <w:widowControl w:val="0"/>
        <w:ind w:left="1440"/>
        <w:rPr>
          <w:bCs/>
        </w:rPr>
      </w:pPr>
    </w:p>
    <w:p w:rsidR="007220A6" w:rsidRPr="00E44784" w:rsidRDefault="007220A6" w:rsidP="00A50B42">
      <w:pPr>
        <w:widowControl w:val="0"/>
        <w:ind w:left="1440"/>
        <w:rPr>
          <w:bCs/>
        </w:rPr>
      </w:pPr>
    </w:p>
    <w:p w:rsidR="002E7965" w:rsidRPr="00E44784" w:rsidRDefault="002E7965" w:rsidP="00AF10E1">
      <w:pPr>
        <w:pStyle w:val="ListParagraph"/>
        <w:numPr>
          <w:ilvl w:val="0"/>
          <w:numId w:val="15"/>
        </w:numPr>
        <w:spacing w:after="240"/>
        <w:jc w:val="left"/>
      </w:pPr>
      <w:r w:rsidRPr="00E44784">
        <w:t>RFP ATTACHMENTS</w:t>
      </w:r>
    </w:p>
    <w:p w:rsidR="002E7965" w:rsidRPr="00E44784" w:rsidRDefault="002E7965" w:rsidP="002E7965">
      <w:pPr>
        <w:pStyle w:val="BodyTextIndent2"/>
        <w:spacing w:after="0"/>
        <w:ind w:left="720"/>
        <w:rPr>
          <w:color w:val="000000"/>
        </w:rPr>
      </w:pPr>
      <w:r w:rsidRPr="00E44784">
        <w:rPr>
          <w:color w:val="000000"/>
        </w:rPr>
        <w:t>The following attachments are included as part of this RFP:</w:t>
      </w:r>
    </w:p>
    <w:tbl>
      <w:tblPr>
        <w:tblStyle w:val="TableGrid"/>
        <w:tblW w:w="0" w:type="auto"/>
        <w:tblInd w:w="720" w:type="dxa"/>
        <w:tblLook w:val="04A0"/>
      </w:tblPr>
      <w:tblGrid>
        <w:gridCol w:w="4428"/>
        <w:gridCol w:w="4428"/>
      </w:tblGrid>
      <w:tr w:rsidR="000A47A6" w:rsidRPr="00E44784" w:rsidTr="000A47A6">
        <w:trPr>
          <w:trHeight w:val="135"/>
          <w:tblHeader/>
        </w:trPr>
        <w:tc>
          <w:tcPr>
            <w:tcW w:w="8856" w:type="dxa"/>
            <w:gridSpan w:val="2"/>
            <w:tcBorders>
              <w:top w:val="nil"/>
              <w:left w:val="nil"/>
              <w:right w:val="nil"/>
            </w:tcBorders>
            <w:shd w:val="clear" w:color="auto" w:fill="FFFFFF" w:themeFill="background1"/>
            <w:vAlign w:val="center"/>
          </w:tcPr>
          <w:p w:rsidR="000A47A6" w:rsidRPr="00E44784" w:rsidRDefault="000A47A6" w:rsidP="000A47A6">
            <w:pPr>
              <w:widowControl w:val="0"/>
              <w:tabs>
                <w:tab w:val="left" w:pos="2178"/>
              </w:tabs>
              <w:rPr>
                <w:b/>
              </w:rPr>
            </w:pPr>
            <w:r w:rsidRPr="00E44784">
              <w:rPr>
                <w:b/>
              </w:rPr>
              <w:t>Table 2:</w:t>
            </w:r>
          </w:p>
        </w:tc>
      </w:tr>
      <w:tr w:rsidR="007220A6" w:rsidRPr="00E44784" w:rsidTr="007220A6">
        <w:trPr>
          <w:trHeight w:val="377"/>
          <w:tblHeader/>
        </w:trPr>
        <w:tc>
          <w:tcPr>
            <w:tcW w:w="4428" w:type="dxa"/>
            <w:shd w:val="clear" w:color="auto" w:fill="D9D9D9" w:themeFill="background1" w:themeFillShade="D9"/>
            <w:vAlign w:val="center"/>
          </w:tcPr>
          <w:p w:rsidR="007220A6" w:rsidRPr="00E44784" w:rsidRDefault="007220A6" w:rsidP="007220A6">
            <w:pPr>
              <w:widowControl w:val="0"/>
              <w:jc w:val="center"/>
              <w:rPr>
                <w:b/>
                <w:bCs/>
              </w:rPr>
            </w:pPr>
            <w:r w:rsidRPr="00E44784">
              <w:rPr>
                <w:b/>
                <w:bCs/>
              </w:rPr>
              <w:t>ATTACHMENT</w:t>
            </w:r>
          </w:p>
        </w:tc>
        <w:tc>
          <w:tcPr>
            <w:tcW w:w="4428" w:type="dxa"/>
            <w:shd w:val="clear" w:color="auto" w:fill="D9D9D9" w:themeFill="background1" w:themeFillShade="D9"/>
            <w:vAlign w:val="center"/>
          </w:tcPr>
          <w:p w:rsidR="007220A6" w:rsidRPr="00E44784" w:rsidRDefault="007220A6" w:rsidP="007220A6">
            <w:pPr>
              <w:widowControl w:val="0"/>
              <w:tabs>
                <w:tab w:val="left" w:pos="2178"/>
              </w:tabs>
              <w:jc w:val="center"/>
              <w:rPr>
                <w:b/>
              </w:rPr>
            </w:pPr>
            <w:r w:rsidRPr="00E44784">
              <w:rPr>
                <w:b/>
              </w:rPr>
              <w:t>DESCRIPTION</w:t>
            </w:r>
          </w:p>
        </w:tc>
      </w:tr>
      <w:tr w:rsidR="007220A6" w:rsidRPr="00E44784" w:rsidTr="007220A6">
        <w:trPr>
          <w:cantSplit/>
        </w:trPr>
        <w:tc>
          <w:tcPr>
            <w:tcW w:w="4428" w:type="dxa"/>
          </w:tcPr>
          <w:p w:rsidR="007220A6" w:rsidRPr="00E44784" w:rsidRDefault="007220A6" w:rsidP="007220A6">
            <w:pPr>
              <w:widowControl w:val="0"/>
              <w:rPr>
                <w:bCs/>
              </w:rPr>
            </w:pPr>
            <w:r w:rsidRPr="00E44784">
              <w:rPr>
                <w:bCs/>
              </w:rPr>
              <w:t>Attachment 1: Administrative Rules Governing RFPs (Non-IT Services)</w:t>
            </w:r>
            <w:r w:rsidRPr="00E44784">
              <w:rPr>
                <w:bCs/>
                <w:vanish/>
              </w:rPr>
              <w:t>:</w:t>
            </w:r>
          </w:p>
        </w:tc>
        <w:tc>
          <w:tcPr>
            <w:tcW w:w="4428" w:type="dxa"/>
          </w:tcPr>
          <w:p w:rsidR="007220A6" w:rsidRPr="00E44784" w:rsidRDefault="007220A6" w:rsidP="007220A6">
            <w:pPr>
              <w:widowControl w:val="0"/>
              <w:tabs>
                <w:tab w:val="left" w:pos="2178"/>
              </w:tabs>
              <w:rPr>
                <w:bCs/>
                <w:i/>
              </w:rPr>
            </w:pPr>
            <w:r w:rsidRPr="00E44784">
              <w:t>These rules govern this solicitation.</w:t>
            </w:r>
          </w:p>
        </w:tc>
      </w:tr>
      <w:tr w:rsidR="007220A6" w:rsidRPr="00E44784" w:rsidTr="007220A6">
        <w:trPr>
          <w:cantSplit/>
        </w:trPr>
        <w:tc>
          <w:tcPr>
            <w:tcW w:w="4428" w:type="dxa"/>
          </w:tcPr>
          <w:p w:rsidR="007220A6" w:rsidRPr="00E44784" w:rsidRDefault="007220A6" w:rsidP="007220A6">
            <w:pPr>
              <w:widowControl w:val="0"/>
              <w:rPr>
                <w:bCs/>
              </w:rPr>
            </w:pPr>
            <w:r w:rsidRPr="00E44784">
              <w:rPr>
                <w:bCs/>
              </w:rPr>
              <w:t xml:space="preserve">Attachment </w:t>
            </w:r>
            <w:r w:rsidRPr="00E44784">
              <w:t>2:  AOC Standard Terms and Conditions</w:t>
            </w:r>
          </w:p>
        </w:tc>
        <w:tc>
          <w:tcPr>
            <w:tcW w:w="4428" w:type="dxa"/>
          </w:tcPr>
          <w:p w:rsidR="007220A6" w:rsidRPr="00E44784" w:rsidRDefault="007220A6" w:rsidP="007220A6">
            <w:pPr>
              <w:widowControl w:val="0"/>
              <w:tabs>
                <w:tab w:val="left" w:pos="2178"/>
              </w:tabs>
            </w:pPr>
            <w:r w:rsidRPr="00E44784">
              <w:t>If selected, the person or entity submitting a proposal (the “Proposer”) must sign the AOC Standard Agreement Terms and Conditions in substantially the form provided.</w:t>
            </w:r>
          </w:p>
        </w:tc>
      </w:tr>
      <w:tr w:rsidR="007220A6" w:rsidRPr="00E44784" w:rsidTr="007220A6">
        <w:trPr>
          <w:cantSplit/>
        </w:trPr>
        <w:tc>
          <w:tcPr>
            <w:tcW w:w="4428" w:type="dxa"/>
          </w:tcPr>
          <w:p w:rsidR="007220A6" w:rsidRPr="00E44784" w:rsidRDefault="007220A6" w:rsidP="007220A6">
            <w:pPr>
              <w:widowControl w:val="0"/>
              <w:rPr>
                <w:bCs/>
              </w:rPr>
            </w:pPr>
            <w:r w:rsidRPr="00E44784">
              <w:rPr>
                <w:bCs/>
              </w:rPr>
              <w:lastRenderedPageBreak/>
              <w:t xml:space="preserve">Attachment </w:t>
            </w:r>
            <w:r w:rsidRPr="00E44784">
              <w:t>3: Proposer’s Acceptance  of Terms and Conditions</w:t>
            </w:r>
          </w:p>
        </w:tc>
        <w:tc>
          <w:tcPr>
            <w:tcW w:w="4428" w:type="dxa"/>
            <w:vAlign w:val="center"/>
          </w:tcPr>
          <w:p w:rsidR="007220A6" w:rsidRPr="00E44784" w:rsidRDefault="007220A6" w:rsidP="007220A6">
            <w:pPr>
              <w:tabs>
                <w:tab w:val="left" w:pos="720"/>
                <w:tab w:val="left" w:pos="2070"/>
              </w:tabs>
            </w:pPr>
            <w:r w:rsidRPr="00E44784">
              <w:t>On this form, if exceptions are identified, proposers must submit (</w:t>
            </w:r>
            <w:proofErr w:type="spellStart"/>
            <w:r w:rsidRPr="00E44784">
              <w:t>i</w:t>
            </w:r>
            <w:proofErr w:type="spellEnd"/>
            <w:r w:rsidRPr="00E44784">
              <w:t>) a red-lined version of Attachment 2 – Standard Agreement Terms and Conditions that clearly track proposed changes to this attachment, (ii) written documentation to substantiate each such proposed change and (iii) written explanation to indicate how each proposed change will benefit the AOC.</w:t>
            </w:r>
          </w:p>
          <w:p w:rsidR="007220A6" w:rsidRPr="00E44784" w:rsidRDefault="007220A6" w:rsidP="007220A6">
            <w:pPr>
              <w:widowControl w:val="0"/>
              <w:tabs>
                <w:tab w:val="left" w:pos="2178"/>
              </w:tabs>
            </w:pPr>
          </w:p>
          <w:p w:rsidR="007220A6" w:rsidRPr="00E44784" w:rsidRDefault="007220A6" w:rsidP="007220A6">
            <w:pPr>
              <w:widowControl w:val="0"/>
              <w:tabs>
                <w:tab w:val="left" w:pos="2178"/>
              </w:tabs>
              <w:rPr>
                <w:b/>
                <w:bCs/>
              </w:rPr>
            </w:pPr>
            <w:r w:rsidRPr="00E44784">
              <w:rPr>
                <w:b/>
              </w:rPr>
              <w:t xml:space="preserve">Note: A material </w:t>
            </w:r>
            <w:r w:rsidRPr="00E44784">
              <w:rPr>
                <w:b/>
                <w:bCs/>
              </w:rPr>
              <w:t>exception to a Minimum Term may render a proposal non-responsive</w:t>
            </w:r>
            <w:r w:rsidRPr="00E44784">
              <w:rPr>
                <w:b/>
              </w:rPr>
              <w:t xml:space="preserve">. </w:t>
            </w:r>
          </w:p>
        </w:tc>
      </w:tr>
      <w:tr w:rsidR="007220A6" w:rsidRPr="00E44784" w:rsidTr="007220A6">
        <w:trPr>
          <w:cantSplit/>
        </w:trPr>
        <w:tc>
          <w:tcPr>
            <w:tcW w:w="4428" w:type="dxa"/>
          </w:tcPr>
          <w:p w:rsidR="007220A6" w:rsidRPr="00E44784" w:rsidRDefault="007220A6" w:rsidP="007220A6">
            <w:pPr>
              <w:widowControl w:val="0"/>
              <w:rPr>
                <w:bCs/>
              </w:rPr>
            </w:pPr>
            <w:r w:rsidRPr="00E44784">
              <w:rPr>
                <w:bCs/>
              </w:rPr>
              <w:t xml:space="preserve">Attachment </w:t>
            </w:r>
            <w:r w:rsidRPr="00E44784">
              <w:t>4: Payee Data Record Form</w:t>
            </w:r>
          </w:p>
        </w:tc>
        <w:tc>
          <w:tcPr>
            <w:tcW w:w="4428" w:type="dxa"/>
          </w:tcPr>
          <w:p w:rsidR="007220A6" w:rsidRPr="00E44784" w:rsidRDefault="007220A6" w:rsidP="007220A6">
            <w:pPr>
              <w:widowControl w:val="0"/>
              <w:rPr>
                <w:bCs/>
              </w:rPr>
            </w:pPr>
            <w:r w:rsidRPr="00E44784">
              <w:rPr>
                <w:bCs/>
              </w:rPr>
              <w:t>This form contains information the AOC requires in order to process payments.</w:t>
            </w:r>
          </w:p>
        </w:tc>
      </w:tr>
      <w:tr w:rsidR="007220A6" w:rsidRPr="00E44784" w:rsidTr="007220A6">
        <w:trPr>
          <w:cantSplit/>
        </w:trPr>
        <w:tc>
          <w:tcPr>
            <w:tcW w:w="4428" w:type="dxa"/>
          </w:tcPr>
          <w:p w:rsidR="007220A6" w:rsidRPr="00E44784" w:rsidRDefault="007220A6" w:rsidP="007220A6">
            <w:pPr>
              <w:widowControl w:val="0"/>
              <w:rPr>
                <w:bCs/>
              </w:rPr>
            </w:pPr>
            <w:r w:rsidRPr="00E44784">
              <w:rPr>
                <w:bCs/>
              </w:rPr>
              <w:t>Attachment 5: Darfur Contracting Act Certification</w:t>
            </w:r>
          </w:p>
        </w:tc>
        <w:tc>
          <w:tcPr>
            <w:tcW w:w="4428" w:type="dxa"/>
          </w:tcPr>
          <w:p w:rsidR="007220A6" w:rsidRPr="00E44784" w:rsidRDefault="007220A6" w:rsidP="007220A6">
            <w:pPr>
              <w:widowControl w:val="0"/>
              <w:rPr>
                <w:b/>
                <w:bCs/>
              </w:rPr>
            </w:pPr>
            <w:r w:rsidRPr="00E44784">
              <w:t>Proposer must complete the Darfur Contracting Act Certification and submit the completed certification with its proposal.</w:t>
            </w:r>
          </w:p>
        </w:tc>
      </w:tr>
      <w:tr w:rsidR="007220A6" w:rsidRPr="00E44784" w:rsidTr="007220A6">
        <w:trPr>
          <w:cantSplit/>
        </w:trPr>
        <w:tc>
          <w:tcPr>
            <w:tcW w:w="4428" w:type="dxa"/>
          </w:tcPr>
          <w:p w:rsidR="007220A6" w:rsidRPr="00E44784" w:rsidRDefault="009C1996" w:rsidP="00D736E5">
            <w:pPr>
              <w:widowControl w:val="0"/>
              <w:rPr>
                <w:bCs/>
              </w:rPr>
            </w:pPr>
            <w:r w:rsidRPr="00E44784">
              <w:rPr>
                <w:bCs/>
              </w:rPr>
              <w:t xml:space="preserve">Attachment </w:t>
            </w:r>
            <w:r w:rsidR="00D736E5" w:rsidRPr="00E44784">
              <w:rPr>
                <w:bCs/>
              </w:rPr>
              <w:t>6</w:t>
            </w:r>
            <w:r w:rsidRPr="00E44784">
              <w:rPr>
                <w:bCs/>
              </w:rPr>
              <w:t xml:space="preserve">: </w:t>
            </w:r>
            <w:r w:rsidR="007220A6" w:rsidRPr="00E44784">
              <w:t>Conflict of Interest Certification Form</w:t>
            </w:r>
          </w:p>
        </w:tc>
        <w:tc>
          <w:tcPr>
            <w:tcW w:w="4428" w:type="dxa"/>
          </w:tcPr>
          <w:p w:rsidR="007220A6" w:rsidRPr="00E44784" w:rsidRDefault="007220A6" w:rsidP="007220A6">
            <w:pPr>
              <w:widowControl w:val="0"/>
            </w:pPr>
            <w:r w:rsidRPr="00E44784">
              <w:t>Proposer must complete Conflict of Interest Certification and submit the completed certification with its proposal</w:t>
            </w:r>
            <w:r w:rsidR="009D2629" w:rsidRPr="00E44784">
              <w:t>.</w:t>
            </w:r>
          </w:p>
        </w:tc>
      </w:tr>
      <w:tr w:rsidR="009D2629" w:rsidRPr="00E44784" w:rsidTr="007220A6">
        <w:trPr>
          <w:cantSplit/>
        </w:trPr>
        <w:tc>
          <w:tcPr>
            <w:tcW w:w="4428" w:type="dxa"/>
          </w:tcPr>
          <w:p w:rsidR="009D2629" w:rsidRPr="00E44784" w:rsidRDefault="009D2629" w:rsidP="00D736E5">
            <w:pPr>
              <w:widowControl w:val="0"/>
              <w:rPr>
                <w:bCs/>
              </w:rPr>
            </w:pPr>
            <w:r w:rsidRPr="00E44784">
              <w:rPr>
                <w:bCs/>
              </w:rPr>
              <w:t xml:space="preserve">Attachment </w:t>
            </w:r>
            <w:r w:rsidR="00D736E5" w:rsidRPr="00E44784">
              <w:rPr>
                <w:bCs/>
              </w:rPr>
              <w:t>7</w:t>
            </w:r>
            <w:r w:rsidRPr="00E44784">
              <w:rPr>
                <w:bCs/>
              </w:rPr>
              <w:t>: Questions for Proposers</w:t>
            </w:r>
          </w:p>
        </w:tc>
        <w:tc>
          <w:tcPr>
            <w:tcW w:w="4428" w:type="dxa"/>
          </w:tcPr>
          <w:p w:rsidR="009D2629" w:rsidRPr="00E44784" w:rsidRDefault="009D2629" w:rsidP="005472CA">
            <w:pPr>
              <w:widowControl w:val="0"/>
            </w:pPr>
            <w:r w:rsidRPr="00E44784">
              <w:t>Proposer</w:t>
            </w:r>
            <w:r w:rsidR="005472CA" w:rsidRPr="00E44784">
              <w:t>s</w:t>
            </w:r>
            <w:r w:rsidRPr="00E44784">
              <w:t xml:space="preserve"> must provide an answer to each question.  Answers must be numbered to correspond with the question number.</w:t>
            </w:r>
          </w:p>
        </w:tc>
      </w:tr>
      <w:tr w:rsidR="005472CA" w:rsidRPr="00E44784" w:rsidTr="007220A6">
        <w:trPr>
          <w:cantSplit/>
        </w:trPr>
        <w:tc>
          <w:tcPr>
            <w:tcW w:w="4428" w:type="dxa"/>
          </w:tcPr>
          <w:p w:rsidR="005472CA" w:rsidRPr="00E44784" w:rsidRDefault="005472CA" w:rsidP="00D736E5">
            <w:pPr>
              <w:widowControl w:val="0"/>
              <w:rPr>
                <w:bCs/>
              </w:rPr>
            </w:pPr>
            <w:r w:rsidRPr="00E44784">
              <w:rPr>
                <w:bCs/>
              </w:rPr>
              <w:t>Attachment 8: Rate Proposal Form</w:t>
            </w:r>
          </w:p>
        </w:tc>
        <w:tc>
          <w:tcPr>
            <w:tcW w:w="4428" w:type="dxa"/>
          </w:tcPr>
          <w:p w:rsidR="005472CA" w:rsidRPr="00E44784" w:rsidRDefault="005472CA" w:rsidP="005472CA">
            <w:pPr>
              <w:widowControl w:val="0"/>
            </w:pPr>
            <w:r w:rsidRPr="00E44784">
              <w:t>Proposers must use this form to provide their rate per covered employee per month and submit the completed form with its cost proposal.</w:t>
            </w:r>
          </w:p>
        </w:tc>
      </w:tr>
      <w:tr w:rsidR="00E065BD" w:rsidRPr="00E44784" w:rsidTr="007220A6">
        <w:trPr>
          <w:cantSplit/>
        </w:trPr>
        <w:tc>
          <w:tcPr>
            <w:tcW w:w="4428" w:type="dxa"/>
          </w:tcPr>
          <w:p w:rsidR="00E065BD" w:rsidRPr="00E44784" w:rsidRDefault="00E065BD" w:rsidP="00E065BD">
            <w:pPr>
              <w:widowControl w:val="0"/>
              <w:rPr>
                <w:bCs/>
              </w:rPr>
            </w:pPr>
            <w:r w:rsidRPr="00E44784">
              <w:rPr>
                <w:bCs/>
              </w:rPr>
              <w:t>Attachment 9: List of Covered Employees as of August 31, 2012</w:t>
            </w:r>
          </w:p>
        </w:tc>
        <w:tc>
          <w:tcPr>
            <w:tcW w:w="4428" w:type="dxa"/>
          </w:tcPr>
          <w:p w:rsidR="00E065BD" w:rsidRPr="00E44784" w:rsidRDefault="00E065BD" w:rsidP="005472CA">
            <w:pPr>
              <w:widowControl w:val="0"/>
            </w:pPr>
            <w:r w:rsidRPr="00E44784">
              <w:t>This list provides the quantity of covered employees in each Judicial Branch as of August 31, 2012.</w:t>
            </w:r>
          </w:p>
        </w:tc>
      </w:tr>
    </w:tbl>
    <w:p w:rsidR="007220A6" w:rsidRPr="00E44784" w:rsidRDefault="007220A6"/>
    <w:p w:rsidR="002C64BD" w:rsidRPr="00E44784" w:rsidRDefault="002C64BD" w:rsidP="00AF10E1">
      <w:pPr>
        <w:pStyle w:val="ListParagraph"/>
        <w:numPr>
          <w:ilvl w:val="0"/>
          <w:numId w:val="15"/>
        </w:numPr>
        <w:spacing w:after="240"/>
        <w:jc w:val="left"/>
      </w:pPr>
      <w:r w:rsidRPr="00E44784">
        <w:t>SUBMISSIONS OF PROPOSALS</w:t>
      </w:r>
    </w:p>
    <w:p w:rsidR="002C64BD" w:rsidRPr="00E44784" w:rsidRDefault="002C64BD" w:rsidP="00AF10E1">
      <w:pPr>
        <w:pStyle w:val="ListParagraph"/>
        <w:numPr>
          <w:ilvl w:val="1"/>
          <w:numId w:val="15"/>
        </w:numPr>
        <w:spacing w:after="240"/>
        <w:ind w:left="1440"/>
        <w:jc w:val="left"/>
        <w:rPr>
          <w:b w:val="0"/>
        </w:rPr>
      </w:pPr>
      <w:r w:rsidRPr="00E44784">
        <w:rPr>
          <w:b w:val="0"/>
        </w:rPr>
        <w:t xml:space="preserve">Proposals should provide straightforward, concise information that satisfies the requirements of Section </w:t>
      </w:r>
      <w:r w:rsidR="00007831" w:rsidRPr="00E44784">
        <w:rPr>
          <w:b w:val="0"/>
        </w:rPr>
        <w:t>7</w:t>
      </w:r>
      <w:r w:rsidRPr="00E44784">
        <w:rPr>
          <w:b w:val="0"/>
        </w:rPr>
        <w:t xml:space="preserve"> </w:t>
      </w:r>
      <w:r w:rsidR="004B38F7" w:rsidRPr="00E44784">
        <w:rPr>
          <w:b w:val="0"/>
        </w:rPr>
        <w:t>(“Proposal Contents”)</w:t>
      </w:r>
      <w:r w:rsidRPr="00E44784">
        <w:rPr>
          <w:b w:val="0"/>
        </w:rPr>
        <w:t>.  Expensive bindings, color displays, and the like are not necessary or desired.  Emphasis should be placed on conformity to the RFP’s instructions and requirements, and completeness and clarity of content.</w:t>
      </w:r>
    </w:p>
    <w:p w:rsidR="006D02BE" w:rsidRPr="00E44784" w:rsidRDefault="00AF10E1" w:rsidP="00AF10E1">
      <w:pPr>
        <w:pStyle w:val="ListParagraph"/>
        <w:numPr>
          <w:ilvl w:val="1"/>
          <w:numId w:val="15"/>
        </w:numPr>
        <w:spacing w:after="240"/>
        <w:ind w:left="1440"/>
        <w:jc w:val="left"/>
        <w:rPr>
          <w:b w:val="0"/>
        </w:rPr>
      </w:pPr>
      <w:r w:rsidRPr="00E44784">
        <w:rPr>
          <w:b w:val="0"/>
        </w:rPr>
        <w:t>T</w:t>
      </w:r>
      <w:r w:rsidR="00B90602" w:rsidRPr="00E44784">
        <w:rPr>
          <w:b w:val="0"/>
        </w:rPr>
        <w:t xml:space="preserve">he </w:t>
      </w:r>
      <w:r w:rsidR="0045618D" w:rsidRPr="00E44784">
        <w:rPr>
          <w:b w:val="0"/>
        </w:rPr>
        <w:t>p</w:t>
      </w:r>
      <w:r w:rsidR="004A337A" w:rsidRPr="00E44784">
        <w:rPr>
          <w:b w:val="0"/>
        </w:rPr>
        <w:t xml:space="preserve">roposer </w:t>
      </w:r>
      <w:r w:rsidR="002C64BD" w:rsidRPr="00E44784">
        <w:rPr>
          <w:b w:val="0"/>
        </w:rPr>
        <w:t xml:space="preserve">must submit </w:t>
      </w:r>
      <w:r w:rsidR="00086490" w:rsidRPr="00E44784">
        <w:rPr>
          <w:b w:val="0"/>
        </w:rPr>
        <w:t>its</w:t>
      </w:r>
      <w:r w:rsidR="002C64BD" w:rsidRPr="00E44784">
        <w:rPr>
          <w:b w:val="0"/>
        </w:rPr>
        <w:t xml:space="preserve"> proposal in </w:t>
      </w:r>
      <w:r w:rsidR="006D02BE" w:rsidRPr="00E44784">
        <w:rPr>
          <w:b w:val="0"/>
        </w:rPr>
        <w:t>two</w:t>
      </w:r>
      <w:r w:rsidR="002C64BD" w:rsidRPr="00E44784">
        <w:rPr>
          <w:b w:val="0"/>
        </w:rPr>
        <w:t xml:space="preserve"> parts, the technical p</w:t>
      </w:r>
      <w:r w:rsidRPr="00E44784">
        <w:rPr>
          <w:b w:val="0"/>
        </w:rPr>
        <w:t>roposal and the cost proposal.</w:t>
      </w:r>
    </w:p>
    <w:p w:rsidR="006D02BE" w:rsidRPr="00E44784" w:rsidRDefault="002C64BD" w:rsidP="00AF10E1">
      <w:pPr>
        <w:pStyle w:val="ListParagraph"/>
        <w:numPr>
          <w:ilvl w:val="2"/>
          <w:numId w:val="15"/>
        </w:numPr>
        <w:spacing w:after="240"/>
        <w:ind w:left="2160"/>
        <w:jc w:val="left"/>
        <w:rPr>
          <w:b w:val="0"/>
          <w:color w:val="000000"/>
        </w:rPr>
      </w:pPr>
      <w:r w:rsidRPr="00E44784">
        <w:rPr>
          <w:b w:val="0"/>
        </w:rPr>
        <w:lastRenderedPageBreak/>
        <w:t xml:space="preserve">The </w:t>
      </w:r>
      <w:r w:rsidR="0045618D" w:rsidRPr="00E44784">
        <w:rPr>
          <w:b w:val="0"/>
        </w:rPr>
        <w:t>p</w:t>
      </w:r>
      <w:r w:rsidRPr="00E44784">
        <w:rPr>
          <w:b w:val="0"/>
          <w:color w:val="000000"/>
        </w:rPr>
        <w:t xml:space="preserve">roposer must submit one (1) original and </w:t>
      </w:r>
      <w:r w:rsidR="009A46BB" w:rsidRPr="00E44784">
        <w:rPr>
          <w:b w:val="0"/>
          <w:color w:val="000000"/>
        </w:rPr>
        <w:t>three</w:t>
      </w:r>
      <w:r w:rsidR="00086490" w:rsidRPr="00E44784">
        <w:rPr>
          <w:b w:val="0"/>
          <w:color w:val="000000"/>
        </w:rPr>
        <w:t xml:space="preserve"> </w:t>
      </w:r>
      <w:r w:rsidR="00115B45" w:rsidRPr="00E44784">
        <w:rPr>
          <w:b w:val="0"/>
          <w:color w:val="000000"/>
        </w:rPr>
        <w:t>(</w:t>
      </w:r>
      <w:r w:rsidR="009A46BB" w:rsidRPr="00E44784">
        <w:rPr>
          <w:b w:val="0"/>
          <w:color w:val="000000"/>
        </w:rPr>
        <w:t>3</w:t>
      </w:r>
      <w:r w:rsidR="00115B45" w:rsidRPr="00E44784">
        <w:rPr>
          <w:b w:val="0"/>
          <w:color w:val="000000"/>
        </w:rPr>
        <w:t>)</w:t>
      </w:r>
      <w:r w:rsidRPr="00E44784">
        <w:rPr>
          <w:b w:val="0"/>
          <w:color w:val="000000"/>
        </w:rPr>
        <w:t xml:space="preserve"> copies of the technical proposal</w:t>
      </w:r>
      <w:r w:rsidR="00626B27" w:rsidRPr="00E44784">
        <w:rPr>
          <w:b w:val="0"/>
          <w:color w:val="000000"/>
        </w:rPr>
        <w:t>.  The original must be</w:t>
      </w:r>
      <w:r w:rsidRPr="00E44784">
        <w:rPr>
          <w:b w:val="0"/>
          <w:color w:val="000000"/>
        </w:rPr>
        <w:t xml:space="preserve"> signed by an authorized representative of the </w:t>
      </w:r>
      <w:r w:rsidR="0045618D" w:rsidRPr="00E44784">
        <w:rPr>
          <w:b w:val="0"/>
          <w:color w:val="000000"/>
        </w:rPr>
        <w:t>p</w:t>
      </w:r>
      <w:r w:rsidRPr="00E44784">
        <w:rPr>
          <w:b w:val="0"/>
          <w:color w:val="000000"/>
        </w:rPr>
        <w:t>roposer.</w:t>
      </w:r>
      <w:r w:rsidR="006D02BE" w:rsidRPr="00E44784">
        <w:rPr>
          <w:b w:val="0"/>
          <w:color w:val="000000"/>
        </w:rPr>
        <w:t xml:space="preserve"> </w:t>
      </w:r>
      <w:r w:rsidR="00571656" w:rsidRPr="00E44784">
        <w:rPr>
          <w:b w:val="0"/>
          <w:color w:val="000000"/>
        </w:rPr>
        <w:t xml:space="preserve"> The </w:t>
      </w:r>
      <w:r w:rsidR="0045618D" w:rsidRPr="00E44784">
        <w:rPr>
          <w:b w:val="0"/>
          <w:color w:val="000000"/>
        </w:rPr>
        <w:t>p</w:t>
      </w:r>
      <w:r w:rsidR="006F0EDB" w:rsidRPr="00E44784">
        <w:rPr>
          <w:b w:val="0"/>
          <w:color w:val="000000"/>
        </w:rPr>
        <w:t>roposer</w:t>
      </w:r>
      <w:r w:rsidR="00571656" w:rsidRPr="00E44784">
        <w:rPr>
          <w:b w:val="0"/>
          <w:color w:val="000000"/>
        </w:rPr>
        <w:t xml:space="preserve"> must write the RFP title and number on the outside of the sealed envelope.</w:t>
      </w:r>
    </w:p>
    <w:p w:rsidR="00DE78B1" w:rsidRPr="00E44784" w:rsidRDefault="006D02BE" w:rsidP="00AF10E1">
      <w:pPr>
        <w:pStyle w:val="ListParagraph"/>
        <w:numPr>
          <w:ilvl w:val="2"/>
          <w:numId w:val="15"/>
        </w:numPr>
        <w:spacing w:after="240"/>
        <w:ind w:left="2160"/>
        <w:jc w:val="left"/>
        <w:rPr>
          <w:b w:val="0"/>
        </w:rPr>
      </w:pPr>
      <w:r w:rsidRPr="00E44784">
        <w:rPr>
          <w:b w:val="0"/>
        </w:rPr>
        <w:t xml:space="preserve">The </w:t>
      </w:r>
      <w:r w:rsidR="0045618D" w:rsidRPr="00E44784">
        <w:rPr>
          <w:b w:val="0"/>
        </w:rPr>
        <w:t>p</w:t>
      </w:r>
      <w:r w:rsidRPr="00E44784">
        <w:rPr>
          <w:b w:val="0"/>
        </w:rPr>
        <w:t xml:space="preserve">roposer must submit one (1) original and </w:t>
      </w:r>
      <w:r w:rsidR="009A46BB" w:rsidRPr="00E44784">
        <w:rPr>
          <w:b w:val="0"/>
        </w:rPr>
        <w:t>three</w:t>
      </w:r>
      <w:r w:rsidR="00E05644" w:rsidRPr="00E44784">
        <w:rPr>
          <w:b w:val="0"/>
        </w:rPr>
        <w:t xml:space="preserve"> </w:t>
      </w:r>
      <w:r w:rsidR="00086490" w:rsidRPr="00E44784">
        <w:rPr>
          <w:b w:val="0"/>
        </w:rPr>
        <w:t>(</w:t>
      </w:r>
      <w:r w:rsidR="009A46BB" w:rsidRPr="00E44784">
        <w:rPr>
          <w:b w:val="0"/>
        </w:rPr>
        <w:t>3</w:t>
      </w:r>
      <w:r w:rsidR="00086490" w:rsidRPr="00E44784">
        <w:rPr>
          <w:b w:val="0"/>
        </w:rPr>
        <w:t>)</w:t>
      </w:r>
      <w:r w:rsidR="00AF10E1" w:rsidRPr="00E44784">
        <w:rPr>
          <w:b w:val="0"/>
        </w:rPr>
        <w:t xml:space="preserve"> copies of the cost proposal.  The original must be signed by an authorized representative of the </w:t>
      </w:r>
      <w:r w:rsidR="0045618D" w:rsidRPr="00E44784">
        <w:rPr>
          <w:b w:val="0"/>
        </w:rPr>
        <w:t>p</w:t>
      </w:r>
      <w:r w:rsidR="00AF10E1" w:rsidRPr="00E44784">
        <w:rPr>
          <w:b w:val="0"/>
        </w:rPr>
        <w:t xml:space="preserve">roposer.  The original cost proposal (and the copies thereof) must be submitted to the AOC in a single sealed envelope, separate from the technical proposal.  The </w:t>
      </w:r>
      <w:r w:rsidR="0045618D" w:rsidRPr="00E44784">
        <w:rPr>
          <w:b w:val="0"/>
        </w:rPr>
        <w:t>p</w:t>
      </w:r>
      <w:r w:rsidR="00AF10E1" w:rsidRPr="00E44784">
        <w:rPr>
          <w:b w:val="0"/>
        </w:rPr>
        <w:t>roposer must write the RFP title and number on the outside of the sealed envelope.</w:t>
      </w:r>
    </w:p>
    <w:p w:rsidR="000D5FD6" w:rsidRPr="00E44784" w:rsidRDefault="00C041EE" w:rsidP="00AF10E1">
      <w:pPr>
        <w:pStyle w:val="ListParagraph"/>
        <w:numPr>
          <w:ilvl w:val="2"/>
          <w:numId w:val="15"/>
        </w:numPr>
        <w:spacing w:after="240"/>
        <w:ind w:left="2160"/>
        <w:jc w:val="left"/>
        <w:rPr>
          <w:b w:val="0"/>
        </w:rPr>
      </w:pPr>
      <w:r w:rsidRPr="00E44784">
        <w:rPr>
          <w:b w:val="0"/>
        </w:rPr>
        <w:t>T</w:t>
      </w:r>
      <w:r w:rsidR="000D5FD6" w:rsidRPr="00E44784">
        <w:rPr>
          <w:b w:val="0"/>
        </w:rPr>
        <w:t>he Proposer must submit an electronic version of the entire proposal on CD-ROM.</w:t>
      </w:r>
      <w:r w:rsidRPr="00E44784">
        <w:rPr>
          <w:b w:val="0"/>
        </w:rPr>
        <w:t xml:space="preserve">  The files contained on the CD-ROM should be in PDF, Word, or Excel formats.</w:t>
      </w:r>
    </w:p>
    <w:p w:rsidR="003E5035" w:rsidRPr="00E44784" w:rsidRDefault="002C64BD" w:rsidP="00AF10E1">
      <w:pPr>
        <w:pStyle w:val="ListParagraph"/>
        <w:numPr>
          <w:ilvl w:val="1"/>
          <w:numId w:val="15"/>
        </w:numPr>
        <w:spacing w:after="240"/>
        <w:ind w:left="1440"/>
        <w:jc w:val="left"/>
        <w:rPr>
          <w:b w:val="0"/>
        </w:rPr>
      </w:pPr>
      <w:r w:rsidRPr="00E44784">
        <w:rPr>
          <w:b w:val="0"/>
        </w:rPr>
        <w:t xml:space="preserve">Proposals must be delivered by </w:t>
      </w:r>
      <w:r w:rsidR="003E5035" w:rsidRPr="00E44784">
        <w:rPr>
          <w:b w:val="0"/>
        </w:rPr>
        <w:t>the date and time listed on the coversheet of this RFP to:</w:t>
      </w:r>
    </w:p>
    <w:p w:rsidR="003E5035" w:rsidRPr="00E44784" w:rsidRDefault="003E5035" w:rsidP="005D5A0F">
      <w:pPr>
        <w:ind w:left="2160" w:right="468"/>
        <w:rPr>
          <w:color w:val="000000"/>
        </w:rPr>
      </w:pPr>
      <w:r w:rsidRPr="00E44784">
        <w:rPr>
          <w:color w:val="000000"/>
        </w:rPr>
        <w:t>Administrative Office of the Courts</w:t>
      </w:r>
    </w:p>
    <w:p w:rsidR="009C1996" w:rsidRPr="00E44784" w:rsidRDefault="003E5035" w:rsidP="005D5A0F">
      <w:pPr>
        <w:ind w:left="2160" w:right="468"/>
        <w:rPr>
          <w:color w:val="000000" w:themeColor="text1"/>
        </w:rPr>
      </w:pPr>
      <w:r w:rsidRPr="00E44784">
        <w:rPr>
          <w:color w:val="000000"/>
        </w:rPr>
        <w:t>Attn: Nadine McFadden</w:t>
      </w:r>
      <w:r w:rsidR="008F4ED7" w:rsidRPr="00E44784">
        <w:rPr>
          <w:color w:val="000000"/>
        </w:rPr>
        <w:t xml:space="preserve">, </w:t>
      </w:r>
      <w:r w:rsidR="00E25097" w:rsidRPr="00E44784">
        <w:rPr>
          <w:color w:val="000000" w:themeColor="text1"/>
        </w:rPr>
        <w:t>RFP #H</w:t>
      </w:r>
      <w:r w:rsidR="009C1996" w:rsidRPr="00E44784">
        <w:rPr>
          <w:color w:val="000000" w:themeColor="text1"/>
        </w:rPr>
        <w:t>R</w:t>
      </w:r>
      <w:r w:rsidR="004B7BEE" w:rsidRPr="00E44784">
        <w:rPr>
          <w:color w:val="000000" w:themeColor="text1"/>
        </w:rPr>
        <w:t>-</w:t>
      </w:r>
      <w:r w:rsidR="009C1996" w:rsidRPr="00E44784">
        <w:rPr>
          <w:color w:val="000000" w:themeColor="text1"/>
        </w:rPr>
        <w:t>2012-01-RB</w:t>
      </w:r>
    </w:p>
    <w:p w:rsidR="003E5035" w:rsidRPr="00E44784" w:rsidRDefault="003E5035" w:rsidP="005D5A0F">
      <w:pPr>
        <w:ind w:left="2160" w:right="468"/>
        <w:rPr>
          <w:color w:val="000000"/>
        </w:rPr>
      </w:pPr>
      <w:r w:rsidRPr="00E44784">
        <w:rPr>
          <w:color w:val="000000"/>
        </w:rPr>
        <w:t>455 Golden Gate Avenue</w:t>
      </w:r>
    </w:p>
    <w:p w:rsidR="002C64BD" w:rsidRPr="00E44784" w:rsidRDefault="003E5035" w:rsidP="005D5A0F">
      <w:pPr>
        <w:spacing w:after="240"/>
        <w:ind w:left="2160" w:right="475"/>
        <w:rPr>
          <w:color w:val="000000"/>
        </w:rPr>
      </w:pPr>
      <w:r w:rsidRPr="00E44784">
        <w:rPr>
          <w:color w:val="000000"/>
        </w:rPr>
        <w:t>San Francisco, CA  94102</w:t>
      </w:r>
    </w:p>
    <w:p w:rsidR="001E612A" w:rsidRPr="00E44784" w:rsidRDefault="001E612A" w:rsidP="005D5A0F">
      <w:pPr>
        <w:pStyle w:val="ListParagraph"/>
        <w:numPr>
          <w:ilvl w:val="1"/>
          <w:numId w:val="15"/>
        </w:numPr>
        <w:spacing w:after="240"/>
        <w:ind w:left="1440"/>
        <w:jc w:val="left"/>
        <w:rPr>
          <w:b w:val="0"/>
        </w:rPr>
      </w:pPr>
      <w:r w:rsidRPr="00E44784">
        <w:rPr>
          <w:b w:val="0"/>
        </w:rPr>
        <w:t>Late proposals will not be accepted.</w:t>
      </w:r>
    </w:p>
    <w:p w:rsidR="002C64BD" w:rsidRPr="00E44784" w:rsidRDefault="002C64BD" w:rsidP="005D5A0F">
      <w:pPr>
        <w:pStyle w:val="ListParagraph"/>
        <w:numPr>
          <w:ilvl w:val="1"/>
          <w:numId w:val="15"/>
        </w:numPr>
        <w:spacing w:after="240"/>
        <w:ind w:left="1440"/>
        <w:jc w:val="left"/>
        <w:rPr>
          <w:b w:val="0"/>
        </w:rPr>
      </w:pPr>
      <w:r w:rsidRPr="00E44784">
        <w:rPr>
          <w:b w:val="0"/>
        </w:rPr>
        <w:t xml:space="preserve">Only written proposals will be accepted.  Proposals </w:t>
      </w:r>
      <w:r w:rsidR="009732A4" w:rsidRPr="00E44784">
        <w:rPr>
          <w:b w:val="0"/>
        </w:rPr>
        <w:t xml:space="preserve">must </w:t>
      </w:r>
      <w:r w:rsidRPr="00E44784">
        <w:rPr>
          <w:b w:val="0"/>
        </w:rPr>
        <w:t>be sent by registered or certified mail</w:t>
      </w:r>
      <w:r w:rsidR="003E5035" w:rsidRPr="00E44784">
        <w:rPr>
          <w:b w:val="0"/>
        </w:rPr>
        <w:t xml:space="preserve">, </w:t>
      </w:r>
      <w:r w:rsidR="00082230" w:rsidRPr="00E44784">
        <w:rPr>
          <w:b w:val="0"/>
        </w:rPr>
        <w:t>courier</w:t>
      </w:r>
      <w:r w:rsidR="007A0851" w:rsidRPr="00E44784">
        <w:rPr>
          <w:b w:val="0"/>
        </w:rPr>
        <w:t xml:space="preserve"> service (e.g. FedEx), or delivered by hand</w:t>
      </w:r>
      <w:r w:rsidRPr="00E44784">
        <w:rPr>
          <w:b w:val="0"/>
        </w:rPr>
        <w:t xml:space="preserve">.  </w:t>
      </w:r>
      <w:r w:rsidR="00C041EE" w:rsidRPr="00E44784">
        <w:rPr>
          <w:b w:val="0"/>
        </w:rPr>
        <w:t>Proposals may not be transmitted by fax or email.</w:t>
      </w:r>
    </w:p>
    <w:p w:rsidR="00595822" w:rsidRPr="00E44784" w:rsidRDefault="00595822" w:rsidP="005D5A0F">
      <w:pPr>
        <w:pStyle w:val="ListParagraph"/>
        <w:numPr>
          <w:ilvl w:val="0"/>
          <w:numId w:val="15"/>
        </w:numPr>
        <w:spacing w:after="240"/>
        <w:jc w:val="left"/>
      </w:pPr>
      <w:r w:rsidRPr="00E44784">
        <w:t>PROPOSAL</w:t>
      </w:r>
      <w:r w:rsidR="002C64BD" w:rsidRPr="00E44784">
        <w:t xml:space="preserve"> CONTENTS</w:t>
      </w:r>
    </w:p>
    <w:p w:rsidR="00595822" w:rsidRPr="00E44784" w:rsidRDefault="00893C52" w:rsidP="005D5A0F">
      <w:pPr>
        <w:pStyle w:val="ListParagraph"/>
        <w:numPr>
          <w:ilvl w:val="1"/>
          <w:numId w:val="15"/>
        </w:numPr>
        <w:spacing w:after="240"/>
        <w:jc w:val="left"/>
        <w:rPr>
          <w:b w:val="0"/>
        </w:rPr>
      </w:pPr>
      <w:r w:rsidRPr="00E44784">
        <w:rPr>
          <w:b w:val="0"/>
          <w:u w:val="single"/>
        </w:rPr>
        <w:t>Technical Proposal</w:t>
      </w:r>
      <w:r w:rsidR="00574253" w:rsidRPr="00E44784">
        <w:rPr>
          <w:b w:val="0"/>
        </w:rPr>
        <w:t xml:space="preserve">.  </w:t>
      </w:r>
      <w:r w:rsidR="00595822" w:rsidRPr="00E44784">
        <w:rPr>
          <w:b w:val="0"/>
        </w:rPr>
        <w:t xml:space="preserve">The following information </w:t>
      </w:r>
      <w:r w:rsidRPr="00E44784">
        <w:rPr>
          <w:b w:val="0"/>
        </w:rPr>
        <w:t>must</w:t>
      </w:r>
      <w:r w:rsidR="00595822" w:rsidRPr="00E44784">
        <w:rPr>
          <w:b w:val="0"/>
        </w:rPr>
        <w:t xml:space="preserve"> be included </w:t>
      </w:r>
      <w:r w:rsidRPr="00E44784">
        <w:rPr>
          <w:b w:val="0"/>
        </w:rPr>
        <w:t>in</w:t>
      </w:r>
      <w:r w:rsidR="00595822" w:rsidRPr="00E44784">
        <w:rPr>
          <w:b w:val="0"/>
        </w:rPr>
        <w:t xml:space="preserve"> the technical </w:t>
      </w:r>
      <w:r w:rsidRPr="00E44784">
        <w:rPr>
          <w:b w:val="0"/>
        </w:rPr>
        <w:t>proposal.</w:t>
      </w:r>
      <w:r w:rsidR="00FF1876" w:rsidRPr="00E44784">
        <w:rPr>
          <w:b w:val="0"/>
        </w:rPr>
        <w:t xml:space="preserve">  A proposal lacking any of the following information may be d</w:t>
      </w:r>
      <w:r w:rsidR="005D5A0F" w:rsidRPr="00E44784">
        <w:rPr>
          <w:b w:val="0"/>
        </w:rPr>
        <w:t>eemed non-responsive.</w:t>
      </w:r>
    </w:p>
    <w:p w:rsidR="005D5A0F" w:rsidRPr="00E44784" w:rsidRDefault="005D5A0F" w:rsidP="005D5A0F">
      <w:pPr>
        <w:pStyle w:val="ListParagraph"/>
        <w:numPr>
          <w:ilvl w:val="2"/>
          <w:numId w:val="15"/>
        </w:numPr>
        <w:spacing w:after="240"/>
        <w:jc w:val="left"/>
        <w:rPr>
          <w:b w:val="0"/>
        </w:rPr>
      </w:pPr>
      <w:r w:rsidRPr="00E44784">
        <w:rPr>
          <w:b w:val="0"/>
        </w:rPr>
        <w:t>Proposer’s name, address, telephone and fax numbers, and federal tax identification number.  Note that if Proposer is a sole proprietor using his or her social security number, the social security number will be required before finalizing a contract.</w:t>
      </w:r>
    </w:p>
    <w:p w:rsidR="00933F8A" w:rsidRPr="00E44784" w:rsidRDefault="00893C52" w:rsidP="00407BC9">
      <w:pPr>
        <w:pStyle w:val="ListParagraph"/>
        <w:numPr>
          <w:ilvl w:val="2"/>
          <w:numId w:val="15"/>
        </w:numPr>
        <w:spacing w:after="240"/>
        <w:jc w:val="left"/>
        <w:rPr>
          <w:b w:val="0"/>
        </w:rPr>
      </w:pPr>
      <w:r w:rsidRPr="00E44784">
        <w:rPr>
          <w:b w:val="0"/>
        </w:rPr>
        <w:t>N</w:t>
      </w:r>
      <w:r w:rsidR="00C041EE" w:rsidRPr="00E44784">
        <w:rPr>
          <w:b w:val="0"/>
        </w:rPr>
        <w:t>ame, title, address, telephone number</w:t>
      </w:r>
      <w:r w:rsidRPr="00E44784">
        <w:rPr>
          <w:b w:val="0"/>
        </w:rPr>
        <w:t>, and email address</w:t>
      </w:r>
      <w:r w:rsidR="00C041EE" w:rsidRPr="00E44784">
        <w:rPr>
          <w:b w:val="0"/>
        </w:rPr>
        <w:t xml:space="preserve"> of </w:t>
      </w:r>
      <w:r w:rsidRPr="00E44784">
        <w:rPr>
          <w:b w:val="0"/>
        </w:rPr>
        <w:t>the</w:t>
      </w:r>
      <w:r w:rsidR="00C041EE" w:rsidRPr="00E44784">
        <w:rPr>
          <w:b w:val="0"/>
        </w:rPr>
        <w:t xml:space="preserve"> individual who </w:t>
      </w:r>
      <w:r w:rsidRPr="00E44784">
        <w:rPr>
          <w:b w:val="0"/>
        </w:rPr>
        <w:t>will act as P</w:t>
      </w:r>
      <w:r w:rsidR="00C041EE" w:rsidRPr="00E44784">
        <w:rPr>
          <w:b w:val="0"/>
        </w:rPr>
        <w:t>roposer’s designated representative</w:t>
      </w:r>
      <w:r w:rsidRPr="00E44784">
        <w:rPr>
          <w:b w:val="0"/>
        </w:rPr>
        <w:t xml:space="preserve"> for purposes of this RFP</w:t>
      </w:r>
      <w:r w:rsidR="00C041EE" w:rsidRPr="00E44784">
        <w:rPr>
          <w:b w:val="0"/>
        </w:rPr>
        <w:t>.</w:t>
      </w:r>
    </w:p>
    <w:p w:rsidR="00595822" w:rsidRPr="00E44784" w:rsidRDefault="00893C52" w:rsidP="00407BC9">
      <w:pPr>
        <w:pStyle w:val="ListParagraph"/>
        <w:numPr>
          <w:ilvl w:val="2"/>
          <w:numId w:val="15"/>
        </w:numPr>
        <w:spacing w:after="240"/>
        <w:jc w:val="left"/>
        <w:rPr>
          <w:b w:val="0"/>
        </w:rPr>
      </w:pPr>
      <w:r w:rsidRPr="00E44784">
        <w:rPr>
          <w:b w:val="0"/>
        </w:rPr>
        <w:t>For each key staff member: a resume</w:t>
      </w:r>
      <w:r w:rsidR="00595822" w:rsidRPr="00E44784">
        <w:rPr>
          <w:b w:val="0"/>
        </w:rPr>
        <w:t xml:space="preserve"> describing the </w:t>
      </w:r>
      <w:r w:rsidRPr="00E44784">
        <w:rPr>
          <w:b w:val="0"/>
        </w:rPr>
        <w:t xml:space="preserve">individual’s </w:t>
      </w:r>
      <w:r w:rsidR="00595822" w:rsidRPr="00E44784">
        <w:rPr>
          <w:b w:val="0"/>
        </w:rPr>
        <w:t xml:space="preserve">background and experience, as well as </w:t>
      </w:r>
      <w:r w:rsidRPr="00E44784">
        <w:rPr>
          <w:b w:val="0"/>
        </w:rPr>
        <w:t>the</w:t>
      </w:r>
      <w:r w:rsidR="00595822" w:rsidRPr="00E44784">
        <w:rPr>
          <w:b w:val="0"/>
        </w:rPr>
        <w:t xml:space="preserve"> individual’s ability and experience in conducting the proposed activities.</w:t>
      </w:r>
    </w:p>
    <w:p w:rsidR="00595822" w:rsidRPr="00E44784" w:rsidRDefault="00595822" w:rsidP="00407BC9">
      <w:pPr>
        <w:pStyle w:val="ListParagraph"/>
        <w:numPr>
          <w:ilvl w:val="2"/>
          <w:numId w:val="15"/>
        </w:numPr>
        <w:spacing w:after="240"/>
        <w:jc w:val="left"/>
        <w:rPr>
          <w:b w:val="0"/>
        </w:rPr>
      </w:pPr>
      <w:r w:rsidRPr="00E44784">
        <w:rPr>
          <w:b w:val="0"/>
        </w:rPr>
        <w:lastRenderedPageBreak/>
        <w:t xml:space="preserve">Names, addresses, and telephone numbers of a minimum of </w:t>
      </w:r>
      <w:r w:rsidR="00330B94" w:rsidRPr="00E44784">
        <w:rPr>
          <w:b w:val="0"/>
        </w:rPr>
        <w:t>four</w:t>
      </w:r>
      <w:r w:rsidR="003E46FF" w:rsidRPr="00E44784">
        <w:rPr>
          <w:b w:val="0"/>
        </w:rPr>
        <w:t xml:space="preserve"> </w:t>
      </w:r>
      <w:r w:rsidR="00115B45" w:rsidRPr="00E44784">
        <w:rPr>
          <w:b w:val="0"/>
        </w:rPr>
        <w:t>(4)</w:t>
      </w:r>
      <w:r w:rsidRPr="00E44784">
        <w:rPr>
          <w:b w:val="0"/>
        </w:rPr>
        <w:t xml:space="preserve"> clients for whom the </w:t>
      </w:r>
      <w:r w:rsidR="0045618D" w:rsidRPr="00E44784">
        <w:rPr>
          <w:b w:val="0"/>
        </w:rPr>
        <w:t>p</w:t>
      </w:r>
      <w:r w:rsidR="00893C52" w:rsidRPr="00E44784">
        <w:rPr>
          <w:b w:val="0"/>
        </w:rPr>
        <w:t>roposer</w:t>
      </w:r>
      <w:r w:rsidRPr="00E44784">
        <w:rPr>
          <w:b w:val="0"/>
        </w:rPr>
        <w:t xml:space="preserve"> has conducted similar services.  The AOC ma</w:t>
      </w:r>
      <w:r w:rsidR="00893C52" w:rsidRPr="00E44784">
        <w:rPr>
          <w:b w:val="0"/>
        </w:rPr>
        <w:t xml:space="preserve">y check references listed by </w:t>
      </w:r>
      <w:r w:rsidR="0045618D" w:rsidRPr="00E44784">
        <w:rPr>
          <w:b w:val="0"/>
        </w:rPr>
        <w:t>p</w:t>
      </w:r>
      <w:r w:rsidR="00893C52" w:rsidRPr="00E44784">
        <w:rPr>
          <w:b w:val="0"/>
        </w:rPr>
        <w:t>roposer</w:t>
      </w:r>
      <w:r w:rsidRPr="00E44784">
        <w:rPr>
          <w:b w:val="0"/>
        </w:rPr>
        <w:t>.</w:t>
      </w:r>
    </w:p>
    <w:p w:rsidR="00595822" w:rsidRPr="00E44784" w:rsidRDefault="00292053" w:rsidP="00407BC9">
      <w:pPr>
        <w:pStyle w:val="ListParagraph"/>
        <w:numPr>
          <w:ilvl w:val="2"/>
          <w:numId w:val="15"/>
        </w:numPr>
        <w:spacing w:after="240"/>
        <w:jc w:val="left"/>
        <w:rPr>
          <w:b w:val="0"/>
        </w:rPr>
      </w:pPr>
      <w:r w:rsidRPr="00E44784">
        <w:rPr>
          <w:b w:val="0"/>
        </w:rPr>
        <w:t>Proposed m</w:t>
      </w:r>
      <w:r w:rsidR="00595822" w:rsidRPr="00E44784">
        <w:rPr>
          <w:b w:val="0"/>
        </w:rPr>
        <w:t xml:space="preserve">ethod to complete the </w:t>
      </w:r>
      <w:r w:rsidRPr="00E44784">
        <w:rPr>
          <w:b w:val="0"/>
        </w:rPr>
        <w:t>work</w:t>
      </w:r>
      <w:r w:rsidR="00A9408B" w:rsidRPr="00E44784">
        <w:rPr>
          <w:b w:val="0"/>
        </w:rPr>
        <w:t>.</w:t>
      </w:r>
    </w:p>
    <w:p w:rsidR="004B4141" w:rsidRPr="00E44784" w:rsidRDefault="004B4141" w:rsidP="00407BC9">
      <w:pPr>
        <w:pStyle w:val="ListParagraph"/>
        <w:numPr>
          <w:ilvl w:val="2"/>
          <w:numId w:val="15"/>
        </w:numPr>
        <w:spacing w:after="240"/>
        <w:jc w:val="left"/>
        <w:rPr>
          <w:b w:val="0"/>
        </w:rPr>
      </w:pPr>
      <w:r w:rsidRPr="00E44784">
        <w:rPr>
          <w:b w:val="0"/>
        </w:rPr>
        <w:t>Attachment 7, Questions for Proposers, with Proposer’s response to each question.</w:t>
      </w:r>
    </w:p>
    <w:p w:rsidR="004B4141" w:rsidRPr="00E44784" w:rsidRDefault="004B4141" w:rsidP="00407BC9">
      <w:pPr>
        <w:pStyle w:val="ListParagraph"/>
        <w:numPr>
          <w:ilvl w:val="2"/>
          <w:numId w:val="15"/>
        </w:numPr>
        <w:spacing w:after="240"/>
        <w:jc w:val="left"/>
        <w:rPr>
          <w:b w:val="0"/>
        </w:rPr>
      </w:pPr>
      <w:r w:rsidRPr="00E44784">
        <w:rPr>
          <w:b w:val="0"/>
        </w:rPr>
        <w:t>A detailed document describing Proposers standard service practices.</w:t>
      </w:r>
    </w:p>
    <w:p w:rsidR="00B60F34" w:rsidRPr="00E44784" w:rsidRDefault="00B60F34" w:rsidP="00DD5F7F">
      <w:pPr>
        <w:rPr>
          <w:i/>
          <w:color w:val="FF0000"/>
        </w:rPr>
      </w:pPr>
    </w:p>
    <w:p w:rsidR="00BD0D2D" w:rsidRPr="00E44784" w:rsidRDefault="00BD0D2D" w:rsidP="00407BC9">
      <w:pPr>
        <w:pStyle w:val="ListParagraph"/>
        <w:numPr>
          <w:ilvl w:val="1"/>
          <w:numId w:val="15"/>
        </w:numPr>
        <w:spacing w:after="240"/>
        <w:jc w:val="left"/>
        <w:rPr>
          <w:b w:val="0"/>
          <w:u w:val="single"/>
        </w:rPr>
      </w:pPr>
      <w:r w:rsidRPr="00E44784">
        <w:rPr>
          <w:b w:val="0"/>
          <w:u w:val="single"/>
        </w:rPr>
        <w:t xml:space="preserve">Acceptance of the </w:t>
      </w:r>
      <w:r w:rsidR="005F6E88" w:rsidRPr="00E44784">
        <w:rPr>
          <w:b w:val="0"/>
          <w:u w:val="single"/>
        </w:rPr>
        <w:t>Terms and Conditions</w:t>
      </w:r>
      <w:r w:rsidRPr="00E44784">
        <w:rPr>
          <w:b w:val="0"/>
          <w:u w:val="single"/>
        </w:rPr>
        <w:t xml:space="preserve">.  </w:t>
      </w:r>
    </w:p>
    <w:p w:rsidR="00BD0D2D" w:rsidRPr="00E44784" w:rsidRDefault="00BD0D2D" w:rsidP="00407BC9">
      <w:pPr>
        <w:pStyle w:val="ListParagraph"/>
        <w:numPr>
          <w:ilvl w:val="2"/>
          <w:numId w:val="15"/>
        </w:numPr>
        <w:spacing w:after="240"/>
        <w:jc w:val="left"/>
        <w:rPr>
          <w:b w:val="0"/>
        </w:rPr>
      </w:pPr>
      <w:r w:rsidRPr="00E44784">
        <w:rPr>
          <w:b w:val="0"/>
        </w:rPr>
        <w:t xml:space="preserve">On Attachment 3, the Proposer must either indicate acceptance of the </w:t>
      </w:r>
      <w:r w:rsidR="00EC4775" w:rsidRPr="00E44784">
        <w:rPr>
          <w:b w:val="0"/>
        </w:rPr>
        <w:t>Terms and Conditions</w:t>
      </w:r>
      <w:r w:rsidRPr="00E44784">
        <w:rPr>
          <w:b w:val="0"/>
        </w:rPr>
        <w:t xml:space="preserve"> or clearly identify exceptions to the </w:t>
      </w:r>
      <w:r w:rsidR="00EC4775" w:rsidRPr="00E44784">
        <w:rPr>
          <w:b w:val="0"/>
        </w:rPr>
        <w:t>Terms and Conditions</w:t>
      </w:r>
      <w:r w:rsidRPr="00E44784">
        <w:rPr>
          <w:b w:val="0"/>
        </w:rPr>
        <w:t xml:space="preserve">.  </w:t>
      </w:r>
      <w:r w:rsidR="009732A4" w:rsidRPr="00E44784">
        <w:rPr>
          <w:b w:val="0"/>
        </w:rPr>
        <w:t>An “exception” includes any addition, deletion, qualification</w:t>
      </w:r>
      <w:r w:rsidR="0045618D" w:rsidRPr="00E44784">
        <w:rPr>
          <w:b w:val="0"/>
        </w:rPr>
        <w:t>, limitation, or other change.</w:t>
      </w:r>
    </w:p>
    <w:p w:rsidR="00BD0D2D" w:rsidRPr="00E44784" w:rsidRDefault="00BD0D2D" w:rsidP="00407BC9">
      <w:pPr>
        <w:pStyle w:val="ListParagraph"/>
        <w:numPr>
          <w:ilvl w:val="2"/>
          <w:numId w:val="15"/>
        </w:numPr>
        <w:spacing w:after="240"/>
        <w:jc w:val="left"/>
        <w:rPr>
          <w:b w:val="0"/>
        </w:rPr>
      </w:pPr>
      <w:r w:rsidRPr="00E44784">
        <w:rPr>
          <w:b w:val="0"/>
        </w:rPr>
        <w:t xml:space="preserve">If exceptions are identified, the Proposer must also submit a red-lined version of the </w:t>
      </w:r>
      <w:r w:rsidR="00EC4775" w:rsidRPr="00E44784">
        <w:rPr>
          <w:b w:val="0"/>
        </w:rPr>
        <w:t xml:space="preserve">Terms and Conditions </w:t>
      </w:r>
      <w:r w:rsidRPr="00E44784">
        <w:rPr>
          <w:b w:val="0"/>
        </w:rPr>
        <w:t xml:space="preserve">that clearly tracks proposed changes, and a written explanation or rationale for each exception and/or proposed change. </w:t>
      </w:r>
    </w:p>
    <w:p w:rsidR="00407BC9" w:rsidRPr="00E44784" w:rsidRDefault="007B0E96" w:rsidP="00407BC9">
      <w:pPr>
        <w:pStyle w:val="ListParagraph"/>
        <w:numPr>
          <w:ilvl w:val="1"/>
          <w:numId w:val="15"/>
        </w:numPr>
        <w:spacing w:after="240"/>
        <w:jc w:val="left"/>
        <w:rPr>
          <w:b w:val="0"/>
        </w:rPr>
      </w:pPr>
      <w:r w:rsidRPr="00E44784">
        <w:rPr>
          <w:b w:val="0"/>
          <w:u w:val="single"/>
        </w:rPr>
        <w:t>Certifications</w:t>
      </w:r>
      <w:r w:rsidR="00595811" w:rsidRPr="00E44784">
        <w:rPr>
          <w:b w:val="0"/>
          <w:u w:val="single"/>
        </w:rPr>
        <w:t>, Attachments,</w:t>
      </w:r>
      <w:r w:rsidRPr="00E44784">
        <w:rPr>
          <w:b w:val="0"/>
          <w:u w:val="single"/>
        </w:rPr>
        <w:t xml:space="preserve"> and other requirements.</w:t>
      </w:r>
      <w:r w:rsidRPr="00E44784">
        <w:rPr>
          <w:b w:val="0"/>
        </w:rPr>
        <w:t xml:space="preserve"> </w:t>
      </w:r>
      <w:r w:rsidR="00407BC9" w:rsidRPr="00E44784">
        <w:rPr>
          <w:b w:val="0"/>
        </w:rPr>
        <w:t>Proposer must include the following certification in its proposal:</w:t>
      </w:r>
    </w:p>
    <w:p w:rsidR="00B8213C" w:rsidRPr="00E44784" w:rsidRDefault="004848AB" w:rsidP="00407BC9">
      <w:pPr>
        <w:pStyle w:val="ListParagraph"/>
        <w:numPr>
          <w:ilvl w:val="2"/>
          <w:numId w:val="15"/>
        </w:numPr>
        <w:spacing w:after="240"/>
        <w:jc w:val="left"/>
        <w:rPr>
          <w:b w:val="0"/>
        </w:rPr>
      </w:pPr>
      <w:r w:rsidRPr="00E44784">
        <w:rPr>
          <w:b w:val="0"/>
        </w:rPr>
        <w:t xml:space="preserve">Using Attachment </w:t>
      </w:r>
      <w:r w:rsidR="006A72DD" w:rsidRPr="00E44784">
        <w:rPr>
          <w:b w:val="0"/>
        </w:rPr>
        <w:t>6</w:t>
      </w:r>
      <w:r w:rsidRPr="00E44784">
        <w:rPr>
          <w:b w:val="0"/>
        </w:rPr>
        <w:t xml:space="preserve">, </w:t>
      </w:r>
      <w:r w:rsidR="00B8213C" w:rsidRPr="00E44784">
        <w:rPr>
          <w:b w:val="0"/>
        </w:rPr>
        <w:t xml:space="preserve">Proposer </w:t>
      </w:r>
      <w:r w:rsidRPr="00E44784">
        <w:rPr>
          <w:b w:val="0"/>
        </w:rPr>
        <w:t xml:space="preserve">certifies it </w:t>
      </w:r>
      <w:r w:rsidR="00B8213C" w:rsidRPr="00E44784">
        <w:rPr>
          <w:b w:val="0"/>
        </w:rPr>
        <w:t xml:space="preserve">has no interest that would constitute a conflict of interest under California Public Contract Code sections 10365.5, 10410 or 10411; Government Code sections 1090 et seq. or </w:t>
      </w:r>
      <w:proofErr w:type="gramStart"/>
      <w:r w:rsidR="00B8213C" w:rsidRPr="00E44784">
        <w:rPr>
          <w:b w:val="0"/>
        </w:rPr>
        <w:t>87100 et seq.;</w:t>
      </w:r>
      <w:proofErr w:type="gramEnd"/>
      <w:r w:rsidR="00B8213C" w:rsidRPr="00E44784">
        <w:rPr>
          <w:b w:val="0"/>
        </w:rPr>
        <w:t xml:space="preserve"> or rule 10.103 or rule 10.104 of the California Rules of Court, which restrict employees and former employees from contracting with judicial branch entities.</w:t>
      </w:r>
    </w:p>
    <w:p w:rsidR="007B0E96" w:rsidRPr="00E44784" w:rsidRDefault="007B0E96" w:rsidP="00407BC9">
      <w:pPr>
        <w:pStyle w:val="ListParagraph"/>
        <w:numPr>
          <w:ilvl w:val="2"/>
          <w:numId w:val="15"/>
        </w:numPr>
        <w:spacing w:after="240"/>
        <w:jc w:val="left"/>
        <w:rPr>
          <w:b w:val="0"/>
        </w:rPr>
      </w:pPr>
      <w:r w:rsidRPr="00E44784">
        <w:rPr>
          <w:b w:val="0"/>
        </w:rPr>
        <w:t xml:space="preserve">Proposer must complete the Darfur Contracting Act Certification attached as </w:t>
      </w:r>
      <w:r w:rsidR="00595811" w:rsidRPr="00E44784">
        <w:rPr>
          <w:b w:val="0"/>
        </w:rPr>
        <w:t xml:space="preserve">Attachment </w:t>
      </w:r>
      <w:r w:rsidR="00C33870" w:rsidRPr="00E44784">
        <w:rPr>
          <w:b w:val="0"/>
        </w:rPr>
        <w:t>5</w:t>
      </w:r>
      <w:r w:rsidRPr="00E44784">
        <w:rPr>
          <w:b w:val="0"/>
        </w:rPr>
        <w:t xml:space="preserve"> and submit the completed certification with its proposal. </w:t>
      </w:r>
    </w:p>
    <w:p w:rsidR="00595811" w:rsidRPr="00E44784" w:rsidRDefault="0032785B" w:rsidP="00407BC9">
      <w:pPr>
        <w:pStyle w:val="ListParagraph"/>
        <w:numPr>
          <w:ilvl w:val="2"/>
          <w:numId w:val="15"/>
        </w:numPr>
        <w:spacing w:after="240"/>
        <w:jc w:val="left"/>
        <w:rPr>
          <w:b w:val="0"/>
        </w:rPr>
      </w:pPr>
      <w:r w:rsidRPr="00E44784">
        <w:rPr>
          <w:b w:val="0"/>
        </w:rPr>
        <w:t>Proposer must include in its proposal a completed and signed Payee Data Record Form (</w:t>
      </w:r>
      <w:r w:rsidR="004848AB" w:rsidRPr="00E44784">
        <w:rPr>
          <w:b w:val="0"/>
        </w:rPr>
        <w:t xml:space="preserve">see </w:t>
      </w:r>
      <w:r w:rsidRPr="00E44784">
        <w:rPr>
          <w:b w:val="0"/>
        </w:rPr>
        <w:t>Attachment 4), or provide a copy of a form previously submitted to the AOC.</w:t>
      </w:r>
    </w:p>
    <w:p w:rsidR="00A74DB8" w:rsidRPr="00E44784" w:rsidRDefault="00B60F34" w:rsidP="00407BC9">
      <w:pPr>
        <w:pStyle w:val="ListParagraph"/>
        <w:numPr>
          <w:ilvl w:val="2"/>
          <w:numId w:val="15"/>
        </w:numPr>
        <w:spacing w:after="240"/>
        <w:jc w:val="left"/>
        <w:rPr>
          <w:b w:val="0"/>
        </w:rPr>
      </w:pPr>
      <w:r w:rsidRPr="00E44784">
        <w:rPr>
          <w:b w:val="0"/>
        </w:rPr>
        <w:t>If Proposer is a corporation</w:t>
      </w:r>
      <w:r w:rsidR="00A07969" w:rsidRPr="00E44784">
        <w:rPr>
          <w:b w:val="0"/>
        </w:rPr>
        <w:t xml:space="preserve"> and the contract will be performed within California</w:t>
      </w:r>
      <w:r w:rsidRPr="00E44784">
        <w:rPr>
          <w:b w:val="0"/>
        </w:rPr>
        <w:t>, proof that Proposer is in good standing and qualified to conduct business in California.</w:t>
      </w:r>
      <w:r w:rsidR="00F83D28" w:rsidRPr="00E44784">
        <w:rPr>
          <w:b w:val="0"/>
        </w:rPr>
        <w:t xml:space="preserve"> AOC may verify by checking with California’s Office of the Secretary of State.</w:t>
      </w:r>
    </w:p>
    <w:p w:rsidR="00A74DB8" w:rsidRPr="00E44784" w:rsidRDefault="00B115BD" w:rsidP="00407BC9">
      <w:pPr>
        <w:pStyle w:val="ListParagraph"/>
        <w:numPr>
          <w:ilvl w:val="2"/>
          <w:numId w:val="15"/>
        </w:numPr>
        <w:spacing w:after="240"/>
        <w:jc w:val="left"/>
        <w:rPr>
          <w:b w:val="0"/>
        </w:rPr>
      </w:pPr>
      <w:r w:rsidRPr="00E44784">
        <w:rPr>
          <w:b w:val="0"/>
        </w:rPr>
        <w:t>Copies</w:t>
      </w:r>
      <w:r w:rsidR="00A74DB8" w:rsidRPr="00E44784">
        <w:rPr>
          <w:b w:val="0"/>
        </w:rPr>
        <w:t xml:space="preserve"> of current business licenses, professional certifications, or other </w:t>
      </w:r>
      <w:r w:rsidR="00A74DB8" w:rsidRPr="00E44784">
        <w:rPr>
          <w:b w:val="0"/>
        </w:rPr>
        <w:lastRenderedPageBreak/>
        <w:t>credentials.</w:t>
      </w:r>
    </w:p>
    <w:p w:rsidR="00A74DB8" w:rsidRPr="00E44784" w:rsidRDefault="00B115BD" w:rsidP="00407BC9">
      <w:pPr>
        <w:pStyle w:val="ListParagraph"/>
        <w:numPr>
          <w:ilvl w:val="2"/>
          <w:numId w:val="15"/>
        </w:numPr>
        <w:spacing w:after="240"/>
        <w:jc w:val="left"/>
        <w:rPr>
          <w:b w:val="0"/>
        </w:rPr>
      </w:pPr>
      <w:r w:rsidRPr="00E44784">
        <w:rPr>
          <w:b w:val="0"/>
        </w:rPr>
        <w:t>Proof</w:t>
      </w:r>
      <w:r w:rsidR="00A74DB8" w:rsidRPr="00E44784">
        <w:rPr>
          <w:b w:val="0"/>
        </w:rPr>
        <w:t xml:space="preserve"> of financial solvency or stability (e.g., balance sheets and income statements).</w:t>
      </w:r>
    </w:p>
    <w:p w:rsidR="005B04DF" w:rsidRPr="00E44784" w:rsidRDefault="005B04DF" w:rsidP="00407BC9">
      <w:pPr>
        <w:pStyle w:val="ListParagraph"/>
        <w:numPr>
          <w:ilvl w:val="1"/>
          <w:numId w:val="15"/>
        </w:numPr>
        <w:spacing w:after="240"/>
        <w:jc w:val="left"/>
        <w:rPr>
          <w:b w:val="0"/>
          <w:u w:val="single"/>
        </w:rPr>
      </w:pPr>
      <w:r w:rsidRPr="00E44784">
        <w:rPr>
          <w:b w:val="0"/>
          <w:u w:val="single"/>
        </w:rPr>
        <w:t>Cost Proposal.</w:t>
      </w:r>
      <w:r w:rsidRPr="00E44784">
        <w:rPr>
          <w:b w:val="0"/>
        </w:rPr>
        <w:t xml:space="preserve">  The following information must be included in the </w:t>
      </w:r>
      <w:r w:rsidR="003364C3" w:rsidRPr="00E44784">
        <w:rPr>
          <w:b w:val="0"/>
        </w:rPr>
        <w:t>cost</w:t>
      </w:r>
      <w:r w:rsidRPr="00E44784">
        <w:rPr>
          <w:b w:val="0"/>
        </w:rPr>
        <w:t xml:space="preserve"> proposal.</w:t>
      </w:r>
    </w:p>
    <w:p w:rsidR="00246470" w:rsidRPr="00E44784" w:rsidRDefault="00246470" w:rsidP="00407BC9">
      <w:pPr>
        <w:pStyle w:val="ListParagraph"/>
        <w:numPr>
          <w:ilvl w:val="2"/>
          <w:numId w:val="15"/>
        </w:numPr>
        <w:spacing w:after="240"/>
        <w:jc w:val="left"/>
        <w:rPr>
          <w:b w:val="0"/>
        </w:rPr>
      </w:pPr>
      <w:r w:rsidRPr="00E44784">
        <w:rPr>
          <w:b w:val="0"/>
        </w:rPr>
        <w:t xml:space="preserve">A detailed line item budget showing total cost of the proposed services.  </w:t>
      </w:r>
    </w:p>
    <w:p w:rsidR="00246470" w:rsidRPr="00E44784" w:rsidRDefault="00246470" w:rsidP="00407BC9">
      <w:pPr>
        <w:pStyle w:val="ListParagraph"/>
        <w:numPr>
          <w:ilvl w:val="2"/>
          <w:numId w:val="15"/>
        </w:numPr>
        <w:spacing w:after="240"/>
        <w:jc w:val="left"/>
        <w:rPr>
          <w:b w:val="0"/>
        </w:rPr>
      </w:pPr>
      <w:r w:rsidRPr="00E44784">
        <w:rPr>
          <w:b w:val="0"/>
        </w:rPr>
        <w:t>A full explanation of all budget line items in a narrative entitled “Budget Justification.”</w:t>
      </w:r>
    </w:p>
    <w:p w:rsidR="00246470" w:rsidRPr="00E44784" w:rsidRDefault="005F5C25" w:rsidP="00407BC9">
      <w:pPr>
        <w:pStyle w:val="ListParagraph"/>
        <w:numPr>
          <w:ilvl w:val="2"/>
          <w:numId w:val="15"/>
        </w:numPr>
        <w:spacing w:after="240"/>
        <w:jc w:val="left"/>
        <w:rPr>
          <w:b w:val="0"/>
        </w:rPr>
      </w:pPr>
      <w:r w:rsidRPr="00E44784">
        <w:rPr>
          <w:b w:val="0"/>
        </w:rPr>
        <w:t>A “not to exceed” total for all work and expenses payable under the contract, if awarded.</w:t>
      </w:r>
    </w:p>
    <w:p w:rsidR="0087785D" w:rsidRPr="00E44784" w:rsidRDefault="0087785D" w:rsidP="00407BC9">
      <w:pPr>
        <w:pStyle w:val="ListParagraph"/>
        <w:numPr>
          <w:ilvl w:val="2"/>
          <w:numId w:val="15"/>
        </w:numPr>
        <w:spacing w:after="240"/>
        <w:jc w:val="left"/>
        <w:rPr>
          <w:b w:val="0"/>
        </w:rPr>
      </w:pPr>
      <w:r w:rsidRPr="00E44784">
        <w:rPr>
          <w:b w:val="0"/>
        </w:rPr>
        <w:t>A completed Attachment 8, Rate Proposal Form</w:t>
      </w:r>
    </w:p>
    <w:p w:rsidR="005B04DF" w:rsidRPr="00E44784" w:rsidRDefault="005B04DF" w:rsidP="007220A6">
      <w:pPr>
        <w:spacing w:after="240"/>
        <w:ind w:left="720"/>
        <w:rPr>
          <w:color w:val="000000" w:themeColor="text1"/>
        </w:rPr>
      </w:pPr>
      <w:r w:rsidRPr="00E44784">
        <w:rPr>
          <w:b/>
          <w:color w:val="000000" w:themeColor="text1"/>
        </w:rPr>
        <w:t xml:space="preserve">NOTE: </w:t>
      </w:r>
      <w:r w:rsidRPr="00E44784">
        <w:rPr>
          <w:color w:val="000000" w:themeColor="text1"/>
        </w:rPr>
        <w:t>It is unlawful for any person engaged in business within this state to sell or use any article or product as a “loss leader” as defined in Section 17030 of the Business and Professions Code.</w:t>
      </w:r>
    </w:p>
    <w:p w:rsidR="006E4406" w:rsidRPr="00E44784" w:rsidRDefault="006E4406" w:rsidP="00685BF1">
      <w:pPr>
        <w:pStyle w:val="ListParagraph"/>
        <w:numPr>
          <w:ilvl w:val="0"/>
          <w:numId w:val="15"/>
        </w:numPr>
        <w:spacing w:after="240"/>
        <w:jc w:val="left"/>
      </w:pPr>
      <w:r w:rsidRPr="00E44784">
        <w:t>OFFER PERIOD</w:t>
      </w:r>
    </w:p>
    <w:p w:rsidR="006E4406" w:rsidRPr="00E44784" w:rsidRDefault="006E4406" w:rsidP="007220A6">
      <w:pPr>
        <w:pStyle w:val="ExhibitC2"/>
        <w:numPr>
          <w:ilvl w:val="0"/>
          <w:numId w:val="0"/>
        </w:numPr>
        <w:spacing w:after="240"/>
        <w:ind w:left="720"/>
        <w:rPr>
          <w:color w:val="000000" w:themeColor="text1"/>
        </w:rPr>
      </w:pPr>
      <w:r w:rsidRPr="00E44784">
        <w:rPr>
          <w:color w:val="000000" w:themeColor="text1"/>
        </w:rPr>
        <w:t xml:space="preserve">A Proposer's proposal is an irrevocable offer for ninety (90) days following the proposal due date.  </w:t>
      </w:r>
      <w:r w:rsidRPr="00E44784">
        <w:t>In the event a final contract has not been awarded within this ninety (90) day period, the AOC reserves the right to negotiate extensions to this period.</w:t>
      </w:r>
    </w:p>
    <w:p w:rsidR="00BD65B9" w:rsidRPr="00E44784" w:rsidRDefault="00BD65B9" w:rsidP="00685BF1">
      <w:pPr>
        <w:pStyle w:val="ListParagraph"/>
        <w:numPr>
          <w:ilvl w:val="0"/>
          <w:numId w:val="15"/>
        </w:numPr>
        <w:spacing w:after="240"/>
        <w:jc w:val="left"/>
      </w:pPr>
      <w:r w:rsidRPr="00E44784">
        <w:t>EVALUATION OF PROPOSALS</w:t>
      </w:r>
    </w:p>
    <w:p w:rsidR="00AC44D4" w:rsidRPr="00E44784" w:rsidRDefault="00AC44D4" w:rsidP="007220A6">
      <w:pPr>
        <w:spacing w:after="240"/>
        <w:ind w:left="720"/>
      </w:pPr>
      <w:r w:rsidRPr="00E44784">
        <w:t>At the time proposals are opened, each proposal will be checked for the presence or absence of t</w:t>
      </w:r>
      <w:r w:rsidR="007220A6" w:rsidRPr="00E44784">
        <w:t>he required proposal contents.</w:t>
      </w:r>
    </w:p>
    <w:p w:rsidR="00595822" w:rsidRPr="00E44784" w:rsidRDefault="00BD65B9" w:rsidP="007220A6">
      <w:pPr>
        <w:ind w:left="720"/>
      </w:pPr>
      <w:r w:rsidRPr="00E44784">
        <w:t xml:space="preserve">The AOC will evaluate the proposals </w:t>
      </w:r>
      <w:r w:rsidR="00595822" w:rsidRPr="00E44784">
        <w:t xml:space="preserve">on a 100 point scale </w:t>
      </w:r>
      <w:r w:rsidR="00AC44D4" w:rsidRPr="00E44784">
        <w:t>using t</w:t>
      </w:r>
      <w:r w:rsidR="00595822" w:rsidRPr="00E44784">
        <w:t xml:space="preserve">he criteria set forth in the table below.  </w:t>
      </w:r>
      <w:r w:rsidR="00B0091F" w:rsidRPr="00E44784">
        <w:t xml:space="preserve">The </w:t>
      </w:r>
      <w:r w:rsidR="001C7BC9" w:rsidRPr="00E44784">
        <w:t>a</w:t>
      </w:r>
      <w:r w:rsidR="00AC44D4" w:rsidRPr="00E44784">
        <w:t>ward, if made, will be to the highest scored proposal.</w:t>
      </w:r>
    </w:p>
    <w:p w:rsidR="00BD65B9" w:rsidRPr="00E44784" w:rsidRDefault="00BD65B9" w:rsidP="007220A6">
      <w:pPr>
        <w:ind w:left="720"/>
      </w:pPr>
    </w:p>
    <w:tbl>
      <w:tblPr>
        <w:tblStyle w:val="TableGrid"/>
        <w:tblW w:w="0" w:type="auto"/>
        <w:tblInd w:w="720" w:type="dxa"/>
        <w:tblLook w:val="04A0"/>
      </w:tblPr>
      <w:tblGrid>
        <w:gridCol w:w="7218"/>
        <w:gridCol w:w="1638"/>
      </w:tblGrid>
      <w:tr w:rsidR="000A47A6" w:rsidRPr="00E44784" w:rsidTr="000A47A6">
        <w:trPr>
          <w:trHeight w:val="180"/>
        </w:trPr>
        <w:tc>
          <w:tcPr>
            <w:tcW w:w="8856" w:type="dxa"/>
            <w:gridSpan w:val="2"/>
            <w:tcBorders>
              <w:top w:val="nil"/>
              <w:left w:val="nil"/>
              <w:right w:val="nil"/>
            </w:tcBorders>
            <w:shd w:val="clear" w:color="auto" w:fill="FFFFFF" w:themeFill="background1"/>
            <w:vAlign w:val="center"/>
          </w:tcPr>
          <w:p w:rsidR="000A47A6" w:rsidRPr="00E44784" w:rsidRDefault="000A47A6" w:rsidP="000A47A6">
            <w:pPr>
              <w:rPr>
                <w:b/>
              </w:rPr>
            </w:pPr>
            <w:r w:rsidRPr="00E44784">
              <w:rPr>
                <w:b/>
              </w:rPr>
              <w:t>Table 3:</w:t>
            </w:r>
          </w:p>
        </w:tc>
      </w:tr>
      <w:tr w:rsidR="003D5E8F" w:rsidRPr="00E44784" w:rsidTr="00555A60">
        <w:tc>
          <w:tcPr>
            <w:tcW w:w="7218" w:type="dxa"/>
            <w:shd w:val="clear" w:color="auto" w:fill="D9D9D9" w:themeFill="background1" w:themeFillShade="D9"/>
            <w:vAlign w:val="center"/>
          </w:tcPr>
          <w:p w:rsidR="003D5E8F" w:rsidRPr="00E44784" w:rsidRDefault="00B126F3" w:rsidP="00555A60">
            <w:pPr>
              <w:jc w:val="center"/>
              <w:rPr>
                <w:b/>
              </w:rPr>
            </w:pPr>
            <w:r w:rsidRPr="00E44784">
              <w:rPr>
                <w:b/>
              </w:rPr>
              <w:t>CRITERION</w:t>
            </w:r>
          </w:p>
        </w:tc>
        <w:tc>
          <w:tcPr>
            <w:tcW w:w="1638" w:type="dxa"/>
            <w:shd w:val="clear" w:color="auto" w:fill="D9D9D9" w:themeFill="background1" w:themeFillShade="D9"/>
            <w:vAlign w:val="center"/>
          </w:tcPr>
          <w:p w:rsidR="003D5E8F" w:rsidRPr="00E44784" w:rsidRDefault="00B126F3" w:rsidP="00555A60">
            <w:pPr>
              <w:jc w:val="center"/>
              <w:rPr>
                <w:b/>
              </w:rPr>
            </w:pPr>
            <w:r w:rsidRPr="00E44784">
              <w:rPr>
                <w:b/>
              </w:rPr>
              <w:t>MAXIMUM NUMBER OF POINTS</w:t>
            </w:r>
          </w:p>
        </w:tc>
      </w:tr>
      <w:tr w:rsidR="003D5E8F" w:rsidRPr="00E44784" w:rsidTr="00555A60">
        <w:tc>
          <w:tcPr>
            <w:tcW w:w="7218" w:type="dxa"/>
          </w:tcPr>
          <w:p w:rsidR="003D5E8F" w:rsidRPr="00E44784" w:rsidRDefault="003D5E8F" w:rsidP="00555A60">
            <w:pPr>
              <w:pStyle w:val="ListParagraph"/>
              <w:numPr>
                <w:ilvl w:val="0"/>
                <w:numId w:val="16"/>
              </w:numPr>
              <w:jc w:val="left"/>
              <w:rPr>
                <w:b w:val="0"/>
              </w:rPr>
            </w:pPr>
            <w:r w:rsidRPr="00E44784">
              <w:rPr>
                <w:b w:val="0"/>
              </w:rPr>
              <w:t>Demonstrated Experience and Qualifications</w:t>
            </w:r>
            <w:r w:rsidR="00A154F4" w:rsidRPr="00E44784">
              <w:rPr>
                <w:b w:val="0"/>
              </w:rPr>
              <w:t xml:space="preserve"> (see RFP Sections 7.1, </w:t>
            </w:r>
            <w:r w:rsidR="00945983" w:rsidRPr="00E44784">
              <w:rPr>
                <w:b w:val="0"/>
              </w:rPr>
              <w:t xml:space="preserve">7.3, </w:t>
            </w:r>
            <w:r w:rsidR="00A154F4" w:rsidRPr="00E44784">
              <w:rPr>
                <w:b w:val="0"/>
              </w:rPr>
              <w:t>and Attachment 7</w:t>
            </w:r>
            <w:r w:rsidR="006A72DD" w:rsidRPr="00E44784">
              <w:rPr>
                <w:b w:val="0"/>
              </w:rPr>
              <w:t>,</w:t>
            </w:r>
            <w:r w:rsidR="00A154F4" w:rsidRPr="00E44784">
              <w:rPr>
                <w:b w:val="0"/>
              </w:rPr>
              <w:t xml:space="preserve"> Questions </w:t>
            </w:r>
            <w:r w:rsidR="006A72DD" w:rsidRPr="00E44784">
              <w:rPr>
                <w:b w:val="0"/>
              </w:rPr>
              <w:t xml:space="preserve">8 and </w:t>
            </w:r>
            <w:r w:rsidR="00A154F4" w:rsidRPr="00E44784">
              <w:rPr>
                <w:b w:val="0"/>
              </w:rPr>
              <w:t>16</w:t>
            </w:r>
            <w:r w:rsidR="006A72DD" w:rsidRPr="00E44784">
              <w:rPr>
                <w:b w:val="0"/>
              </w:rPr>
              <w:t>)</w:t>
            </w:r>
          </w:p>
          <w:p w:rsidR="00994B9E" w:rsidRPr="00E44784" w:rsidRDefault="003D5E8F" w:rsidP="00555A60">
            <w:pPr>
              <w:pStyle w:val="ListParagraph"/>
              <w:numPr>
                <w:ilvl w:val="0"/>
                <w:numId w:val="16"/>
              </w:numPr>
              <w:jc w:val="left"/>
              <w:rPr>
                <w:b w:val="0"/>
              </w:rPr>
            </w:pPr>
            <w:r w:rsidRPr="00E44784">
              <w:rPr>
                <w:b w:val="0"/>
              </w:rPr>
              <w:t>Demonstrated experience and success in providing mental health services to a diverse</w:t>
            </w:r>
            <w:r w:rsidR="00045A1E" w:rsidRPr="00E44784">
              <w:rPr>
                <w:b w:val="0"/>
              </w:rPr>
              <w:t>, statewide</w:t>
            </w:r>
            <w:r w:rsidRPr="00E44784">
              <w:rPr>
                <w:b w:val="0"/>
              </w:rPr>
              <w:t xml:space="preserve"> membership base. </w:t>
            </w:r>
            <w:r w:rsidR="00A154F4" w:rsidRPr="00E44784">
              <w:rPr>
                <w:b w:val="0"/>
              </w:rPr>
              <w:t>(see RFP Section 3.1 and Attachment 7 Question 9)</w:t>
            </w:r>
          </w:p>
          <w:p w:rsidR="00994B9E" w:rsidRPr="00E44784" w:rsidRDefault="003D5E8F" w:rsidP="00555A60">
            <w:pPr>
              <w:pStyle w:val="ListParagraph"/>
              <w:numPr>
                <w:ilvl w:val="0"/>
                <w:numId w:val="16"/>
              </w:numPr>
              <w:jc w:val="left"/>
              <w:rPr>
                <w:b w:val="0"/>
              </w:rPr>
            </w:pPr>
            <w:r w:rsidRPr="00E44784">
              <w:rPr>
                <w:b w:val="0"/>
              </w:rPr>
              <w:t xml:space="preserve">Demonstrated experience in overseeing and monitoring a mental health professional network. </w:t>
            </w:r>
            <w:r w:rsidR="00555A60" w:rsidRPr="00E44784">
              <w:rPr>
                <w:b w:val="0"/>
              </w:rPr>
              <w:t xml:space="preserve"> </w:t>
            </w:r>
            <w:r w:rsidR="00A154F4" w:rsidRPr="00E44784">
              <w:rPr>
                <w:b w:val="0"/>
              </w:rPr>
              <w:t xml:space="preserve">(see RFP Section 3.1 and </w:t>
            </w:r>
            <w:r w:rsidR="00A154F4" w:rsidRPr="00E44784">
              <w:rPr>
                <w:b w:val="0"/>
              </w:rPr>
              <w:lastRenderedPageBreak/>
              <w:t>Attachment 7 Questions 15 and 17)</w:t>
            </w:r>
          </w:p>
          <w:p w:rsidR="00994B9E" w:rsidRPr="00E44784" w:rsidRDefault="003D5E8F" w:rsidP="00555A60">
            <w:pPr>
              <w:pStyle w:val="ListParagraph"/>
              <w:numPr>
                <w:ilvl w:val="0"/>
                <w:numId w:val="16"/>
              </w:numPr>
              <w:jc w:val="left"/>
              <w:rPr>
                <w:b w:val="0"/>
              </w:rPr>
            </w:pPr>
            <w:r w:rsidRPr="00E44784">
              <w:rPr>
                <w:b w:val="0"/>
              </w:rPr>
              <w:t>The qualifications of the proposed dedicated program manager.</w:t>
            </w:r>
            <w:r w:rsidR="00555A60" w:rsidRPr="00E44784">
              <w:rPr>
                <w:b w:val="0"/>
              </w:rPr>
              <w:t xml:space="preserve"> </w:t>
            </w:r>
            <w:r w:rsidR="00A154F4" w:rsidRPr="00E44784">
              <w:rPr>
                <w:b w:val="0"/>
              </w:rPr>
              <w:t>(see RFP Section 3.2</w:t>
            </w:r>
            <w:r w:rsidR="00945983" w:rsidRPr="00E44784">
              <w:rPr>
                <w:b w:val="0"/>
              </w:rPr>
              <w:t>)</w:t>
            </w:r>
          </w:p>
          <w:p w:rsidR="00994B9E" w:rsidRPr="00E44784" w:rsidRDefault="00343D57" w:rsidP="00555A60">
            <w:pPr>
              <w:pStyle w:val="ListParagraph"/>
              <w:numPr>
                <w:ilvl w:val="0"/>
                <w:numId w:val="16"/>
              </w:numPr>
              <w:jc w:val="left"/>
              <w:rPr>
                <w:b w:val="0"/>
              </w:rPr>
            </w:pPr>
            <w:r w:rsidRPr="00E44784">
              <w:rPr>
                <w:b w:val="0"/>
              </w:rPr>
              <w:t>The credentials and qualifications of mental health professionals and phone intake specialists.</w:t>
            </w:r>
            <w:r w:rsidR="00555A60" w:rsidRPr="00E44784">
              <w:rPr>
                <w:b w:val="0"/>
              </w:rPr>
              <w:t xml:space="preserve"> </w:t>
            </w:r>
            <w:r w:rsidR="00A154F4" w:rsidRPr="00E44784">
              <w:rPr>
                <w:b w:val="0"/>
              </w:rPr>
              <w:t xml:space="preserve"> (see RFP Section </w:t>
            </w:r>
            <w:r w:rsidR="005D690C" w:rsidRPr="00E44784">
              <w:rPr>
                <w:b w:val="0"/>
              </w:rPr>
              <w:t xml:space="preserve">3.2 </w:t>
            </w:r>
            <w:r w:rsidR="00A154F4" w:rsidRPr="00E44784">
              <w:rPr>
                <w:b w:val="0"/>
              </w:rPr>
              <w:t>and Attachment 7 Questions 1</w:t>
            </w:r>
            <w:r w:rsidR="005D690C" w:rsidRPr="00E44784">
              <w:rPr>
                <w:b w:val="0"/>
              </w:rPr>
              <w:t>3 and 14</w:t>
            </w:r>
            <w:r w:rsidR="00A154F4" w:rsidRPr="00E44784">
              <w:rPr>
                <w:b w:val="0"/>
              </w:rPr>
              <w:t>)</w:t>
            </w:r>
          </w:p>
          <w:p w:rsidR="00E16DCA" w:rsidRPr="00E44784" w:rsidRDefault="00E16DCA" w:rsidP="00555A60">
            <w:pPr>
              <w:pStyle w:val="ListParagraph"/>
              <w:numPr>
                <w:ilvl w:val="0"/>
                <w:numId w:val="16"/>
              </w:numPr>
              <w:jc w:val="left"/>
              <w:rPr>
                <w:b w:val="0"/>
              </w:rPr>
            </w:pPr>
            <w:r w:rsidRPr="00E44784">
              <w:rPr>
                <w:b w:val="0"/>
              </w:rPr>
              <w:t>Ability to provide mental health services within California’s 58 counties.</w:t>
            </w:r>
            <w:r w:rsidR="00555A60" w:rsidRPr="00E44784">
              <w:rPr>
                <w:b w:val="0"/>
              </w:rPr>
              <w:t xml:space="preserve"> </w:t>
            </w:r>
            <w:r w:rsidR="005D690C" w:rsidRPr="00E44784">
              <w:rPr>
                <w:b w:val="0"/>
              </w:rPr>
              <w:t>(see RFP Section 3.1.5 and Attachment 7 Question 1)</w:t>
            </w:r>
          </w:p>
          <w:p w:rsidR="00E16DCA" w:rsidRPr="00E44784" w:rsidRDefault="00E16DCA" w:rsidP="00555A60">
            <w:pPr>
              <w:pStyle w:val="ListParagraph"/>
              <w:numPr>
                <w:ilvl w:val="0"/>
                <w:numId w:val="16"/>
              </w:numPr>
              <w:jc w:val="left"/>
              <w:rPr>
                <w:b w:val="0"/>
              </w:rPr>
            </w:pPr>
            <w:r w:rsidRPr="00E44784">
              <w:rPr>
                <w:b w:val="0"/>
              </w:rPr>
              <w:t>Ability to provide in-person, Web-based, and telephonic mental health professional sessions for member within California’s 58 counties</w:t>
            </w:r>
            <w:r w:rsidR="005D690C" w:rsidRPr="00E44784">
              <w:rPr>
                <w:b w:val="0"/>
              </w:rPr>
              <w:t>.</w:t>
            </w:r>
            <w:r w:rsidR="00555A60" w:rsidRPr="00E44784">
              <w:rPr>
                <w:b w:val="0"/>
              </w:rPr>
              <w:t xml:space="preserve"> </w:t>
            </w:r>
            <w:r w:rsidR="005D690C" w:rsidRPr="00E44784">
              <w:rPr>
                <w:b w:val="0"/>
              </w:rPr>
              <w:t>(see RFP Section 3.1.8 and Attachment 7 Question 6)</w:t>
            </w:r>
          </w:p>
          <w:p w:rsidR="00EE6C27" w:rsidRPr="00E44784" w:rsidRDefault="00EE6C27" w:rsidP="005D690C">
            <w:pPr>
              <w:pStyle w:val="ListParagraph"/>
              <w:numPr>
                <w:ilvl w:val="0"/>
                <w:numId w:val="16"/>
              </w:numPr>
              <w:jc w:val="left"/>
              <w:rPr>
                <w:b w:val="0"/>
              </w:rPr>
            </w:pPr>
            <w:r w:rsidRPr="00E44784">
              <w:rPr>
                <w:b w:val="0"/>
              </w:rPr>
              <w:t xml:space="preserve">Ability </w:t>
            </w:r>
            <w:r w:rsidR="005D690C" w:rsidRPr="00E44784">
              <w:rPr>
                <w:b w:val="0"/>
              </w:rPr>
              <w:t xml:space="preserve">to </w:t>
            </w:r>
            <w:r w:rsidRPr="00E44784">
              <w:rPr>
                <w:b w:val="0"/>
              </w:rPr>
              <w:t xml:space="preserve">provide </w:t>
            </w:r>
            <w:r w:rsidR="005D690C" w:rsidRPr="00E44784">
              <w:rPr>
                <w:b w:val="0"/>
              </w:rPr>
              <w:t>C</w:t>
            </w:r>
            <w:r w:rsidRPr="00E44784">
              <w:rPr>
                <w:b w:val="0"/>
              </w:rPr>
              <w:t xml:space="preserve">ritical </w:t>
            </w:r>
            <w:r w:rsidR="005D690C" w:rsidRPr="00E44784">
              <w:rPr>
                <w:b w:val="0"/>
              </w:rPr>
              <w:t>N</w:t>
            </w:r>
            <w:r w:rsidRPr="00E44784">
              <w:rPr>
                <w:b w:val="0"/>
              </w:rPr>
              <w:t xml:space="preserve">eed consultation. </w:t>
            </w:r>
            <w:r w:rsidR="00555A60" w:rsidRPr="00E44784">
              <w:rPr>
                <w:b w:val="0"/>
              </w:rPr>
              <w:t xml:space="preserve"> </w:t>
            </w:r>
            <w:r w:rsidRPr="00E44784">
              <w:rPr>
                <w:b w:val="0"/>
              </w:rPr>
              <w:t>(</w:t>
            </w:r>
            <w:r w:rsidR="005D690C" w:rsidRPr="00E44784">
              <w:rPr>
                <w:b w:val="0"/>
              </w:rPr>
              <w:t xml:space="preserve">See RFP </w:t>
            </w:r>
            <w:r w:rsidRPr="00E44784">
              <w:rPr>
                <w:b w:val="0"/>
              </w:rPr>
              <w:t xml:space="preserve">Section </w:t>
            </w:r>
            <w:r w:rsidR="00FF5B11" w:rsidRPr="00E44784">
              <w:rPr>
                <w:b w:val="0"/>
              </w:rPr>
              <w:t>3</w:t>
            </w:r>
            <w:r w:rsidRPr="00E44784">
              <w:rPr>
                <w:b w:val="0"/>
              </w:rPr>
              <w:t>.</w:t>
            </w:r>
            <w:r w:rsidR="00FF5B11" w:rsidRPr="00E44784">
              <w:rPr>
                <w:b w:val="0"/>
              </w:rPr>
              <w:t>5</w:t>
            </w:r>
            <w:r w:rsidRPr="00E44784">
              <w:rPr>
                <w:b w:val="0"/>
              </w:rPr>
              <w:t xml:space="preserve">.) </w:t>
            </w:r>
          </w:p>
        </w:tc>
        <w:tc>
          <w:tcPr>
            <w:tcW w:w="1638" w:type="dxa"/>
            <w:vAlign w:val="center"/>
          </w:tcPr>
          <w:p w:rsidR="008C2680" w:rsidRPr="00E44784" w:rsidRDefault="00343D57">
            <w:pPr>
              <w:keepNext/>
              <w:jc w:val="center"/>
            </w:pPr>
            <w:r w:rsidRPr="00E44784">
              <w:lastRenderedPageBreak/>
              <w:t>30</w:t>
            </w:r>
          </w:p>
        </w:tc>
      </w:tr>
      <w:tr w:rsidR="003D5E8F" w:rsidRPr="00E44784" w:rsidTr="00555A60">
        <w:tc>
          <w:tcPr>
            <w:tcW w:w="7218" w:type="dxa"/>
          </w:tcPr>
          <w:p w:rsidR="007876FD" w:rsidRPr="00E44784" w:rsidRDefault="003D5E8F" w:rsidP="00555A60">
            <w:pPr>
              <w:pStyle w:val="ListParagraph"/>
              <w:numPr>
                <w:ilvl w:val="0"/>
                <w:numId w:val="16"/>
              </w:numPr>
              <w:jc w:val="left"/>
              <w:rPr>
                <w:b w:val="0"/>
              </w:rPr>
            </w:pPr>
            <w:r w:rsidRPr="00E44784">
              <w:rPr>
                <w:b w:val="0"/>
              </w:rPr>
              <w:lastRenderedPageBreak/>
              <w:t xml:space="preserve">Proposed method to managing statewide mental health professional services for </w:t>
            </w:r>
            <w:r w:rsidR="00343D57" w:rsidRPr="00E44784">
              <w:rPr>
                <w:b w:val="0"/>
              </w:rPr>
              <w:t>a diverse membership base</w:t>
            </w:r>
            <w:r w:rsidR="005D690C" w:rsidRPr="00E44784">
              <w:rPr>
                <w:b w:val="0"/>
              </w:rPr>
              <w:t xml:space="preserve"> (see RFP Sections 3.2, 3.3, 3.4, and 3.5 and Attachment 7 Questions 2, 3, 4, 5, 15, 18, 19, 20, 21, 23, 24, 25, 26, 27</w:t>
            </w:r>
            <w:r w:rsidR="00945983" w:rsidRPr="00E44784">
              <w:rPr>
                <w:b w:val="0"/>
              </w:rPr>
              <w:t>, and 28</w:t>
            </w:r>
            <w:r w:rsidR="005D690C" w:rsidRPr="00E44784">
              <w:rPr>
                <w:b w:val="0"/>
              </w:rPr>
              <w:t>)</w:t>
            </w:r>
          </w:p>
          <w:p w:rsidR="00994B9E" w:rsidRPr="00E44784" w:rsidRDefault="003D5E8F" w:rsidP="00555A60">
            <w:pPr>
              <w:pStyle w:val="ListParagraph"/>
              <w:numPr>
                <w:ilvl w:val="0"/>
                <w:numId w:val="16"/>
              </w:numPr>
              <w:jc w:val="left"/>
              <w:rPr>
                <w:b w:val="0"/>
              </w:rPr>
            </w:pPr>
            <w:r w:rsidRPr="00E44784">
              <w:rPr>
                <w:b w:val="0"/>
              </w:rPr>
              <w:t xml:space="preserve">Demonstrated ability to </w:t>
            </w:r>
            <w:r w:rsidR="00045A1E" w:rsidRPr="00E44784">
              <w:rPr>
                <w:b w:val="0"/>
              </w:rPr>
              <w:t>measure program effectiveness</w:t>
            </w:r>
            <w:r w:rsidR="00994B9E" w:rsidRPr="00E44784">
              <w:rPr>
                <w:b w:val="0"/>
              </w:rPr>
              <w:t xml:space="preserve"> by conducting utilization metrics and providing analysis</w:t>
            </w:r>
            <w:r w:rsidR="005D690C" w:rsidRPr="00E44784">
              <w:rPr>
                <w:b w:val="0"/>
              </w:rPr>
              <w:t>.</w:t>
            </w:r>
            <w:r w:rsidR="00555A60" w:rsidRPr="00E44784">
              <w:rPr>
                <w:b w:val="0"/>
              </w:rPr>
              <w:t xml:space="preserve"> </w:t>
            </w:r>
            <w:r w:rsidR="00994B9E" w:rsidRPr="00E44784">
              <w:rPr>
                <w:b w:val="0"/>
              </w:rPr>
              <w:t>(</w:t>
            </w:r>
            <w:r w:rsidR="005D690C" w:rsidRPr="00E44784">
              <w:rPr>
                <w:b w:val="0"/>
              </w:rPr>
              <w:t xml:space="preserve">See RFP </w:t>
            </w:r>
            <w:r w:rsidR="00994B9E" w:rsidRPr="00E44784">
              <w:rPr>
                <w:b w:val="0"/>
              </w:rPr>
              <w:t xml:space="preserve">Section </w:t>
            </w:r>
            <w:r w:rsidR="00FF5B11" w:rsidRPr="00E44784">
              <w:rPr>
                <w:b w:val="0"/>
              </w:rPr>
              <w:t>3</w:t>
            </w:r>
            <w:r w:rsidR="00994B9E" w:rsidRPr="00E44784">
              <w:rPr>
                <w:b w:val="0"/>
              </w:rPr>
              <w:t>.</w:t>
            </w:r>
            <w:r w:rsidR="00FF5B11" w:rsidRPr="00E44784">
              <w:rPr>
                <w:b w:val="0"/>
              </w:rPr>
              <w:t>3</w:t>
            </w:r>
            <w:r w:rsidR="005D690C" w:rsidRPr="00E44784">
              <w:rPr>
                <w:b w:val="0"/>
              </w:rPr>
              <w:t>.2</w:t>
            </w:r>
            <w:r w:rsidR="00945983" w:rsidRPr="00E44784">
              <w:rPr>
                <w:b w:val="0"/>
              </w:rPr>
              <w:t xml:space="preserve"> and Attachment 7, Question 12</w:t>
            </w:r>
            <w:r w:rsidR="00994B9E" w:rsidRPr="00E44784">
              <w:rPr>
                <w:b w:val="0"/>
              </w:rPr>
              <w:t>)</w:t>
            </w:r>
          </w:p>
          <w:p w:rsidR="007876FD" w:rsidRPr="00E44784" w:rsidRDefault="007876FD" w:rsidP="00FF5B11">
            <w:pPr>
              <w:pStyle w:val="ListParagraph"/>
              <w:numPr>
                <w:ilvl w:val="0"/>
                <w:numId w:val="16"/>
              </w:numPr>
              <w:jc w:val="left"/>
              <w:rPr>
                <w:b w:val="0"/>
              </w:rPr>
            </w:pPr>
            <w:r w:rsidRPr="00E44784">
              <w:rPr>
                <w:b w:val="0"/>
              </w:rPr>
              <w:t xml:space="preserve">Proposed method to transition services from the current provider for services that are currently in place for members. </w:t>
            </w:r>
            <w:r w:rsidR="00555A60" w:rsidRPr="00E44784">
              <w:rPr>
                <w:b w:val="0"/>
              </w:rPr>
              <w:t xml:space="preserve"> </w:t>
            </w:r>
            <w:r w:rsidRPr="00E44784">
              <w:rPr>
                <w:b w:val="0"/>
              </w:rPr>
              <w:t>(</w:t>
            </w:r>
            <w:r w:rsidR="005D690C" w:rsidRPr="00E44784">
              <w:rPr>
                <w:b w:val="0"/>
              </w:rPr>
              <w:t xml:space="preserve">see RFP </w:t>
            </w:r>
            <w:r w:rsidRPr="00E44784">
              <w:rPr>
                <w:b w:val="0"/>
              </w:rPr>
              <w:t xml:space="preserve">Section </w:t>
            </w:r>
            <w:r w:rsidR="00FF5B11" w:rsidRPr="00E44784">
              <w:rPr>
                <w:b w:val="0"/>
              </w:rPr>
              <w:t>3.4</w:t>
            </w:r>
            <w:r w:rsidR="005D690C" w:rsidRPr="00E44784">
              <w:rPr>
                <w:b w:val="0"/>
              </w:rPr>
              <w:t xml:space="preserve"> and Attachment 7</w:t>
            </w:r>
            <w:r w:rsidR="00945983" w:rsidRPr="00E44784">
              <w:rPr>
                <w:b w:val="0"/>
              </w:rPr>
              <w:t>,</w:t>
            </w:r>
            <w:r w:rsidR="005D690C" w:rsidRPr="00E44784">
              <w:rPr>
                <w:b w:val="0"/>
              </w:rPr>
              <w:t xml:space="preserve"> Question 7</w:t>
            </w:r>
            <w:r w:rsidRPr="00E44784">
              <w:rPr>
                <w:b w:val="0"/>
              </w:rPr>
              <w:t>)</w:t>
            </w:r>
          </w:p>
          <w:p w:rsidR="0084582F" w:rsidRPr="00E44784" w:rsidRDefault="0084582F" w:rsidP="00FF5B11">
            <w:pPr>
              <w:pStyle w:val="ListParagraph"/>
              <w:numPr>
                <w:ilvl w:val="0"/>
                <w:numId w:val="16"/>
              </w:numPr>
              <w:jc w:val="left"/>
              <w:rPr>
                <w:b w:val="0"/>
              </w:rPr>
            </w:pPr>
            <w:r w:rsidRPr="00E44784">
              <w:rPr>
                <w:b w:val="0"/>
              </w:rPr>
              <w:t>Proposer</w:t>
            </w:r>
            <w:r w:rsidR="00E44784">
              <w:rPr>
                <w:b w:val="0"/>
              </w:rPr>
              <w:t>’</w:t>
            </w:r>
            <w:r w:rsidRPr="00E44784">
              <w:rPr>
                <w:b w:val="0"/>
              </w:rPr>
              <w:t>s standard service practices (see RFP Section 7.1.7.)</w:t>
            </w:r>
          </w:p>
        </w:tc>
        <w:tc>
          <w:tcPr>
            <w:tcW w:w="1638" w:type="dxa"/>
            <w:vAlign w:val="center"/>
          </w:tcPr>
          <w:p w:rsidR="008C2680" w:rsidRPr="00E44784" w:rsidRDefault="00343D57">
            <w:pPr>
              <w:keepNext/>
              <w:jc w:val="center"/>
            </w:pPr>
            <w:r w:rsidRPr="00E44784">
              <w:t>30</w:t>
            </w:r>
          </w:p>
        </w:tc>
      </w:tr>
      <w:tr w:rsidR="003D5E8F" w:rsidRPr="00E44784" w:rsidTr="00555A60">
        <w:tc>
          <w:tcPr>
            <w:tcW w:w="7218" w:type="dxa"/>
          </w:tcPr>
          <w:p w:rsidR="003D5E8F" w:rsidRPr="00E44784" w:rsidRDefault="003D5E8F" w:rsidP="005D690C">
            <w:r w:rsidRPr="00E44784">
              <w:t xml:space="preserve">Cost </w:t>
            </w:r>
            <w:r w:rsidR="00994B9E" w:rsidRPr="00E44784">
              <w:t>Reasonableness</w:t>
            </w:r>
            <w:r w:rsidR="005D690C" w:rsidRPr="00E44784">
              <w:t xml:space="preserve"> ( See RFP Section 7.4, and Attachment 7</w:t>
            </w:r>
            <w:r w:rsidR="00945983" w:rsidRPr="00E44784">
              <w:t>,</w:t>
            </w:r>
            <w:r w:rsidR="005D690C" w:rsidRPr="00E44784">
              <w:t xml:space="preserve"> Question 10, and Attachment 8)</w:t>
            </w:r>
            <w:r w:rsidR="00994B9E" w:rsidRPr="00E44784">
              <w:t xml:space="preserve"> </w:t>
            </w:r>
          </w:p>
        </w:tc>
        <w:tc>
          <w:tcPr>
            <w:tcW w:w="1638" w:type="dxa"/>
          </w:tcPr>
          <w:p w:rsidR="008C2680" w:rsidRPr="00E44784" w:rsidRDefault="003D5E8F" w:rsidP="00555A60">
            <w:pPr>
              <w:jc w:val="center"/>
            </w:pPr>
            <w:r w:rsidRPr="00E44784">
              <w:t>30</w:t>
            </w:r>
          </w:p>
        </w:tc>
      </w:tr>
      <w:tr w:rsidR="003D5E8F" w:rsidRPr="00E44784" w:rsidTr="00555A60">
        <w:tc>
          <w:tcPr>
            <w:tcW w:w="7218" w:type="dxa"/>
          </w:tcPr>
          <w:p w:rsidR="003D5E8F" w:rsidRPr="00E44784" w:rsidRDefault="003D5E8F" w:rsidP="00555A60">
            <w:r w:rsidRPr="00E44784">
              <w:t>Acceptance to Terms and Conditions</w:t>
            </w:r>
            <w:r w:rsidR="005D690C" w:rsidRPr="00E44784">
              <w:t xml:space="preserve"> (see RFP Section 7.2)</w:t>
            </w:r>
          </w:p>
        </w:tc>
        <w:tc>
          <w:tcPr>
            <w:tcW w:w="1638" w:type="dxa"/>
          </w:tcPr>
          <w:p w:rsidR="008C2680" w:rsidRPr="00E44784" w:rsidRDefault="003D5E8F" w:rsidP="00555A60">
            <w:pPr>
              <w:jc w:val="center"/>
            </w:pPr>
            <w:r w:rsidRPr="00E44784">
              <w:t>10</w:t>
            </w:r>
          </w:p>
        </w:tc>
      </w:tr>
      <w:tr w:rsidR="003D5E8F" w:rsidRPr="00E44784" w:rsidTr="00555A60">
        <w:tc>
          <w:tcPr>
            <w:tcW w:w="7218" w:type="dxa"/>
          </w:tcPr>
          <w:p w:rsidR="008C2680" w:rsidRPr="00E44784" w:rsidRDefault="00B126F3" w:rsidP="00555A60">
            <w:pPr>
              <w:ind w:left="2160"/>
              <w:jc w:val="right"/>
              <w:rPr>
                <w:b/>
              </w:rPr>
            </w:pPr>
            <w:r w:rsidRPr="00E44784">
              <w:rPr>
                <w:b/>
              </w:rPr>
              <w:t>Maximum Score</w:t>
            </w:r>
          </w:p>
        </w:tc>
        <w:tc>
          <w:tcPr>
            <w:tcW w:w="1638" w:type="dxa"/>
          </w:tcPr>
          <w:p w:rsidR="008C2680" w:rsidRPr="00E44784" w:rsidRDefault="00B126F3" w:rsidP="00555A60">
            <w:pPr>
              <w:jc w:val="center"/>
              <w:rPr>
                <w:b/>
              </w:rPr>
            </w:pPr>
            <w:r w:rsidRPr="00E44784">
              <w:rPr>
                <w:b/>
              </w:rPr>
              <w:t>100</w:t>
            </w:r>
          </w:p>
        </w:tc>
      </w:tr>
    </w:tbl>
    <w:p w:rsidR="00D95719" w:rsidRPr="00E44784" w:rsidRDefault="00D95719" w:rsidP="006562BF">
      <w:pPr>
        <w:widowControl w:val="0"/>
        <w:ind w:left="720" w:hanging="720"/>
        <w:rPr>
          <w:b/>
          <w:bCs/>
        </w:rPr>
      </w:pPr>
    </w:p>
    <w:p w:rsidR="00AE04CA" w:rsidRPr="00E44784" w:rsidRDefault="006562BF" w:rsidP="00685BF1">
      <w:pPr>
        <w:pStyle w:val="ListParagraph"/>
        <w:numPr>
          <w:ilvl w:val="0"/>
          <w:numId w:val="15"/>
        </w:numPr>
        <w:spacing w:after="240"/>
        <w:jc w:val="left"/>
      </w:pPr>
      <w:r w:rsidRPr="00E44784">
        <w:t>INTERVIEWS</w:t>
      </w:r>
    </w:p>
    <w:p w:rsidR="006562BF" w:rsidRPr="00E44784" w:rsidRDefault="006562BF" w:rsidP="00685BF1">
      <w:pPr>
        <w:widowControl w:val="0"/>
        <w:spacing w:after="240"/>
        <w:ind w:left="720"/>
      </w:pPr>
      <w:r w:rsidRPr="00E44784">
        <w:t xml:space="preserve">The AOC may conduct interviews with </w:t>
      </w:r>
      <w:r w:rsidR="000A47A6" w:rsidRPr="00E44784">
        <w:t>p</w:t>
      </w:r>
      <w:r w:rsidR="00AD59DB" w:rsidRPr="00E44784">
        <w:t>roposers</w:t>
      </w:r>
      <w:r w:rsidRPr="00E44784">
        <w:t xml:space="preserve"> to clarify aspects set forth in the</w:t>
      </w:r>
      <w:r w:rsidR="00AD59DB" w:rsidRPr="00E44784">
        <w:t>ir proposals</w:t>
      </w:r>
      <w:r w:rsidR="009C51AC" w:rsidRPr="00E44784">
        <w:t xml:space="preserve"> or to assist in finalizing the ranking of top-ranked proposals</w:t>
      </w:r>
      <w:r w:rsidRPr="00E44784">
        <w:t xml:space="preserve">.  </w:t>
      </w:r>
      <w:r w:rsidR="002B023A" w:rsidRPr="00E44784">
        <w:t xml:space="preserve">The interviews may be conducted in person or by phone.  </w:t>
      </w:r>
      <w:r w:rsidRPr="00E44784">
        <w:t>If conducted</w:t>
      </w:r>
      <w:r w:rsidR="002B023A" w:rsidRPr="00E44784">
        <w:t xml:space="preserve"> in person</w:t>
      </w:r>
      <w:r w:rsidRPr="00E44784">
        <w:t xml:space="preserve">, interviews will likely be </w:t>
      </w:r>
      <w:r w:rsidR="00E00E57" w:rsidRPr="00E44784">
        <w:t>held</w:t>
      </w:r>
      <w:r w:rsidRPr="00E44784">
        <w:t xml:space="preserve"> at the AOC’s offices in San Francisco.  The AOC will not reimburse </w:t>
      </w:r>
      <w:r w:rsidR="000A47A6" w:rsidRPr="00E44784">
        <w:t>p</w:t>
      </w:r>
      <w:r w:rsidR="00A66B5A" w:rsidRPr="00E44784">
        <w:t>roposers</w:t>
      </w:r>
      <w:r w:rsidR="000A47A6" w:rsidRPr="00E44784">
        <w:t xml:space="preserve"> for any costs it may incur to attend an interview, including any </w:t>
      </w:r>
      <w:r w:rsidRPr="00E44784">
        <w:t>travel</w:t>
      </w:r>
      <w:r w:rsidR="000A47A6" w:rsidRPr="00E44784">
        <w:t xml:space="preserve"> expenses</w:t>
      </w:r>
      <w:r w:rsidRPr="00E44784">
        <w:t xml:space="preserve"> to or from the interview location.  The AOC will notify eligible </w:t>
      </w:r>
      <w:r w:rsidR="000A47A6" w:rsidRPr="00E44784">
        <w:t>p</w:t>
      </w:r>
      <w:r w:rsidRPr="00E44784">
        <w:t>roposers regarding interview arrangements.</w:t>
      </w:r>
    </w:p>
    <w:p w:rsidR="006562BF" w:rsidRPr="00E44784" w:rsidRDefault="006562BF" w:rsidP="00685BF1">
      <w:pPr>
        <w:pStyle w:val="ListParagraph"/>
        <w:numPr>
          <w:ilvl w:val="0"/>
          <w:numId w:val="15"/>
        </w:numPr>
        <w:spacing w:after="240"/>
        <w:jc w:val="left"/>
      </w:pPr>
      <w:r w:rsidRPr="00E44784">
        <w:t>CONFIDENTIAL OR PROPRIETARY INFORMATION</w:t>
      </w:r>
    </w:p>
    <w:p w:rsidR="001C7BC9" w:rsidRPr="00E44784" w:rsidRDefault="001C7BC9" w:rsidP="001C7BC9">
      <w:pPr>
        <w:pStyle w:val="ListParagraph"/>
        <w:numPr>
          <w:ilvl w:val="1"/>
          <w:numId w:val="15"/>
        </w:numPr>
        <w:spacing w:after="240"/>
        <w:jc w:val="left"/>
        <w:rPr>
          <w:b w:val="0"/>
        </w:rPr>
      </w:pPr>
      <w:r w:rsidRPr="00E44784">
        <w:rPr>
          <w:b w:val="0"/>
        </w:rPr>
        <w:t xml:space="preserve">One copy of each proposal will be retained by the AOC for official files and will become a public record.  </w:t>
      </w:r>
      <w:r w:rsidRPr="00E44784">
        <w:rPr>
          <w:b w:val="0"/>
          <w:color w:val="000000" w:themeColor="text1"/>
        </w:rPr>
        <w:t xml:space="preserve">California judicial branch entities are subject to </w:t>
      </w:r>
      <w:r w:rsidRPr="00E44784">
        <w:rPr>
          <w:b w:val="0"/>
          <w:color w:val="000000" w:themeColor="text1"/>
        </w:rPr>
        <w:lastRenderedPageBreak/>
        <w:t xml:space="preserve">rule 10.500 of the California Rule of Court, which governs public access to judicial administrative records (see </w:t>
      </w:r>
      <w:hyperlink r:id="rId10" w:history="1">
        <w:r w:rsidRPr="00E44784">
          <w:rPr>
            <w:rStyle w:val="Hyperlink"/>
            <w:b w:val="0"/>
            <w:i/>
          </w:rPr>
          <w:t>www.courtinfo.ca.gov/cms/rules/index.cfm?title=ten&amp;linkid=rule10_500</w:t>
        </w:r>
      </w:hyperlink>
      <w:r w:rsidRPr="00E44784">
        <w:rPr>
          <w:b w:val="0"/>
          <w:color w:val="000000" w:themeColor="text1"/>
        </w:rPr>
        <w:t>).</w:t>
      </w:r>
    </w:p>
    <w:p w:rsidR="001C7BC9" w:rsidRPr="00E44784" w:rsidRDefault="001C7BC9" w:rsidP="001C7BC9">
      <w:pPr>
        <w:pStyle w:val="ListParagraph"/>
        <w:numPr>
          <w:ilvl w:val="1"/>
          <w:numId w:val="15"/>
        </w:numPr>
        <w:spacing w:after="240"/>
        <w:jc w:val="left"/>
        <w:rPr>
          <w:b w:val="0"/>
        </w:rPr>
      </w:pPr>
      <w:r w:rsidRPr="00E44784">
        <w:rPr>
          <w:b w:val="0"/>
        </w:rPr>
        <w:t>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not exempt from disclosure, the AOC will disclose the information regardless of the marking or notation seeking confidential treatment.</w:t>
      </w:r>
    </w:p>
    <w:p w:rsidR="001C7BC9" w:rsidRPr="00E44784" w:rsidRDefault="001C7BC9" w:rsidP="001C7BC9">
      <w:pPr>
        <w:pStyle w:val="ListParagraph"/>
        <w:numPr>
          <w:ilvl w:val="1"/>
          <w:numId w:val="15"/>
        </w:numPr>
        <w:spacing w:after="240"/>
        <w:jc w:val="left"/>
        <w:rPr>
          <w:b w:val="0"/>
        </w:rPr>
      </w:pPr>
      <w:r w:rsidRPr="00E44784">
        <w:rPr>
          <w:b w:val="0"/>
        </w:rPr>
        <w:t>Notwithstanding the above, the California Public Contract Code requires the public inspection of certain proposals.  If required to do so by the Public Contract Code, the AOC may disclose all information contained in a proposal, including information marked as confidential or proprietary.</w:t>
      </w:r>
    </w:p>
    <w:p w:rsidR="00933F8A" w:rsidRPr="00E44784" w:rsidRDefault="00B94738" w:rsidP="001C7BC9">
      <w:pPr>
        <w:pStyle w:val="ListParagraph"/>
        <w:keepNext/>
        <w:numPr>
          <w:ilvl w:val="0"/>
          <w:numId w:val="15"/>
        </w:numPr>
        <w:spacing w:after="240"/>
        <w:jc w:val="left"/>
      </w:pPr>
      <w:r w:rsidRPr="00E44784">
        <w:t xml:space="preserve">DISABLED VETERAN BUSINESS </w:t>
      </w:r>
      <w:r w:rsidR="00825BC4" w:rsidRPr="00E44784">
        <w:t>ENTERPRISE PARTICIPATION GOALS</w:t>
      </w:r>
    </w:p>
    <w:p w:rsidR="00825BC4" w:rsidRPr="00E44784" w:rsidRDefault="00825BC4" w:rsidP="00685BF1">
      <w:pPr>
        <w:pStyle w:val="BodyText"/>
        <w:spacing w:after="240"/>
        <w:ind w:left="720"/>
        <w:rPr>
          <w:color w:val="000000" w:themeColor="text1"/>
        </w:rPr>
      </w:pPr>
      <w:r w:rsidRPr="00E44784">
        <w:t>The AOC has waived the inclusion of DVBE participation in this solicitation.</w:t>
      </w:r>
    </w:p>
    <w:p w:rsidR="00053778" w:rsidRPr="00E44784" w:rsidRDefault="00053778" w:rsidP="00685BF1">
      <w:pPr>
        <w:pStyle w:val="ListParagraph"/>
        <w:numPr>
          <w:ilvl w:val="0"/>
          <w:numId w:val="15"/>
        </w:numPr>
        <w:spacing w:after="240"/>
        <w:jc w:val="left"/>
      </w:pPr>
      <w:r w:rsidRPr="00E44784">
        <w:t>PROTES</w:t>
      </w:r>
      <w:r w:rsidR="00715D14" w:rsidRPr="00E44784">
        <w:t>TS</w:t>
      </w:r>
    </w:p>
    <w:p w:rsidR="00053778" w:rsidRPr="00E44784" w:rsidRDefault="00053778" w:rsidP="00053778">
      <w:pPr>
        <w:ind w:left="720"/>
        <w:rPr>
          <w:noProof/>
          <w:color w:val="000000" w:themeColor="text1"/>
          <w:szCs w:val="20"/>
        </w:rPr>
      </w:pPr>
      <w:r w:rsidRPr="00E44784">
        <w:rPr>
          <w:color w:val="000000" w:themeColor="text1"/>
        </w:rPr>
        <w:t>Any protests will be handled in accordance with Chapter 7 of the Judicial Branch Contract Manual</w:t>
      </w:r>
      <w:r w:rsidR="00166197" w:rsidRPr="00E44784">
        <w:rPr>
          <w:color w:val="000000" w:themeColor="text1"/>
        </w:rPr>
        <w:t xml:space="preserve"> (see </w:t>
      </w:r>
      <w:r w:rsidR="00166197" w:rsidRPr="00E44784">
        <w:rPr>
          <w:i/>
          <w:color w:val="000000" w:themeColor="text1"/>
        </w:rPr>
        <w:t>www.courts.ca.gov/documents/jbcl-manual.pdf</w:t>
      </w:r>
      <w:r w:rsidR="00166197" w:rsidRPr="00E44784">
        <w:rPr>
          <w:color w:val="000000" w:themeColor="text1"/>
        </w:rPr>
        <w:t>)</w:t>
      </w:r>
      <w:r w:rsidRPr="00E44784">
        <w:rPr>
          <w:color w:val="000000" w:themeColor="text1"/>
        </w:rPr>
        <w:t xml:space="preserve">. Failure of a Proposer to comply with the protest procedures set forth in that chapter will render a protest inadequate and non-responsive, and will result in rejection of the protest. The deadline for the AOC to receive a solicitation specifications protest is </w:t>
      </w:r>
      <w:r w:rsidR="000A47A6" w:rsidRPr="00E44784">
        <w:rPr>
          <w:color w:val="000000" w:themeColor="text1"/>
        </w:rPr>
        <w:t xml:space="preserve">RFP Due Date </w:t>
      </w:r>
      <w:r w:rsidR="00945983" w:rsidRPr="00E44784">
        <w:rPr>
          <w:color w:val="000000" w:themeColor="text1"/>
        </w:rPr>
        <w:t xml:space="preserve">and Time </w:t>
      </w:r>
      <w:r w:rsidR="000A47A6" w:rsidRPr="00E44784">
        <w:rPr>
          <w:color w:val="000000" w:themeColor="text1"/>
        </w:rPr>
        <w:t>set forth in Table 1 of Section 4</w:t>
      </w:r>
      <w:r w:rsidRPr="00E44784">
        <w:rPr>
          <w:color w:val="000000" w:themeColor="text1"/>
        </w:rPr>
        <w:t xml:space="preserve">. Protests should be sent to: </w:t>
      </w:r>
    </w:p>
    <w:p w:rsidR="00053778" w:rsidRPr="00E44784" w:rsidRDefault="00053778" w:rsidP="00053778">
      <w:pPr>
        <w:ind w:left="720"/>
        <w:rPr>
          <w:noProof/>
          <w:color w:val="000000" w:themeColor="text1"/>
          <w:szCs w:val="20"/>
        </w:rPr>
      </w:pPr>
    </w:p>
    <w:p w:rsidR="00053778" w:rsidRPr="00E44784" w:rsidRDefault="00053778" w:rsidP="00053778">
      <w:pPr>
        <w:ind w:left="1440"/>
        <w:rPr>
          <w:color w:val="000000" w:themeColor="text1"/>
        </w:rPr>
      </w:pPr>
      <w:r w:rsidRPr="00E44784">
        <w:rPr>
          <w:color w:val="000000" w:themeColor="text1"/>
        </w:rPr>
        <w:t xml:space="preserve">AOC – Business Services </w:t>
      </w:r>
    </w:p>
    <w:p w:rsidR="00053778" w:rsidRPr="00E44784" w:rsidRDefault="00053778" w:rsidP="00053778">
      <w:pPr>
        <w:ind w:left="1440"/>
        <w:rPr>
          <w:color w:val="000000" w:themeColor="text1"/>
        </w:rPr>
      </w:pPr>
      <w:r w:rsidRPr="00E44784">
        <w:rPr>
          <w:color w:val="000000" w:themeColor="text1"/>
        </w:rPr>
        <w:t>ATTN: Protest Hearing Officer</w:t>
      </w:r>
    </w:p>
    <w:p w:rsidR="00053778" w:rsidRPr="00E44784" w:rsidRDefault="00053778" w:rsidP="00053778">
      <w:pPr>
        <w:ind w:left="1440"/>
        <w:rPr>
          <w:color w:val="000000" w:themeColor="text1"/>
        </w:rPr>
      </w:pPr>
      <w:r w:rsidRPr="00E44784">
        <w:rPr>
          <w:color w:val="000000" w:themeColor="text1"/>
        </w:rPr>
        <w:t>455 Golden Gate Avenue</w:t>
      </w:r>
    </w:p>
    <w:p w:rsidR="00053778" w:rsidRPr="00F3548B" w:rsidRDefault="00053778" w:rsidP="00053778">
      <w:pPr>
        <w:ind w:left="1440"/>
        <w:rPr>
          <w:color w:val="000000" w:themeColor="text1"/>
        </w:rPr>
      </w:pPr>
      <w:r w:rsidRPr="00E44784">
        <w:rPr>
          <w:color w:val="000000" w:themeColor="text1"/>
        </w:rPr>
        <w:t>San Francisco, CA  94102</w:t>
      </w:r>
      <w:r w:rsidRPr="00F3548B">
        <w:rPr>
          <w:color w:val="000000" w:themeColor="text1"/>
        </w:rPr>
        <w:t xml:space="preserve"> </w:t>
      </w:r>
    </w:p>
    <w:sectPr w:rsidR="00053778" w:rsidRPr="00F3548B" w:rsidSect="00D64F37">
      <w:headerReference w:type="default" r:id="rId11"/>
      <w:footerReference w:type="default" r:id="rId12"/>
      <w:pgSz w:w="12240" w:h="15840"/>
      <w:pgMar w:top="1440" w:right="1440" w:bottom="1152" w:left="1440"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167" w:rsidRDefault="00A40167" w:rsidP="00C37FF7">
      <w:r>
        <w:separator/>
      </w:r>
    </w:p>
  </w:endnote>
  <w:endnote w:type="continuationSeparator" w:id="0">
    <w:p w:rsidR="00A40167" w:rsidRDefault="00A40167"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6552"/>
      <w:docPartObj>
        <w:docPartGallery w:val="Page Numbers (Bottom of Page)"/>
        <w:docPartUnique/>
      </w:docPartObj>
    </w:sdtPr>
    <w:sdtContent>
      <w:sdt>
        <w:sdtPr>
          <w:id w:val="10826553"/>
          <w:docPartObj>
            <w:docPartGallery w:val="Page Numbers (Top of Page)"/>
            <w:docPartUnique/>
          </w:docPartObj>
        </w:sdtPr>
        <w:sdtContent>
          <w:p w:rsidR="00A40167" w:rsidRDefault="00A40167">
            <w:pPr>
              <w:pStyle w:val="Footer"/>
              <w:jc w:val="center"/>
            </w:pPr>
          </w:p>
          <w:p w:rsidR="00A40167" w:rsidRPr="00D64F37" w:rsidRDefault="00A40167">
            <w:pPr>
              <w:pStyle w:val="Footer"/>
              <w:jc w:val="center"/>
            </w:pPr>
            <w:r w:rsidRPr="00D64F37">
              <w:t xml:space="preserve">Page </w:t>
            </w:r>
            <w:fldSimple w:instr=" PAGE ">
              <w:r>
                <w:rPr>
                  <w:noProof/>
                </w:rPr>
                <w:t>12</w:t>
              </w:r>
            </w:fldSimple>
            <w:r w:rsidRPr="00D64F37">
              <w:t xml:space="preserve"> of </w:t>
            </w:r>
            <w:fldSimple w:instr=" NUMPAGES  ">
              <w:r>
                <w:rPr>
                  <w:noProof/>
                </w:rPr>
                <w:t>12</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167" w:rsidRDefault="00A40167" w:rsidP="00C37FF7">
      <w:r>
        <w:separator/>
      </w:r>
    </w:p>
  </w:footnote>
  <w:footnote w:type="continuationSeparator" w:id="0">
    <w:p w:rsidR="00A40167" w:rsidRDefault="00A40167"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67" w:rsidRPr="00E341E8" w:rsidRDefault="00A40167" w:rsidP="00C37FF7">
    <w:pPr>
      <w:pStyle w:val="CommentText"/>
      <w:tabs>
        <w:tab w:val="left" w:pos="1242"/>
      </w:tabs>
      <w:ind w:right="252"/>
      <w:jc w:val="both"/>
      <w:rPr>
        <w:color w:val="000000" w:themeColor="text1"/>
        <w:sz w:val="22"/>
        <w:szCs w:val="22"/>
      </w:rPr>
    </w:pPr>
    <w:r w:rsidRPr="00E341E8">
      <w:rPr>
        <w:color w:val="000000" w:themeColor="text1"/>
      </w:rPr>
      <w:t>RFP Title:</w:t>
    </w:r>
    <w:r>
      <w:rPr>
        <w:color w:val="000000" w:themeColor="text1"/>
      </w:rPr>
      <w:tab/>
    </w:r>
    <w:r w:rsidRPr="009C1996">
      <w:rPr>
        <w:color w:val="000000" w:themeColor="text1"/>
      </w:rPr>
      <w:t>Employee Assistance Program</w:t>
    </w:r>
  </w:p>
  <w:p w:rsidR="00A40167" w:rsidRDefault="00A40167" w:rsidP="00F220DE">
    <w:pPr>
      <w:pStyle w:val="CommentText"/>
      <w:tabs>
        <w:tab w:val="left" w:pos="1242"/>
      </w:tabs>
      <w:ind w:right="252"/>
      <w:jc w:val="both"/>
    </w:pPr>
    <w:r>
      <w:rPr>
        <w:color w:val="000000" w:themeColor="text1"/>
      </w:rPr>
      <w:t>RFP Number:</w:t>
    </w:r>
    <w:r>
      <w:rPr>
        <w:color w:val="000000" w:themeColor="text1"/>
      </w:rPr>
      <w:tab/>
      <w:t>HR-</w:t>
    </w:r>
    <w:r w:rsidRPr="009C1996">
      <w:rPr>
        <w:color w:val="000000" w:themeColor="text1"/>
      </w:rPr>
      <w:t>2012-0</w:t>
    </w:r>
    <w:r>
      <w:rPr>
        <w:color w:val="000000" w:themeColor="text1"/>
      </w:rPr>
      <w:t>1-RB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5EFD"/>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00DC3C8E"/>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i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6">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nsid w:val="43054D10"/>
    <w:multiLevelType w:val="multilevel"/>
    <w:tmpl w:val="95C4F606"/>
    <w:lvl w:ilvl="0">
      <w:start w:val="1"/>
      <w:numFmt w:val="decimal"/>
      <w:lvlText w:val="%1."/>
      <w:lvlJc w:val="left"/>
      <w:pPr>
        <w:ind w:left="720" w:hanging="720"/>
      </w:pPr>
      <w:rPr>
        <w:rFonts w:ascii="Arial" w:hAnsi="Arial" w:hint="default"/>
        <w:b w:val="0"/>
        <w:i w:val="0"/>
        <w:color w:val="auto"/>
        <w:sz w:val="20"/>
      </w:rPr>
    </w:lvl>
    <w:lvl w:ilvl="1">
      <w:start w:val="1"/>
      <w:numFmt w:val="decimal"/>
      <w:lvlText w:val="%1.%2"/>
      <w:lvlJc w:val="left"/>
      <w:pPr>
        <w:ind w:left="1440" w:hanging="720"/>
      </w:pPr>
      <w:rPr>
        <w:rFonts w:asciiTheme="minorHAnsi" w:hAnsiTheme="minorHAnsi" w:cstheme="minorHAnsi" w:hint="default"/>
        <w:b w:val="0"/>
        <w:i w:val="0"/>
        <w:color w:val="auto"/>
        <w:sz w:val="24"/>
        <w:szCs w:val="24"/>
      </w:rPr>
    </w:lvl>
    <w:lvl w:ilvl="2">
      <w:start w:val="1"/>
      <w:numFmt w:val="decimal"/>
      <w:lvlText w:val="%1.%2.%3"/>
      <w:lvlJc w:val="left"/>
      <w:pPr>
        <w:ind w:left="2160" w:hanging="720"/>
      </w:pPr>
      <w:rPr>
        <w:rFonts w:ascii="Times New Roman" w:hAnsi="Times New Roman" w:hint="default"/>
        <w:b w:val="0"/>
        <w:i w:val="0"/>
        <w:color w:val="auto"/>
        <w:sz w:val="24"/>
        <w:szCs w:val="24"/>
      </w:rPr>
    </w:lvl>
    <w:lvl w:ilvl="3">
      <w:start w:val="1"/>
      <w:numFmt w:val="lowerLetter"/>
      <w:lvlText w:val="%4."/>
      <w:lvlJc w:val="left"/>
      <w:pPr>
        <w:ind w:left="2880" w:hanging="720"/>
      </w:pPr>
      <w:rPr>
        <w:rFonts w:ascii="Times New Roman" w:hAnsi="Times New Roman" w:cs="Times New Roman" w:hint="default"/>
        <w:b w:val="0"/>
        <w:sz w:val="24"/>
        <w:szCs w:val="24"/>
      </w:rPr>
    </w:lvl>
    <w:lvl w:ilvl="4">
      <w:start w:val="1"/>
      <w:numFmt w:val="bullet"/>
      <w:lvlText w:val=""/>
      <w:lvlJc w:val="left"/>
      <w:pPr>
        <w:ind w:left="3600" w:hanging="720"/>
      </w:pPr>
      <w:rPr>
        <w:rFonts w:ascii="Symbol" w:hAnsi="Symbol" w:hint="default"/>
        <w:color w:val="auto"/>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5455056F"/>
    <w:multiLevelType w:val="multilevel"/>
    <w:tmpl w:val="3A289CD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1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hint="default"/>
      </w:rPr>
    </w:lvl>
    <w:lvl w:ilvl="1" w:tplc="F64C5A18">
      <w:start w:val="1"/>
      <w:numFmt w:val="lowerLetter"/>
      <w:lvlText w:val="%2."/>
      <w:lvlJc w:val="left"/>
      <w:pPr>
        <w:tabs>
          <w:tab w:val="num" w:pos="1454"/>
        </w:tabs>
        <w:ind w:left="1454" w:hanging="360"/>
      </w:pPr>
    </w:lvl>
    <w:lvl w:ilvl="2" w:tplc="DB6AFD3A" w:tentative="1">
      <w:start w:val="1"/>
      <w:numFmt w:val="lowerRoman"/>
      <w:lvlText w:val="%3."/>
      <w:lvlJc w:val="right"/>
      <w:pPr>
        <w:tabs>
          <w:tab w:val="num" w:pos="2174"/>
        </w:tabs>
        <w:ind w:left="2174" w:hanging="180"/>
      </w:pPr>
    </w:lvl>
    <w:lvl w:ilvl="3" w:tplc="46B4E1B6" w:tentative="1">
      <w:start w:val="1"/>
      <w:numFmt w:val="decimal"/>
      <w:lvlText w:val="%4."/>
      <w:lvlJc w:val="left"/>
      <w:pPr>
        <w:tabs>
          <w:tab w:val="num" w:pos="2894"/>
        </w:tabs>
        <w:ind w:left="2894" w:hanging="360"/>
      </w:pPr>
    </w:lvl>
    <w:lvl w:ilvl="4" w:tplc="9B385DD4" w:tentative="1">
      <w:start w:val="1"/>
      <w:numFmt w:val="lowerLetter"/>
      <w:lvlText w:val="%5."/>
      <w:lvlJc w:val="left"/>
      <w:pPr>
        <w:tabs>
          <w:tab w:val="num" w:pos="3614"/>
        </w:tabs>
        <w:ind w:left="3614" w:hanging="360"/>
      </w:pPr>
    </w:lvl>
    <w:lvl w:ilvl="5" w:tplc="22DEEDFE" w:tentative="1">
      <w:start w:val="1"/>
      <w:numFmt w:val="lowerRoman"/>
      <w:lvlText w:val="%6."/>
      <w:lvlJc w:val="right"/>
      <w:pPr>
        <w:tabs>
          <w:tab w:val="num" w:pos="4334"/>
        </w:tabs>
        <w:ind w:left="4334" w:hanging="180"/>
      </w:pPr>
    </w:lvl>
    <w:lvl w:ilvl="6" w:tplc="E95C1CCE" w:tentative="1">
      <w:start w:val="1"/>
      <w:numFmt w:val="decimal"/>
      <w:lvlText w:val="%7."/>
      <w:lvlJc w:val="left"/>
      <w:pPr>
        <w:tabs>
          <w:tab w:val="num" w:pos="5054"/>
        </w:tabs>
        <w:ind w:left="5054" w:hanging="360"/>
      </w:pPr>
    </w:lvl>
    <w:lvl w:ilvl="7" w:tplc="7AAE05F8" w:tentative="1">
      <w:start w:val="1"/>
      <w:numFmt w:val="lowerLetter"/>
      <w:lvlText w:val="%8."/>
      <w:lvlJc w:val="left"/>
      <w:pPr>
        <w:tabs>
          <w:tab w:val="num" w:pos="5774"/>
        </w:tabs>
        <w:ind w:left="5774" w:hanging="360"/>
      </w:pPr>
    </w:lvl>
    <w:lvl w:ilvl="8" w:tplc="4E826A50" w:tentative="1">
      <w:start w:val="1"/>
      <w:numFmt w:val="lowerRoman"/>
      <w:lvlText w:val="%9."/>
      <w:lvlJc w:val="right"/>
      <w:pPr>
        <w:tabs>
          <w:tab w:val="num" w:pos="6494"/>
        </w:tabs>
        <w:ind w:left="6494" w:hanging="180"/>
      </w:pPr>
    </w:lvl>
  </w:abstractNum>
  <w:abstractNum w:abstractNumId="14">
    <w:nsid w:val="67F60A27"/>
    <w:multiLevelType w:val="multilevel"/>
    <w:tmpl w:val="923CAA56"/>
    <w:lvl w:ilvl="0">
      <w:start w:val="1"/>
      <w:numFmt w:val="decimal"/>
      <w:pStyle w:val="ListParagraph"/>
      <w:lvlText w:val="%1.0"/>
      <w:lvlJc w:val="left"/>
      <w:pPr>
        <w:ind w:left="1440" w:hanging="720"/>
      </w:pPr>
      <w:rPr>
        <w:rFonts w:hint="default"/>
        <w:b/>
        <w:color w:val="auto"/>
      </w:rPr>
    </w:lvl>
    <w:lvl w:ilvl="1">
      <w:start w:val="1"/>
      <w:numFmt w:val="decimal"/>
      <w:lvlText w:val="%1.%2"/>
      <w:lvlJc w:val="left"/>
      <w:pPr>
        <w:ind w:left="2340" w:hanging="720"/>
      </w:pPr>
      <w:rPr>
        <w:rFonts w:asciiTheme="minorHAnsi" w:hAnsiTheme="minorHAnsi" w:cstheme="minorHAnsi" w:hint="default"/>
        <w:b w:val="0"/>
        <w:i w:val="0"/>
        <w:color w:val="auto"/>
        <w:sz w:val="24"/>
        <w:szCs w:val="24"/>
      </w:rPr>
    </w:lvl>
    <w:lvl w:ilvl="2">
      <w:start w:val="1"/>
      <w:numFmt w:val="decimal"/>
      <w:lvlText w:val="%1.%2.%3"/>
      <w:lvlJc w:val="left"/>
      <w:pPr>
        <w:ind w:left="3060" w:hanging="720"/>
      </w:pPr>
      <w:rPr>
        <w:rFonts w:ascii="Times New Roman" w:hAnsi="Times New Roman" w:hint="default"/>
        <w:b w:val="0"/>
        <w:i w:val="0"/>
        <w:color w:val="auto"/>
        <w:sz w:val="24"/>
        <w:szCs w:val="24"/>
      </w:rPr>
    </w:lvl>
    <w:lvl w:ilvl="3">
      <w:start w:val="1"/>
      <w:numFmt w:val="lowerLetter"/>
      <w:lvlText w:val="%4."/>
      <w:lvlJc w:val="left"/>
      <w:pPr>
        <w:ind w:left="3240" w:hanging="360"/>
      </w:pPr>
      <w:rPr>
        <w:rFonts w:ascii="Times New Roman" w:hAnsi="Times New Roman" w:cs="Times New Roman" w:hint="default"/>
        <w:b w:val="0"/>
        <w:sz w:val="24"/>
        <w:szCs w:val="24"/>
      </w:rPr>
    </w:lvl>
    <w:lvl w:ilvl="4">
      <w:start w:val="1"/>
      <w:numFmt w:val="bullet"/>
      <w:lvlText w:val=""/>
      <w:lvlJc w:val="left"/>
      <w:pPr>
        <w:ind w:left="3600" w:hanging="360"/>
      </w:pPr>
      <w:rPr>
        <w:rFonts w:ascii="Symbol" w:hAnsi="Symbol" w:hint="default"/>
        <w:color w:val="auto"/>
      </w:rPr>
    </w:lvl>
    <w:lvl w:ilvl="5">
      <w:start w:val="1"/>
      <w:numFmt w:val="decimal"/>
      <w:lvlText w:val="%1.%2.%3.%4.%5.%6"/>
      <w:lvlJc w:val="left"/>
      <w:pPr>
        <w:ind w:left="585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830" w:hanging="1440"/>
      </w:pPr>
      <w:rPr>
        <w:rFonts w:hint="default"/>
      </w:rPr>
    </w:lvl>
    <w:lvl w:ilvl="8">
      <w:start w:val="1"/>
      <w:numFmt w:val="decimal"/>
      <w:lvlText w:val="%1.%2.%3.%4.%5.%6.%7.%8.%9"/>
      <w:lvlJc w:val="left"/>
      <w:pPr>
        <w:ind w:left="9000" w:hanging="1800"/>
      </w:pPr>
      <w:rPr>
        <w:rFonts w:hint="default"/>
      </w:rPr>
    </w:lvl>
  </w:abstractNum>
  <w:abstractNum w:abstractNumId="15">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12"/>
  </w:num>
  <w:num w:numId="2">
    <w:abstractNumId w:val="1"/>
  </w:num>
  <w:num w:numId="3">
    <w:abstractNumId w:val="8"/>
  </w:num>
  <w:num w:numId="4">
    <w:abstractNumId w:val="10"/>
  </w:num>
  <w:num w:numId="5">
    <w:abstractNumId w:val="3"/>
  </w:num>
  <w:num w:numId="6">
    <w:abstractNumId w:val="11"/>
  </w:num>
  <w:num w:numId="7">
    <w:abstractNumId w:val="13"/>
  </w:num>
  <w:num w:numId="8">
    <w:abstractNumId w:val="2"/>
  </w:num>
  <w:num w:numId="9">
    <w:abstractNumId w:val="6"/>
  </w:num>
  <w:num w:numId="10">
    <w:abstractNumId w:val="15"/>
  </w:num>
  <w:num w:numId="11">
    <w:abstractNumId w:val="4"/>
  </w:num>
  <w:num w:numId="12">
    <w:abstractNumId w:val="5"/>
  </w:num>
  <w:num w:numId="13">
    <w:abstractNumId w:val="7"/>
  </w:num>
  <w:num w:numId="14">
    <w:abstractNumId w:val="14"/>
  </w:num>
  <w:num w:numId="15">
    <w:abstractNumId w:val="0"/>
  </w:num>
  <w:num w:numId="16">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rAzf+zKPJEIermm+MDVYU1uJmcI=" w:salt="vW/PESQp9KPAJjCCfgDOJA=="/>
  <w:defaultTabStop w:val="720"/>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C37FF7"/>
    <w:rsid w:val="00002D85"/>
    <w:rsid w:val="00007831"/>
    <w:rsid w:val="00017B10"/>
    <w:rsid w:val="0002344F"/>
    <w:rsid w:val="00023B38"/>
    <w:rsid w:val="00024693"/>
    <w:rsid w:val="00025616"/>
    <w:rsid w:val="00026859"/>
    <w:rsid w:val="00034374"/>
    <w:rsid w:val="000356BE"/>
    <w:rsid w:val="00035C79"/>
    <w:rsid w:val="00036DCE"/>
    <w:rsid w:val="00036F12"/>
    <w:rsid w:val="00040032"/>
    <w:rsid w:val="0004492D"/>
    <w:rsid w:val="00045A1E"/>
    <w:rsid w:val="00046C6E"/>
    <w:rsid w:val="00051138"/>
    <w:rsid w:val="00053778"/>
    <w:rsid w:val="00055A65"/>
    <w:rsid w:val="0006263A"/>
    <w:rsid w:val="00064375"/>
    <w:rsid w:val="000701D7"/>
    <w:rsid w:val="00070FCA"/>
    <w:rsid w:val="00073C7D"/>
    <w:rsid w:val="00080391"/>
    <w:rsid w:val="00082230"/>
    <w:rsid w:val="00082694"/>
    <w:rsid w:val="00083001"/>
    <w:rsid w:val="000862FE"/>
    <w:rsid w:val="00086490"/>
    <w:rsid w:val="0009242C"/>
    <w:rsid w:val="000A47A6"/>
    <w:rsid w:val="000B0813"/>
    <w:rsid w:val="000B1F16"/>
    <w:rsid w:val="000B6B46"/>
    <w:rsid w:val="000C4EBB"/>
    <w:rsid w:val="000D05AC"/>
    <w:rsid w:val="000D18C1"/>
    <w:rsid w:val="000D228A"/>
    <w:rsid w:val="000D43CC"/>
    <w:rsid w:val="000D4C75"/>
    <w:rsid w:val="000D5C97"/>
    <w:rsid w:val="000D5FD6"/>
    <w:rsid w:val="000D6483"/>
    <w:rsid w:val="000D6AE3"/>
    <w:rsid w:val="000E5382"/>
    <w:rsid w:val="000E67BF"/>
    <w:rsid w:val="000F23F2"/>
    <w:rsid w:val="000F4C6D"/>
    <w:rsid w:val="00101C48"/>
    <w:rsid w:val="00103395"/>
    <w:rsid w:val="00111C74"/>
    <w:rsid w:val="00114C5C"/>
    <w:rsid w:val="00115B45"/>
    <w:rsid w:val="00117875"/>
    <w:rsid w:val="001220FD"/>
    <w:rsid w:val="0012423E"/>
    <w:rsid w:val="0012621F"/>
    <w:rsid w:val="001303B1"/>
    <w:rsid w:val="00133F5A"/>
    <w:rsid w:val="001346B9"/>
    <w:rsid w:val="00136A98"/>
    <w:rsid w:val="00137B62"/>
    <w:rsid w:val="00142C87"/>
    <w:rsid w:val="001450A6"/>
    <w:rsid w:val="001462FA"/>
    <w:rsid w:val="00147600"/>
    <w:rsid w:val="00147E4D"/>
    <w:rsid w:val="00152BF8"/>
    <w:rsid w:val="00153F1C"/>
    <w:rsid w:val="00163E71"/>
    <w:rsid w:val="00163EFA"/>
    <w:rsid w:val="00166197"/>
    <w:rsid w:val="0016724A"/>
    <w:rsid w:val="001720DD"/>
    <w:rsid w:val="00181FDA"/>
    <w:rsid w:val="0019098E"/>
    <w:rsid w:val="0019663E"/>
    <w:rsid w:val="00197187"/>
    <w:rsid w:val="001A1567"/>
    <w:rsid w:val="001A38EF"/>
    <w:rsid w:val="001A55D5"/>
    <w:rsid w:val="001B14CA"/>
    <w:rsid w:val="001B4A27"/>
    <w:rsid w:val="001C1809"/>
    <w:rsid w:val="001C196A"/>
    <w:rsid w:val="001C5820"/>
    <w:rsid w:val="001C7519"/>
    <w:rsid w:val="001C7BC9"/>
    <w:rsid w:val="001D6FEB"/>
    <w:rsid w:val="001E0F87"/>
    <w:rsid w:val="001E612A"/>
    <w:rsid w:val="001E7AC4"/>
    <w:rsid w:val="001F7006"/>
    <w:rsid w:val="00200D1E"/>
    <w:rsid w:val="0020192C"/>
    <w:rsid w:val="00202F08"/>
    <w:rsid w:val="00204B2E"/>
    <w:rsid w:val="002102F5"/>
    <w:rsid w:val="00214B5A"/>
    <w:rsid w:val="00224EB6"/>
    <w:rsid w:val="00227479"/>
    <w:rsid w:val="00233D32"/>
    <w:rsid w:val="002416FE"/>
    <w:rsid w:val="00246470"/>
    <w:rsid w:val="00251029"/>
    <w:rsid w:val="00251CC8"/>
    <w:rsid w:val="00253633"/>
    <w:rsid w:val="00254C7C"/>
    <w:rsid w:val="002622C4"/>
    <w:rsid w:val="00262320"/>
    <w:rsid w:val="00271235"/>
    <w:rsid w:val="00276072"/>
    <w:rsid w:val="002820ED"/>
    <w:rsid w:val="002857AE"/>
    <w:rsid w:val="00287F5A"/>
    <w:rsid w:val="00292053"/>
    <w:rsid w:val="00292D4A"/>
    <w:rsid w:val="002A60D6"/>
    <w:rsid w:val="002B023A"/>
    <w:rsid w:val="002B627A"/>
    <w:rsid w:val="002C64BD"/>
    <w:rsid w:val="002C73B0"/>
    <w:rsid w:val="002D07F1"/>
    <w:rsid w:val="002D233C"/>
    <w:rsid w:val="002D50C8"/>
    <w:rsid w:val="002E1CD2"/>
    <w:rsid w:val="002E2AF5"/>
    <w:rsid w:val="002E7965"/>
    <w:rsid w:val="002F1052"/>
    <w:rsid w:val="0030037A"/>
    <w:rsid w:val="003020A2"/>
    <w:rsid w:val="00306461"/>
    <w:rsid w:val="0030797F"/>
    <w:rsid w:val="0031272D"/>
    <w:rsid w:val="00326811"/>
    <w:rsid w:val="00327099"/>
    <w:rsid w:val="003270C6"/>
    <w:rsid w:val="0032785B"/>
    <w:rsid w:val="00330B94"/>
    <w:rsid w:val="0033350A"/>
    <w:rsid w:val="00333A7A"/>
    <w:rsid w:val="003364C3"/>
    <w:rsid w:val="003404FF"/>
    <w:rsid w:val="0034121A"/>
    <w:rsid w:val="003418D4"/>
    <w:rsid w:val="00343D57"/>
    <w:rsid w:val="003444EC"/>
    <w:rsid w:val="00350B68"/>
    <w:rsid w:val="00356DCE"/>
    <w:rsid w:val="00356ECA"/>
    <w:rsid w:val="00357D17"/>
    <w:rsid w:val="00360FAC"/>
    <w:rsid w:val="0036121D"/>
    <w:rsid w:val="003730F5"/>
    <w:rsid w:val="003801F1"/>
    <w:rsid w:val="003810DA"/>
    <w:rsid w:val="00387918"/>
    <w:rsid w:val="003901FB"/>
    <w:rsid w:val="003925CE"/>
    <w:rsid w:val="00395B94"/>
    <w:rsid w:val="00396FE0"/>
    <w:rsid w:val="003979EC"/>
    <w:rsid w:val="003A4D99"/>
    <w:rsid w:val="003A6A2E"/>
    <w:rsid w:val="003B4888"/>
    <w:rsid w:val="003C14B3"/>
    <w:rsid w:val="003C214B"/>
    <w:rsid w:val="003C785C"/>
    <w:rsid w:val="003D25AC"/>
    <w:rsid w:val="003D5784"/>
    <w:rsid w:val="003D5E8F"/>
    <w:rsid w:val="003E46FF"/>
    <w:rsid w:val="003E5035"/>
    <w:rsid w:val="003E6C16"/>
    <w:rsid w:val="003F7548"/>
    <w:rsid w:val="00400CA2"/>
    <w:rsid w:val="00402C20"/>
    <w:rsid w:val="004074E7"/>
    <w:rsid w:val="00407BC9"/>
    <w:rsid w:val="0041475A"/>
    <w:rsid w:val="00426EF9"/>
    <w:rsid w:val="00434EDC"/>
    <w:rsid w:val="0044047E"/>
    <w:rsid w:val="004425FB"/>
    <w:rsid w:val="00442B0B"/>
    <w:rsid w:val="00444507"/>
    <w:rsid w:val="0045618D"/>
    <w:rsid w:val="004579AB"/>
    <w:rsid w:val="00470A12"/>
    <w:rsid w:val="00483907"/>
    <w:rsid w:val="004848AB"/>
    <w:rsid w:val="00491866"/>
    <w:rsid w:val="004965C7"/>
    <w:rsid w:val="004968F4"/>
    <w:rsid w:val="004A21C3"/>
    <w:rsid w:val="004A324A"/>
    <w:rsid w:val="004A337A"/>
    <w:rsid w:val="004A52BE"/>
    <w:rsid w:val="004B1744"/>
    <w:rsid w:val="004B38F7"/>
    <w:rsid w:val="004B4141"/>
    <w:rsid w:val="004B4606"/>
    <w:rsid w:val="004B6B46"/>
    <w:rsid w:val="004B7BEE"/>
    <w:rsid w:val="004C0064"/>
    <w:rsid w:val="004C0BC2"/>
    <w:rsid w:val="004C23D7"/>
    <w:rsid w:val="004C4750"/>
    <w:rsid w:val="004E5EA1"/>
    <w:rsid w:val="004E669D"/>
    <w:rsid w:val="004F1696"/>
    <w:rsid w:val="004F54BF"/>
    <w:rsid w:val="00501FF0"/>
    <w:rsid w:val="00502A3B"/>
    <w:rsid w:val="005054D6"/>
    <w:rsid w:val="005065DC"/>
    <w:rsid w:val="00510171"/>
    <w:rsid w:val="0052209B"/>
    <w:rsid w:val="0052252F"/>
    <w:rsid w:val="00527D18"/>
    <w:rsid w:val="005317D1"/>
    <w:rsid w:val="00532899"/>
    <w:rsid w:val="005444F3"/>
    <w:rsid w:val="005472CA"/>
    <w:rsid w:val="00547DF8"/>
    <w:rsid w:val="00555A60"/>
    <w:rsid w:val="00556806"/>
    <w:rsid w:val="005575BC"/>
    <w:rsid w:val="005607DF"/>
    <w:rsid w:val="00562593"/>
    <w:rsid w:val="005652D7"/>
    <w:rsid w:val="005715D6"/>
    <w:rsid w:val="00571656"/>
    <w:rsid w:val="00574253"/>
    <w:rsid w:val="00577A21"/>
    <w:rsid w:val="00585FDD"/>
    <w:rsid w:val="00593CCE"/>
    <w:rsid w:val="005946B6"/>
    <w:rsid w:val="00594DEE"/>
    <w:rsid w:val="00595811"/>
    <w:rsid w:val="00595822"/>
    <w:rsid w:val="005A6547"/>
    <w:rsid w:val="005B04DF"/>
    <w:rsid w:val="005B186A"/>
    <w:rsid w:val="005B6BFA"/>
    <w:rsid w:val="005B6EEC"/>
    <w:rsid w:val="005C3EDD"/>
    <w:rsid w:val="005D18FE"/>
    <w:rsid w:val="005D3D67"/>
    <w:rsid w:val="005D5506"/>
    <w:rsid w:val="005D56D0"/>
    <w:rsid w:val="005D5A0F"/>
    <w:rsid w:val="005D5DC3"/>
    <w:rsid w:val="005D690C"/>
    <w:rsid w:val="005E2F5C"/>
    <w:rsid w:val="005F3F8D"/>
    <w:rsid w:val="005F597D"/>
    <w:rsid w:val="005F5C25"/>
    <w:rsid w:val="005F6E88"/>
    <w:rsid w:val="006114A0"/>
    <w:rsid w:val="00616BD3"/>
    <w:rsid w:val="00620E1F"/>
    <w:rsid w:val="00624AEA"/>
    <w:rsid w:val="00626B27"/>
    <w:rsid w:val="00632684"/>
    <w:rsid w:val="00636806"/>
    <w:rsid w:val="00640DD7"/>
    <w:rsid w:val="00640E2C"/>
    <w:rsid w:val="00646261"/>
    <w:rsid w:val="006467B5"/>
    <w:rsid w:val="00652F20"/>
    <w:rsid w:val="006531F6"/>
    <w:rsid w:val="00653392"/>
    <w:rsid w:val="006537F3"/>
    <w:rsid w:val="00653BA6"/>
    <w:rsid w:val="006562BF"/>
    <w:rsid w:val="00660ABC"/>
    <w:rsid w:val="006631ED"/>
    <w:rsid w:val="00664732"/>
    <w:rsid w:val="00675C38"/>
    <w:rsid w:val="0068288F"/>
    <w:rsid w:val="00683B95"/>
    <w:rsid w:val="00685018"/>
    <w:rsid w:val="00685BF1"/>
    <w:rsid w:val="006A2DA7"/>
    <w:rsid w:val="006A72DD"/>
    <w:rsid w:val="006B20AC"/>
    <w:rsid w:val="006B2B5A"/>
    <w:rsid w:val="006B54D0"/>
    <w:rsid w:val="006B572B"/>
    <w:rsid w:val="006C1A1B"/>
    <w:rsid w:val="006D02BE"/>
    <w:rsid w:val="006D0B8B"/>
    <w:rsid w:val="006D28CE"/>
    <w:rsid w:val="006D58C4"/>
    <w:rsid w:val="006D6F0B"/>
    <w:rsid w:val="006E1542"/>
    <w:rsid w:val="006E1F73"/>
    <w:rsid w:val="006E24D0"/>
    <w:rsid w:val="006E4406"/>
    <w:rsid w:val="006F0B7C"/>
    <w:rsid w:val="006F0EDB"/>
    <w:rsid w:val="006F6D6E"/>
    <w:rsid w:val="00704BD1"/>
    <w:rsid w:val="007145FD"/>
    <w:rsid w:val="00715D14"/>
    <w:rsid w:val="007220A6"/>
    <w:rsid w:val="0072394A"/>
    <w:rsid w:val="007313DF"/>
    <w:rsid w:val="00740104"/>
    <w:rsid w:val="00747CBA"/>
    <w:rsid w:val="0075335D"/>
    <w:rsid w:val="007533EA"/>
    <w:rsid w:val="00753F60"/>
    <w:rsid w:val="00754C71"/>
    <w:rsid w:val="0076465F"/>
    <w:rsid w:val="00766158"/>
    <w:rsid w:val="007712BC"/>
    <w:rsid w:val="00772663"/>
    <w:rsid w:val="00774FB2"/>
    <w:rsid w:val="007876FD"/>
    <w:rsid w:val="007A0851"/>
    <w:rsid w:val="007B0E96"/>
    <w:rsid w:val="007B4327"/>
    <w:rsid w:val="007B7141"/>
    <w:rsid w:val="007B7AC8"/>
    <w:rsid w:val="007C0684"/>
    <w:rsid w:val="007C4712"/>
    <w:rsid w:val="007C7C2D"/>
    <w:rsid w:val="007D0698"/>
    <w:rsid w:val="007D1CCE"/>
    <w:rsid w:val="007D39C7"/>
    <w:rsid w:val="007D55C3"/>
    <w:rsid w:val="007D58E9"/>
    <w:rsid w:val="007E5082"/>
    <w:rsid w:val="007F6F71"/>
    <w:rsid w:val="00800897"/>
    <w:rsid w:val="0080504E"/>
    <w:rsid w:val="0080611E"/>
    <w:rsid w:val="00806692"/>
    <w:rsid w:val="00811F6E"/>
    <w:rsid w:val="008121F2"/>
    <w:rsid w:val="008136DB"/>
    <w:rsid w:val="00825BC4"/>
    <w:rsid w:val="00826A5D"/>
    <w:rsid w:val="00830B20"/>
    <w:rsid w:val="008318EE"/>
    <w:rsid w:val="00831D5F"/>
    <w:rsid w:val="0083274C"/>
    <w:rsid w:val="00834E14"/>
    <w:rsid w:val="008375F0"/>
    <w:rsid w:val="008404EE"/>
    <w:rsid w:val="008405A5"/>
    <w:rsid w:val="00843F8C"/>
    <w:rsid w:val="0084582F"/>
    <w:rsid w:val="008465EC"/>
    <w:rsid w:val="00857DF2"/>
    <w:rsid w:val="008610BF"/>
    <w:rsid w:val="0087785D"/>
    <w:rsid w:val="0088206E"/>
    <w:rsid w:val="00886828"/>
    <w:rsid w:val="00891E2C"/>
    <w:rsid w:val="00892973"/>
    <w:rsid w:val="00893C52"/>
    <w:rsid w:val="00897369"/>
    <w:rsid w:val="008B3420"/>
    <w:rsid w:val="008C2680"/>
    <w:rsid w:val="008C5056"/>
    <w:rsid w:val="008D07C3"/>
    <w:rsid w:val="008D52E2"/>
    <w:rsid w:val="008E3A79"/>
    <w:rsid w:val="008F01D6"/>
    <w:rsid w:val="008F4ED7"/>
    <w:rsid w:val="008F687B"/>
    <w:rsid w:val="0090118E"/>
    <w:rsid w:val="009016CC"/>
    <w:rsid w:val="00902769"/>
    <w:rsid w:val="00905DAA"/>
    <w:rsid w:val="00910AA8"/>
    <w:rsid w:val="00912366"/>
    <w:rsid w:val="00914A4E"/>
    <w:rsid w:val="009170DB"/>
    <w:rsid w:val="009211B9"/>
    <w:rsid w:val="00933F8A"/>
    <w:rsid w:val="00933FBF"/>
    <w:rsid w:val="00934799"/>
    <w:rsid w:val="00934DDB"/>
    <w:rsid w:val="00937818"/>
    <w:rsid w:val="009419A9"/>
    <w:rsid w:val="00943A31"/>
    <w:rsid w:val="00945983"/>
    <w:rsid w:val="00945B36"/>
    <w:rsid w:val="00953B24"/>
    <w:rsid w:val="00967812"/>
    <w:rsid w:val="00967E54"/>
    <w:rsid w:val="0097286C"/>
    <w:rsid w:val="009732A4"/>
    <w:rsid w:val="00981A5E"/>
    <w:rsid w:val="00994B9E"/>
    <w:rsid w:val="009A1372"/>
    <w:rsid w:val="009A26C2"/>
    <w:rsid w:val="009A46BB"/>
    <w:rsid w:val="009A5AF2"/>
    <w:rsid w:val="009B26FE"/>
    <w:rsid w:val="009B3CC2"/>
    <w:rsid w:val="009B7587"/>
    <w:rsid w:val="009B7A7E"/>
    <w:rsid w:val="009C059B"/>
    <w:rsid w:val="009C1666"/>
    <w:rsid w:val="009C1996"/>
    <w:rsid w:val="009C38A6"/>
    <w:rsid w:val="009C51AC"/>
    <w:rsid w:val="009D2629"/>
    <w:rsid w:val="009D3F5C"/>
    <w:rsid w:val="009D425B"/>
    <w:rsid w:val="009E0110"/>
    <w:rsid w:val="009E06A1"/>
    <w:rsid w:val="009E1EDA"/>
    <w:rsid w:val="009E3BFE"/>
    <w:rsid w:val="009E6B6B"/>
    <w:rsid w:val="009F2CF0"/>
    <w:rsid w:val="009F34E8"/>
    <w:rsid w:val="00A01422"/>
    <w:rsid w:val="00A02E08"/>
    <w:rsid w:val="00A04492"/>
    <w:rsid w:val="00A05311"/>
    <w:rsid w:val="00A07969"/>
    <w:rsid w:val="00A100C3"/>
    <w:rsid w:val="00A12F74"/>
    <w:rsid w:val="00A154F4"/>
    <w:rsid w:val="00A2052D"/>
    <w:rsid w:val="00A230B2"/>
    <w:rsid w:val="00A234CD"/>
    <w:rsid w:val="00A259C0"/>
    <w:rsid w:val="00A26D7D"/>
    <w:rsid w:val="00A30860"/>
    <w:rsid w:val="00A31C2B"/>
    <w:rsid w:val="00A40167"/>
    <w:rsid w:val="00A42DC6"/>
    <w:rsid w:val="00A47652"/>
    <w:rsid w:val="00A50B42"/>
    <w:rsid w:val="00A541BB"/>
    <w:rsid w:val="00A55A9B"/>
    <w:rsid w:val="00A6109A"/>
    <w:rsid w:val="00A6412B"/>
    <w:rsid w:val="00A65950"/>
    <w:rsid w:val="00A65FAE"/>
    <w:rsid w:val="00A66B5A"/>
    <w:rsid w:val="00A708E2"/>
    <w:rsid w:val="00A72DFE"/>
    <w:rsid w:val="00A741C6"/>
    <w:rsid w:val="00A74DB8"/>
    <w:rsid w:val="00A80B13"/>
    <w:rsid w:val="00A8251F"/>
    <w:rsid w:val="00A84D3E"/>
    <w:rsid w:val="00A87D87"/>
    <w:rsid w:val="00A91BE0"/>
    <w:rsid w:val="00A9408B"/>
    <w:rsid w:val="00AA07A8"/>
    <w:rsid w:val="00AB2FC2"/>
    <w:rsid w:val="00AB585B"/>
    <w:rsid w:val="00AB5BA4"/>
    <w:rsid w:val="00AC44D4"/>
    <w:rsid w:val="00AC79E9"/>
    <w:rsid w:val="00AD4C96"/>
    <w:rsid w:val="00AD59DB"/>
    <w:rsid w:val="00AD665A"/>
    <w:rsid w:val="00AE04CA"/>
    <w:rsid w:val="00AE3BDC"/>
    <w:rsid w:val="00AF0EFB"/>
    <w:rsid w:val="00AF10E1"/>
    <w:rsid w:val="00AF530A"/>
    <w:rsid w:val="00B0009B"/>
    <w:rsid w:val="00B0091F"/>
    <w:rsid w:val="00B03280"/>
    <w:rsid w:val="00B076F4"/>
    <w:rsid w:val="00B115BD"/>
    <w:rsid w:val="00B126F3"/>
    <w:rsid w:val="00B23242"/>
    <w:rsid w:val="00B264A5"/>
    <w:rsid w:val="00B273A9"/>
    <w:rsid w:val="00B27A74"/>
    <w:rsid w:val="00B30989"/>
    <w:rsid w:val="00B41390"/>
    <w:rsid w:val="00B42B2E"/>
    <w:rsid w:val="00B42C33"/>
    <w:rsid w:val="00B56734"/>
    <w:rsid w:val="00B56EC0"/>
    <w:rsid w:val="00B60F34"/>
    <w:rsid w:val="00B66F7D"/>
    <w:rsid w:val="00B71D68"/>
    <w:rsid w:val="00B7421B"/>
    <w:rsid w:val="00B80649"/>
    <w:rsid w:val="00B8213C"/>
    <w:rsid w:val="00B82A58"/>
    <w:rsid w:val="00B83135"/>
    <w:rsid w:val="00B87A7E"/>
    <w:rsid w:val="00B900E0"/>
    <w:rsid w:val="00B90602"/>
    <w:rsid w:val="00B94738"/>
    <w:rsid w:val="00B96A30"/>
    <w:rsid w:val="00BA17D7"/>
    <w:rsid w:val="00BA3B58"/>
    <w:rsid w:val="00BA4F5A"/>
    <w:rsid w:val="00BA7389"/>
    <w:rsid w:val="00BB0779"/>
    <w:rsid w:val="00BB3474"/>
    <w:rsid w:val="00BB3B05"/>
    <w:rsid w:val="00BB76EE"/>
    <w:rsid w:val="00BD0D2D"/>
    <w:rsid w:val="00BD3DD2"/>
    <w:rsid w:val="00BD4F39"/>
    <w:rsid w:val="00BD4FD9"/>
    <w:rsid w:val="00BD65B9"/>
    <w:rsid w:val="00BD6CDA"/>
    <w:rsid w:val="00BE1290"/>
    <w:rsid w:val="00BE64DE"/>
    <w:rsid w:val="00BF3282"/>
    <w:rsid w:val="00BF597D"/>
    <w:rsid w:val="00C02295"/>
    <w:rsid w:val="00C026F1"/>
    <w:rsid w:val="00C03B88"/>
    <w:rsid w:val="00C041EE"/>
    <w:rsid w:val="00C04CE2"/>
    <w:rsid w:val="00C23A41"/>
    <w:rsid w:val="00C251BD"/>
    <w:rsid w:val="00C26F0E"/>
    <w:rsid w:val="00C33870"/>
    <w:rsid w:val="00C37FF7"/>
    <w:rsid w:val="00C403BD"/>
    <w:rsid w:val="00C412AD"/>
    <w:rsid w:val="00C43AEF"/>
    <w:rsid w:val="00C45023"/>
    <w:rsid w:val="00C54E58"/>
    <w:rsid w:val="00C662D1"/>
    <w:rsid w:val="00C67DEA"/>
    <w:rsid w:val="00C738C0"/>
    <w:rsid w:val="00C76C4C"/>
    <w:rsid w:val="00C7736E"/>
    <w:rsid w:val="00C83AB1"/>
    <w:rsid w:val="00C90472"/>
    <w:rsid w:val="00C95611"/>
    <w:rsid w:val="00CB4253"/>
    <w:rsid w:val="00CB4595"/>
    <w:rsid w:val="00CC12A5"/>
    <w:rsid w:val="00CC4DF2"/>
    <w:rsid w:val="00CD5266"/>
    <w:rsid w:val="00CE04F6"/>
    <w:rsid w:val="00CE1D42"/>
    <w:rsid w:val="00CF029F"/>
    <w:rsid w:val="00CF402F"/>
    <w:rsid w:val="00CF4C76"/>
    <w:rsid w:val="00CF70E4"/>
    <w:rsid w:val="00D00075"/>
    <w:rsid w:val="00D01D06"/>
    <w:rsid w:val="00D051B7"/>
    <w:rsid w:val="00D05AEE"/>
    <w:rsid w:val="00D1041F"/>
    <w:rsid w:val="00D216A0"/>
    <w:rsid w:val="00D21DDD"/>
    <w:rsid w:val="00D2293B"/>
    <w:rsid w:val="00D22A15"/>
    <w:rsid w:val="00D27AA2"/>
    <w:rsid w:val="00D42FE6"/>
    <w:rsid w:val="00D43541"/>
    <w:rsid w:val="00D44364"/>
    <w:rsid w:val="00D4710E"/>
    <w:rsid w:val="00D51001"/>
    <w:rsid w:val="00D523F5"/>
    <w:rsid w:val="00D613D4"/>
    <w:rsid w:val="00D61789"/>
    <w:rsid w:val="00D64F37"/>
    <w:rsid w:val="00D7152A"/>
    <w:rsid w:val="00D736E5"/>
    <w:rsid w:val="00D76C71"/>
    <w:rsid w:val="00D81C83"/>
    <w:rsid w:val="00D8458F"/>
    <w:rsid w:val="00D95719"/>
    <w:rsid w:val="00DA4B3B"/>
    <w:rsid w:val="00DA54EC"/>
    <w:rsid w:val="00DB3C89"/>
    <w:rsid w:val="00DB4F3E"/>
    <w:rsid w:val="00DC4F86"/>
    <w:rsid w:val="00DD2F14"/>
    <w:rsid w:val="00DD4372"/>
    <w:rsid w:val="00DD4982"/>
    <w:rsid w:val="00DD4E47"/>
    <w:rsid w:val="00DD5F7F"/>
    <w:rsid w:val="00DE15F0"/>
    <w:rsid w:val="00DE17EE"/>
    <w:rsid w:val="00DE1A71"/>
    <w:rsid w:val="00DE78B1"/>
    <w:rsid w:val="00E00E57"/>
    <w:rsid w:val="00E05644"/>
    <w:rsid w:val="00E05817"/>
    <w:rsid w:val="00E065BD"/>
    <w:rsid w:val="00E06E9F"/>
    <w:rsid w:val="00E16DCA"/>
    <w:rsid w:val="00E22B42"/>
    <w:rsid w:val="00E25097"/>
    <w:rsid w:val="00E341E8"/>
    <w:rsid w:val="00E42AE6"/>
    <w:rsid w:val="00E434B7"/>
    <w:rsid w:val="00E44784"/>
    <w:rsid w:val="00E577C2"/>
    <w:rsid w:val="00E72BA3"/>
    <w:rsid w:val="00E770AD"/>
    <w:rsid w:val="00E81330"/>
    <w:rsid w:val="00EA2740"/>
    <w:rsid w:val="00EA31A4"/>
    <w:rsid w:val="00EA4597"/>
    <w:rsid w:val="00EA5A5B"/>
    <w:rsid w:val="00EB713B"/>
    <w:rsid w:val="00EC0ECB"/>
    <w:rsid w:val="00EC2E44"/>
    <w:rsid w:val="00EC4775"/>
    <w:rsid w:val="00EC5C12"/>
    <w:rsid w:val="00EC7C48"/>
    <w:rsid w:val="00EE2B10"/>
    <w:rsid w:val="00EE3F77"/>
    <w:rsid w:val="00EE4622"/>
    <w:rsid w:val="00EE6C27"/>
    <w:rsid w:val="00EF222E"/>
    <w:rsid w:val="00EF404E"/>
    <w:rsid w:val="00EF4486"/>
    <w:rsid w:val="00F0059D"/>
    <w:rsid w:val="00F02E47"/>
    <w:rsid w:val="00F03E32"/>
    <w:rsid w:val="00F06176"/>
    <w:rsid w:val="00F220DE"/>
    <w:rsid w:val="00F225EF"/>
    <w:rsid w:val="00F26F27"/>
    <w:rsid w:val="00F31FAE"/>
    <w:rsid w:val="00F34996"/>
    <w:rsid w:val="00F40059"/>
    <w:rsid w:val="00F4385B"/>
    <w:rsid w:val="00F43C96"/>
    <w:rsid w:val="00F46AF3"/>
    <w:rsid w:val="00F46C06"/>
    <w:rsid w:val="00F52B8A"/>
    <w:rsid w:val="00F54E10"/>
    <w:rsid w:val="00F73B08"/>
    <w:rsid w:val="00F76ECE"/>
    <w:rsid w:val="00F8332D"/>
    <w:rsid w:val="00F83D28"/>
    <w:rsid w:val="00F85DDD"/>
    <w:rsid w:val="00F91399"/>
    <w:rsid w:val="00F92718"/>
    <w:rsid w:val="00F95371"/>
    <w:rsid w:val="00F95968"/>
    <w:rsid w:val="00FA6747"/>
    <w:rsid w:val="00FB5B8F"/>
    <w:rsid w:val="00FB7351"/>
    <w:rsid w:val="00FC1FBB"/>
    <w:rsid w:val="00FC4A81"/>
    <w:rsid w:val="00FC507A"/>
    <w:rsid w:val="00FC5293"/>
    <w:rsid w:val="00FC701F"/>
    <w:rsid w:val="00FD3DAD"/>
    <w:rsid w:val="00FD6352"/>
    <w:rsid w:val="00FD6D60"/>
    <w:rsid w:val="00FF116D"/>
    <w:rsid w:val="00FF15AB"/>
    <w:rsid w:val="00FF1876"/>
    <w:rsid w:val="00FF455D"/>
    <w:rsid w:val="00FF5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350B68"/>
    <w:pPr>
      <w:keepNext/>
      <w:keepLines/>
      <w:spacing w:before="200" w:line="276" w:lineRule="auto"/>
      <w:outlineLvl w:val="3"/>
    </w:pPr>
    <w:rPr>
      <w:rFonts w:asciiTheme="majorHAnsi" w:eastAsiaTheme="majorEastAsia" w:hAnsiTheme="majorHAnsi" w:cstheme="majorBidi"/>
      <w:b/>
      <w:bCs/>
      <w:i/>
      <w:iCs/>
      <w:color w:val="4F81BD" w:themeColor="accent1"/>
      <w:lang w:bidi="en-US"/>
    </w:rPr>
  </w:style>
  <w:style w:type="paragraph" w:styleId="Heading5">
    <w:name w:val="heading 5"/>
    <w:aliases w:val="5,H5,h5,Block Label,Heading 5-1"/>
    <w:basedOn w:val="Normal"/>
    <w:next w:val="Normal"/>
    <w:link w:val="Heading5Char"/>
    <w:unhideWhenUsed/>
    <w:qFormat/>
    <w:rsid w:val="00350B6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0E5382"/>
    <w:pPr>
      <w:widowControl w:val="0"/>
      <w:numPr>
        <w:numId w:val="14"/>
      </w:numPr>
      <w:spacing w:after="120"/>
      <w:jc w:val="both"/>
    </w:pPr>
    <w:rPr>
      <w:b/>
      <w:bCs/>
    </w:r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nhideWhenUsed/>
    <w:rsid w:val="007B0E96"/>
    <w:pPr>
      <w:spacing w:after="120"/>
    </w:pPr>
  </w:style>
  <w:style w:type="character" w:customStyle="1" w:styleId="BodyTextChar">
    <w:name w:val="Body Text Char"/>
    <w:basedOn w:val="DefaultParagraphFont"/>
    <w:link w:val="BodyText"/>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Outlinearabic">
    <w:name w:val="Outline arabic"/>
    <w:basedOn w:val="Normal"/>
    <w:rsid w:val="00350B68"/>
    <w:pPr>
      <w:ind w:left="1620" w:hanging="450"/>
    </w:pPr>
    <w:rPr>
      <w:rFonts w:eastAsia="Times"/>
    </w:rPr>
  </w:style>
  <w:style w:type="paragraph" w:customStyle="1" w:styleId="Outlinesmallletter">
    <w:name w:val="Outline small letter"/>
    <w:basedOn w:val="Normal"/>
    <w:rsid w:val="00350B68"/>
    <w:pPr>
      <w:ind w:left="2430" w:hanging="450"/>
    </w:pPr>
    <w:rPr>
      <w:rFonts w:eastAsia="Times"/>
    </w:rPr>
  </w:style>
  <w:style w:type="paragraph" w:styleId="NormalIndent">
    <w:name w:val="Normal Indent"/>
    <w:basedOn w:val="Normal"/>
    <w:rsid w:val="00350B68"/>
    <w:pPr>
      <w:ind w:left="720"/>
    </w:pPr>
    <w:rPr>
      <w:rFonts w:eastAsia="Times"/>
      <w:sz w:val="20"/>
      <w:szCs w:val="20"/>
    </w:rPr>
  </w:style>
  <w:style w:type="character" w:customStyle="1" w:styleId="Heading5Char">
    <w:name w:val="Heading 5 Char"/>
    <w:aliases w:val="5 Char,H5 Char,h5 Char,Block Label Char,Heading 5-1 Char"/>
    <w:basedOn w:val="DefaultParagraphFont"/>
    <w:link w:val="Heading5"/>
    <w:rsid w:val="00350B68"/>
    <w:rPr>
      <w:rFonts w:asciiTheme="majorHAnsi" w:eastAsiaTheme="majorEastAsia" w:hAnsiTheme="majorHAnsi" w:cstheme="majorBidi"/>
      <w:color w:val="243F60" w:themeColor="accent1" w:themeShade="7F"/>
      <w:lang w:bidi="ar-SA"/>
    </w:rPr>
  </w:style>
  <w:style w:type="paragraph" w:styleId="BodyText3">
    <w:name w:val="Body Text 3"/>
    <w:basedOn w:val="Normal"/>
    <w:link w:val="BodyText3Char"/>
    <w:unhideWhenUsed/>
    <w:rsid w:val="00350B68"/>
    <w:pPr>
      <w:spacing w:after="120"/>
    </w:pPr>
    <w:rPr>
      <w:sz w:val="16"/>
      <w:szCs w:val="16"/>
    </w:rPr>
  </w:style>
  <w:style w:type="character" w:customStyle="1" w:styleId="BodyText3Char">
    <w:name w:val="Body Text 3 Char"/>
    <w:basedOn w:val="DefaultParagraphFont"/>
    <w:link w:val="BodyText3"/>
    <w:rsid w:val="00350B68"/>
    <w:rPr>
      <w:rFonts w:ascii="Times New Roman" w:eastAsia="Times New Roman" w:hAnsi="Times New Roman"/>
      <w:sz w:val="16"/>
      <w:szCs w:val="16"/>
      <w:lang w:bidi="ar-SA"/>
    </w:rPr>
  </w:style>
  <w:style w:type="character" w:customStyle="1" w:styleId="Heading4Char">
    <w:name w:val="Heading 4 Char"/>
    <w:basedOn w:val="DefaultParagraphFont"/>
    <w:link w:val="Heading4"/>
    <w:uiPriority w:val="9"/>
    <w:semiHidden/>
    <w:rsid w:val="00350B68"/>
    <w:rPr>
      <w:rFonts w:asciiTheme="majorHAnsi" w:eastAsiaTheme="majorEastAsia" w:hAnsiTheme="majorHAnsi" w:cstheme="majorBidi"/>
      <w:b/>
      <w:bCs/>
      <w:i/>
      <w:iCs/>
      <w:color w:val="4F81BD" w:themeColor="accent1"/>
    </w:rPr>
  </w:style>
  <w:style w:type="paragraph" w:customStyle="1" w:styleId="ExhibitA2">
    <w:name w:val="ExhibitA2"/>
    <w:basedOn w:val="Normal"/>
    <w:rsid w:val="00350B68"/>
    <w:pPr>
      <w:keepNext/>
      <w:numPr>
        <w:ilvl w:val="1"/>
        <w:numId w:val="4"/>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350B68"/>
    <w:pPr>
      <w:keepNext/>
      <w:numPr>
        <w:ilvl w:val="2"/>
        <w:numId w:val="4"/>
      </w:numPr>
      <w:tabs>
        <w:tab w:val="left" w:pos="2592"/>
        <w:tab w:val="left" w:pos="4176"/>
        <w:tab w:val="left" w:pos="10710"/>
      </w:tabs>
      <w:ind w:right="187"/>
      <w:outlineLvl w:val="0"/>
    </w:pPr>
    <w:rPr>
      <w:szCs w:val="20"/>
    </w:rPr>
  </w:style>
  <w:style w:type="paragraph" w:customStyle="1" w:styleId="ExhibitB1">
    <w:name w:val="ExhibitB1"/>
    <w:basedOn w:val="Normal"/>
    <w:rsid w:val="00350B68"/>
    <w:pPr>
      <w:keepNext/>
      <w:numPr>
        <w:numId w:val="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350B68"/>
    <w:pPr>
      <w:keepNext/>
      <w:numPr>
        <w:ilvl w:val="1"/>
        <w:numId w:val="5"/>
      </w:numPr>
      <w:tabs>
        <w:tab w:val="left" w:pos="2016"/>
        <w:tab w:val="left" w:pos="2592"/>
        <w:tab w:val="left" w:pos="4176"/>
        <w:tab w:val="left" w:pos="10710"/>
      </w:tabs>
      <w:ind w:right="187"/>
      <w:outlineLvl w:val="0"/>
    </w:pPr>
  </w:style>
  <w:style w:type="paragraph" w:customStyle="1" w:styleId="ExhibitB3">
    <w:name w:val="ExhibitB3"/>
    <w:basedOn w:val="Normal"/>
    <w:rsid w:val="00350B68"/>
    <w:pPr>
      <w:keepNext/>
      <w:numPr>
        <w:ilvl w:val="2"/>
        <w:numId w:val="5"/>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rsid w:val="00350B68"/>
    <w:rPr>
      <w:rFonts w:ascii="Arial" w:eastAsia="Times New Roman" w:hAnsi="Arial"/>
      <w:szCs w:val="20"/>
      <w:lang w:bidi="ar-SA"/>
    </w:rPr>
  </w:style>
  <w:style w:type="character" w:styleId="FollowedHyperlink">
    <w:name w:val="FollowedHyperlink"/>
    <w:basedOn w:val="DefaultParagraphFont"/>
    <w:rsid w:val="00350B68"/>
    <w:rPr>
      <w:color w:val="800080"/>
      <w:u w:val="single"/>
    </w:rPr>
  </w:style>
  <w:style w:type="paragraph" w:customStyle="1" w:styleId="ExhibitE1">
    <w:name w:val="ExhibitE1"/>
    <w:basedOn w:val="ExhibitA1"/>
    <w:rsid w:val="00350B68"/>
    <w:pPr>
      <w:numPr>
        <w:numId w:val="0"/>
      </w:numPr>
      <w:tabs>
        <w:tab w:val="num" w:pos="720"/>
      </w:tabs>
      <w:ind w:left="720" w:hanging="720"/>
    </w:pPr>
    <w:rPr>
      <w:szCs w:val="20"/>
    </w:rPr>
  </w:style>
  <w:style w:type="paragraph" w:customStyle="1" w:styleId="ExhibitB4">
    <w:name w:val="ExhibitB4"/>
    <w:basedOn w:val="Normal"/>
    <w:rsid w:val="00350B68"/>
    <w:pPr>
      <w:tabs>
        <w:tab w:val="num" w:pos="2592"/>
      </w:tabs>
      <w:ind w:left="2592" w:right="187" w:hanging="576"/>
    </w:pPr>
  </w:style>
  <w:style w:type="paragraph" w:customStyle="1" w:styleId="PldCentrL1">
    <w:name w:val="PldCentr_L1"/>
    <w:basedOn w:val="Normal"/>
    <w:rsid w:val="00350B68"/>
    <w:pPr>
      <w:widowControl w:val="0"/>
      <w:numPr>
        <w:numId w:val="6"/>
      </w:numPr>
      <w:spacing w:after="240"/>
      <w:jc w:val="center"/>
      <w:outlineLvl w:val="0"/>
    </w:pPr>
    <w:rPr>
      <w:b/>
      <w:szCs w:val="20"/>
    </w:rPr>
  </w:style>
  <w:style w:type="paragraph" w:customStyle="1" w:styleId="PldCentrL2">
    <w:name w:val="PldCentr_L2"/>
    <w:basedOn w:val="PldCentrL1"/>
    <w:next w:val="BodyText"/>
    <w:rsid w:val="00350B68"/>
    <w:pPr>
      <w:numPr>
        <w:ilvl w:val="1"/>
      </w:numPr>
      <w:jc w:val="left"/>
      <w:outlineLvl w:val="1"/>
    </w:pPr>
  </w:style>
  <w:style w:type="paragraph" w:customStyle="1" w:styleId="PldCentrL3">
    <w:name w:val="PldCentr_L3"/>
    <w:basedOn w:val="PldCentrL2"/>
    <w:next w:val="BodyText"/>
    <w:link w:val="PldCentrL3Char"/>
    <w:rsid w:val="00350B68"/>
    <w:pPr>
      <w:numPr>
        <w:ilvl w:val="2"/>
      </w:numPr>
      <w:outlineLvl w:val="2"/>
    </w:pPr>
    <w:rPr>
      <w:b w:val="0"/>
    </w:rPr>
  </w:style>
  <w:style w:type="paragraph" w:customStyle="1" w:styleId="PldCentrL4">
    <w:name w:val="PldCentr_L4"/>
    <w:basedOn w:val="PldCentrL3"/>
    <w:next w:val="BodyText"/>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rsid w:val="00350B68"/>
    <w:rPr>
      <w:rFonts w:ascii="Times New Roman" w:eastAsia="Times New Roman" w:hAnsi="Times New Roman"/>
      <w:szCs w:val="20"/>
      <w:lang w:bidi="ar-SA"/>
    </w:rPr>
  </w:style>
  <w:style w:type="character" w:customStyle="1" w:styleId="EmailStyle91">
    <w:name w:val="EmailStyle911"/>
    <w:aliases w:val="EmailStyle911"/>
    <w:basedOn w:val="DefaultParagraphFont"/>
    <w:personal/>
    <w:personalCompose/>
    <w:rsid w:val="00350B68"/>
    <w:rPr>
      <w:rFonts w:ascii="Times New Roman" w:hAnsi="Times New Roman" w:cs="Arial"/>
      <w:color w:val="000000"/>
      <w:sz w:val="24"/>
    </w:rPr>
  </w:style>
  <w:style w:type="paragraph" w:styleId="FootnoteText">
    <w:name w:val="footnote text"/>
    <w:basedOn w:val="Normal"/>
    <w:link w:val="FootnoteTextChar"/>
    <w:semiHidden/>
    <w:rsid w:val="00350B68"/>
    <w:rPr>
      <w:sz w:val="20"/>
      <w:szCs w:val="20"/>
    </w:rPr>
  </w:style>
  <w:style w:type="character" w:customStyle="1" w:styleId="FootnoteTextChar">
    <w:name w:val="Footnote Text Char"/>
    <w:basedOn w:val="DefaultParagraphFont"/>
    <w:link w:val="FootnoteText"/>
    <w:semiHidden/>
    <w:rsid w:val="00350B68"/>
    <w:rPr>
      <w:rFonts w:ascii="Times New Roman" w:eastAsia="Times New Roman" w:hAnsi="Times New Roman"/>
      <w:sz w:val="20"/>
      <w:szCs w:val="20"/>
      <w:lang w:bidi="ar-SA"/>
    </w:rPr>
  </w:style>
  <w:style w:type="paragraph" w:customStyle="1" w:styleId="Tablebullet2">
    <w:name w:val="Tablebullet2"/>
    <w:basedOn w:val="Normal"/>
    <w:rsid w:val="00350B68"/>
    <w:pPr>
      <w:numPr>
        <w:numId w:val="7"/>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rsid w:val="00350B68"/>
    <w:pPr>
      <w:keepLines w:val="0"/>
      <w:spacing w:before="0" w:line="240" w:lineRule="auto"/>
      <w:ind w:left="720"/>
    </w:pPr>
    <w:rPr>
      <w:rFonts w:ascii="Times New Roman" w:eastAsia="Times New Roman" w:hAnsi="Times New Roman" w:cs="Times New Roman"/>
      <w:b w:val="0"/>
      <w:bCs w:val="0"/>
      <w:i w:val="0"/>
      <w:iCs w:val="0"/>
      <w:vanish/>
      <w:color w:val="0000FF"/>
      <w:szCs w:val="20"/>
      <w:lang w:bidi="ar-SA"/>
    </w:rPr>
  </w:style>
  <w:style w:type="table" w:styleId="TableGrid">
    <w:name w:val="Table Grid"/>
    <w:basedOn w:val="TableNormal"/>
    <w:uiPriority w:val="59"/>
    <w:rsid w:val="00350B6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Text">
    <w:name w:val="JCC Text"/>
    <w:basedOn w:val="Normal"/>
    <w:rsid w:val="00350B68"/>
    <w:pPr>
      <w:spacing w:line="300" w:lineRule="exact"/>
    </w:pPr>
    <w:rPr>
      <w:rFonts w:eastAsia="Times"/>
      <w:szCs w:val="20"/>
    </w:rPr>
  </w:style>
  <w:style w:type="paragraph" w:customStyle="1" w:styleId="pc">
    <w:name w:val="pc"/>
    <w:basedOn w:val="Normal"/>
    <w:autoRedefine/>
    <w:rsid w:val="00350B68"/>
    <w:pPr>
      <w:numPr>
        <w:numId w:val="8"/>
      </w:numPr>
    </w:pPr>
    <w:rPr>
      <w:szCs w:val="20"/>
    </w:rPr>
  </w:style>
  <w:style w:type="paragraph" w:customStyle="1" w:styleId="Style5">
    <w:name w:val="Style5"/>
    <w:rsid w:val="00350B68"/>
    <w:pPr>
      <w:numPr>
        <w:numId w:val="10"/>
      </w:numPr>
      <w:spacing w:line="240" w:lineRule="auto"/>
    </w:pPr>
    <w:rPr>
      <w:rFonts w:ascii="Times New Roman" w:eastAsia="Times New Roman" w:hAnsi="Times New Roman"/>
      <w:noProof/>
      <w:szCs w:val="20"/>
      <w:lang w:bidi="ar-SA"/>
    </w:rPr>
  </w:style>
  <w:style w:type="paragraph" w:styleId="ListContinue2">
    <w:name w:val="List Continue 2"/>
    <w:basedOn w:val="Normal"/>
    <w:rsid w:val="00350B68"/>
    <w:pPr>
      <w:spacing w:after="120"/>
      <w:ind w:left="720"/>
    </w:pPr>
    <w:rPr>
      <w:rFonts w:ascii="Courier New" w:hAnsi="Courier New"/>
      <w:szCs w:val="20"/>
    </w:rPr>
  </w:style>
  <w:style w:type="paragraph" w:customStyle="1" w:styleId="Standard1">
    <w:name w:val="Standard1"/>
    <w:basedOn w:val="Normal"/>
    <w:next w:val="Normal"/>
    <w:rsid w:val="00350B68"/>
    <w:pPr>
      <w:keepNext/>
      <w:numPr>
        <w:numId w:val="9"/>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rsid w:val="00350B68"/>
    <w:pPr>
      <w:keepNext/>
      <w:numPr>
        <w:ilvl w:val="1"/>
        <w:numId w:val="11"/>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350B68"/>
    <w:pPr>
      <w:keepNext/>
      <w:numPr>
        <w:ilvl w:val="2"/>
        <w:numId w:val="11"/>
      </w:numPr>
      <w:tabs>
        <w:tab w:val="left" w:pos="2592"/>
        <w:tab w:val="left" w:pos="4176"/>
        <w:tab w:val="left" w:pos="10710"/>
      </w:tabs>
      <w:ind w:right="187"/>
      <w:outlineLvl w:val="0"/>
    </w:pPr>
    <w:rPr>
      <w:szCs w:val="20"/>
    </w:rPr>
  </w:style>
  <w:style w:type="paragraph" w:customStyle="1" w:styleId="Style6">
    <w:name w:val="Style6"/>
    <w:rsid w:val="00350B68"/>
    <w:pPr>
      <w:spacing w:line="240" w:lineRule="auto"/>
    </w:pPr>
    <w:rPr>
      <w:rFonts w:ascii="Times New Roman" w:eastAsia="Times New Roman" w:hAnsi="Times New Roman"/>
      <w:noProof/>
      <w:szCs w:val="20"/>
      <w:lang w:bidi="ar-SA"/>
    </w:rPr>
  </w:style>
  <w:style w:type="paragraph" w:styleId="List2">
    <w:name w:val="List 2"/>
    <w:basedOn w:val="Normal"/>
    <w:rsid w:val="00350B68"/>
    <w:pPr>
      <w:ind w:left="720" w:hanging="360"/>
    </w:pPr>
    <w:rPr>
      <w:rFonts w:ascii="Courier New" w:hAnsi="Courier New"/>
      <w:szCs w:val="20"/>
    </w:rPr>
  </w:style>
  <w:style w:type="paragraph" w:customStyle="1" w:styleId="ExhibitD1">
    <w:name w:val="ExhibitD1"/>
    <w:basedOn w:val="BodyText"/>
    <w:rsid w:val="00350B68"/>
    <w:pPr>
      <w:numPr>
        <w:numId w:val="12"/>
      </w:numPr>
      <w:spacing w:after="0"/>
    </w:pPr>
    <w:rPr>
      <w:szCs w:val="20"/>
      <w:u w:val="single"/>
    </w:rPr>
  </w:style>
  <w:style w:type="numbering" w:customStyle="1" w:styleId="MOUList">
    <w:name w:val="MOU List"/>
    <w:rsid w:val="00616BD3"/>
    <w:pPr>
      <w:numPr>
        <w:numId w:val="13"/>
      </w:numPr>
    </w:pPr>
  </w:style>
  <w:style w:type="paragraph" w:styleId="Revision">
    <w:name w:val="Revision"/>
    <w:hidden/>
    <w:uiPriority w:val="99"/>
    <w:semiHidden/>
    <w:rsid w:val="00C04CE2"/>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99230033">
      <w:bodyDiv w:val="1"/>
      <w:marLeft w:val="0"/>
      <w:marRight w:val="0"/>
      <w:marTop w:val="0"/>
      <w:marBottom w:val="0"/>
      <w:divBdr>
        <w:top w:val="none" w:sz="0" w:space="0" w:color="auto"/>
        <w:left w:val="none" w:sz="0" w:space="0" w:color="auto"/>
        <w:bottom w:val="none" w:sz="0" w:space="0" w:color="auto"/>
        <w:right w:val="none" w:sz="0" w:space="0" w:color="auto"/>
      </w:divBdr>
    </w:div>
    <w:div w:id="426312412">
      <w:bodyDiv w:val="1"/>
      <w:marLeft w:val="0"/>
      <w:marRight w:val="0"/>
      <w:marTop w:val="0"/>
      <w:marBottom w:val="0"/>
      <w:divBdr>
        <w:top w:val="none" w:sz="0" w:space="0" w:color="auto"/>
        <w:left w:val="none" w:sz="0" w:space="0" w:color="auto"/>
        <w:bottom w:val="none" w:sz="0" w:space="0" w:color="auto"/>
        <w:right w:val="none" w:sz="0" w:space="0" w:color="auto"/>
      </w:divBdr>
    </w:div>
    <w:div w:id="1475298875">
      <w:bodyDiv w:val="1"/>
      <w:marLeft w:val="0"/>
      <w:marRight w:val="0"/>
      <w:marTop w:val="0"/>
      <w:marBottom w:val="0"/>
      <w:divBdr>
        <w:top w:val="none" w:sz="0" w:space="0" w:color="auto"/>
        <w:left w:val="none" w:sz="0" w:space="0" w:color="auto"/>
        <w:bottom w:val="none" w:sz="0" w:space="0" w:color="auto"/>
        <w:right w:val="none" w:sz="0" w:space="0" w:color="auto"/>
      </w:divBdr>
    </w:div>
    <w:div w:id="1977710559">
      <w:bodyDiv w:val="1"/>
      <w:marLeft w:val="0"/>
      <w:marRight w:val="0"/>
      <w:marTop w:val="0"/>
      <w:marBottom w:val="0"/>
      <w:divBdr>
        <w:top w:val="none" w:sz="0" w:space="0" w:color="auto"/>
        <w:left w:val="none" w:sz="0" w:space="0" w:color="auto"/>
        <w:bottom w:val="none" w:sz="0" w:space="0" w:color="auto"/>
        <w:right w:val="none" w:sz="0" w:space="0" w:color="auto"/>
      </w:divBdr>
      <w:divsChild>
        <w:div w:id="362095631">
          <w:marLeft w:val="0"/>
          <w:marRight w:val="0"/>
          <w:marTop w:val="0"/>
          <w:marBottom w:val="0"/>
          <w:divBdr>
            <w:top w:val="none" w:sz="0" w:space="0" w:color="auto"/>
            <w:left w:val="none" w:sz="0" w:space="0" w:color="auto"/>
            <w:bottom w:val="none" w:sz="0" w:space="0" w:color="auto"/>
            <w:right w:val="none" w:sz="0" w:space="0" w:color="auto"/>
          </w:divBdr>
          <w:divsChild>
            <w:div w:id="395007680">
              <w:marLeft w:val="0"/>
              <w:marRight w:val="0"/>
              <w:marTop w:val="0"/>
              <w:marBottom w:val="0"/>
              <w:divBdr>
                <w:top w:val="none" w:sz="0" w:space="0" w:color="auto"/>
                <w:left w:val="none" w:sz="0" w:space="0" w:color="auto"/>
                <w:bottom w:val="none" w:sz="0" w:space="0" w:color="auto"/>
                <w:right w:val="none" w:sz="0" w:space="0" w:color="auto"/>
              </w:divBdr>
              <w:divsChild>
                <w:div w:id="1203326769">
                  <w:marLeft w:val="0"/>
                  <w:marRight w:val="0"/>
                  <w:marTop w:val="450"/>
                  <w:marBottom w:val="0"/>
                  <w:divBdr>
                    <w:top w:val="none" w:sz="0" w:space="0" w:color="auto"/>
                    <w:left w:val="none" w:sz="0" w:space="0" w:color="auto"/>
                    <w:bottom w:val="none" w:sz="0" w:space="0" w:color="auto"/>
                    <w:right w:val="none" w:sz="0" w:space="0" w:color="auto"/>
                  </w:divBdr>
                  <w:divsChild>
                    <w:div w:id="4538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urtinfo.ca.gov/cms/rules/index.cfm?title=ten&amp;linkid=rule10_500"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9D516-1960-4949-BD74-5169D414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3525</Words>
  <Characters>20093</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Ron Bacurin</cp:lastModifiedBy>
  <cp:revision>6</cp:revision>
  <cp:lastPrinted>2012-10-26T17:10:00Z</cp:lastPrinted>
  <dcterms:created xsi:type="dcterms:W3CDTF">2012-10-25T22:37:00Z</dcterms:created>
  <dcterms:modified xsi:type="dcterms:W3CDTF">2012-10-26T17:11:00Z</dcterms:modified>
</cp:coreProperties>
</file>