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40" w:rsidRPr="00FF7C7A" w:rsidRDefault="00AE7F40">
      <w:pPr>
        <w:pStyle w:val="BodyText"/>
        <w:rPr>
          <w:sz w:val="22"/>
          <w:szCs w:val="22"/>
        </w:rPr>
      </w:pPr>
    </w:p>
    <w:p w:rsidR="00AE7F40" w:rsidRPr="00FF7C7A" w:rsidRDefault="00AE7F40">
      <w:pPr>
        <w:pStyle w:val="BodyText"/>
        <w:rPr>
          <w:sz w:val="22"/>
          <w:szCs w:val="22"/>
        </w:rPr>
      </w:pPr>
    </w:p>
    <w:p w:rsidR="00AE7F40" w:rsidRPr="00FF7C7A" w:rsidRDefault="00AE7F40">
      <w:pPr>
        <w:pStyle w:val="BodyText"/>
        <w:rPr>
          <w:sz w:val="22"/>
          <w:szCs w:val="22"/>
        </w:rPr>
      </w:pPr>
    </w:p>
    <w:tbl>
      <w:tblPr>
        <w:tblpPr w:leftFromText="180" w:rightFromText="180" w:vertAnchor="text" w:horzAnchor="page" w:tblpX="1090" w:tblpY="3873"/>
        <w:tblW w:w="10368" w:type="dxa"/>
        <w:tblLook w:val="0000"/>
      </w:tblPr>
      <w:tblGrid>
        <w:gridCol w:w="2340"/>
        <w:gridCol w:w="8028"/>
      </w:tblGrid>
      <w:tr w:rsidR="00AE7F40" w:rsidRPr="00FF7C7A">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TO:</w:t>
            </w:r>
          </w:p>
        </w:tc>
        <w:tc>
          <w:tcPr>
            <w:tcW w:w="8028" w:type="dxa"/>
            <w:tcBorders>
              <w:top w:val="nil"/>
              <w:left w:val="nil"/>
              <w:bottom w:val="nil"/>
              <w:right w:val="nil"/>
            </w:tcBorders>
          </w:tcPr>
          <w:p w:rsidR="00AE7F40" w:rsidRPr="00636CDA" w:rsidRDefault="00AE7F40" w:rsidP="00AE7F40">
            <w:pPr>
              <w:pStyle w:val="CommentText"/>
              <w:spacing w:after="120"/>
              <w:rPr>
                <w:caps/>
                <w:color w:val="000000"/>
                <w:sz w:val="22"/>
                <w:szCs w:val="22"/>
              </w:rPr>
            </w:pPr>
            <w:r w:rsidRPr="00636CDA">
              <w:rPr>
                <w:caps/>
                <w:color w:val="000000"/>
                <w:sz w:val="22"/>
                <w:szCs w:val="22"/>
              </w:rPr>
              <w:t>Potential Bidders</w:t>
            </w:r>
          </w:p>
        </w:tc>
      </w:tr>
      <w:tr w:rsidR="00AE7F40" w:rsidRPr="00FF7C7A">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120"/>
              <w:rPr>
                <w:b/>
                <w:bCs/>
                <w:sz w:val="22"/>
                <w:szCs w:val="22"/>
              </w:rPr>
            </w:pPr>
            <w:r w:rsidRPr="00FF7C7A">
              <w:rPr>
                <w:b/>
                <w:bCs/>
                <w:sz w:val="22"/>
                <w:szCs w:val="22"/>
              </w:rPr>
              <w:t>FROM:</w:t>
            </w:r>
          </w:p>
        </w:tc>
        <w:tc>
          <w:tcPr>
            <w:tcW w:w="8028" w:type="dxa"/>
            <w:tcBorders>
              <w:top w:val="nil"/>
              <w:left w:val="nil"/>
              <w:bottom w:val="nil"/>
              <w:right w:val="nil"/>
            </w:tcBorders>
          </w:tcPr>
          <w:p w:rsidR="00AE7F40" w:rsidRPr="00636CDA" w:rsidRDefault="00AE7F40" w:rsidP="00AE7F40">
            <w:pPr>
              <w:rPr>
                <w:color w:val="000000"/>
                <w:sz w:val="22"/>
                <w:szCs w:val="22"/>
              </w:rPr>
            </w:pPr>
            <w:r w:rsidRPr="00636CDA">
              <w:rPr>
                <w:color w:val="000000"/>
                <w:sz w:val="22"/>
                <w:szCs w:val="22"/>
              </w:rPr>
              <w:t>Administrative Office of the Courts</w:t>
            </w:r>
          </w:p>
          <w:p w:rsidR="00AE7F40" w:rsidRPr="00636CDA" w:rsidRDefault="00AE7F40" w:rsidP="00AE7F40">
            <w:pPr>
              <w:spacing w:after="240"/>
              <w:rPr>
                <w:color w:val="000000"/>
                <w:sz w:val="22"/>
                <w:szCs w:val="22"/>
              </w:rPr>
            </w:pPr>
            <w:r w:rsidRPr="00636CDA">
              <w:rPr>
                <w:color w:val="000000"/>
                <w:sz w:val="22"/>
                <w:szCs w:val="22"/>
              </w:rPr>
              <w:t>Finance Division</w:t>
            </w:r>
          </w:p>
        </w:tc>
      </w:tr>
      <w:tr w:rsidR="00AE7F40" w:rsidRPr="00FF7C7A">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DATE:</w:t>
            </w:r>
          </w:p>
        </w:tc>
        <w:tc>
          <w:tcPr>
            <w:tcW w:w="8028" w:type="dxa"/>
            <w:tcBorders>
              <w:top w:val="nil"/>
              <w:left w:val="nil"/>
              <w:bottom w:val="nil"/>
              <w:right w:val="nil"/>
            </w:tcBorders>
          </w:tcPr>
          <w:p w:rsidR="00AE7F40" w:rsidRPr="00974B04" w:rsidRDefault="00E71C3D" w:rsidP="00974B04">
            <w:pPr>
              <w:spacing w:after="120"/>
              <w:rPr>
                <w:sz w:val="22"/>
                <w:szCs w:val="22"/>
              </w:rPr>
            </w:pPr>
            <w:r w:rsidRPr="00974B04">
              <w:rPr>
                <w:sz w:val="22"/>
                <w:szCs w:val="22"/>
              </w:rPr>
              <w:t>April 2</w:t>
            </w:r>
            <w:r w:rsidR="00974B04" w:rsidRPr="00974B04">
              <w:rPr>
                <w:sz w:val="22"/>
                <w:szCs w:val="22"/>
              </w:rPr>
              <w:t>3</w:t>
            </w:r>
            <w:r w:rsidRPr="00974B04">
              <w:rPr>
                <w:sz w:val="22"/>
                <w:szCs w:val="22"/>
              </w:rPr>
              <w:t>, 2009</w:t>
            </w:r>
          </w:p>
        </w:tc>
      </w:tr>
      <w:tr w:rsidR="00AE7F40" w:rsidRPr="00FF7C7A">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SUBJECT/PURPOSE OF MEMO:</w:t>
            </w:r>
          </w:p>
        </w:tc>
        <w:tc>
          <w:tcPr>
            <w:tcW w:w="8028" w:type="dxa"/>
            <w:tcBorders>
              <w:top w:val="nil"/>
              <w:left w:val="nil"/>
              <w:bottom w:val="nil"/>
              <w:right w:val="nil"/>
            </w:tcBorders>
          </w:tcPr>
          <w:p w:rsidR="00AE7F40" w:rsidRPr="00636CDA" w:rsidRDefault="00AE7F40" w:rsidP="00AE7F40">
            <w:pPr>
              <w:rPr>
                <w:caps/>
                <w:color w:val="000000"/>
                <w:sz w:val="22"/>
                <w:szCs w:val="22"/>
              </w:rPr>
            </w:pPr>
            <w:r w:rsidRPr="00636CDA">
              <w:rPr>
                <w:caps/>
                <w:color w:val="000000"/>
                <w:sz w:val="22"/>
                <w:szCs w:val="22"/>
              </w:rPr>
              <w:t xml:space="preserve">Request for proposals </w:t>
            </w:r>
          </w:p>
          <w:p w:rsidR="00AE7F40" w:rsidRPr="00636CDA" w:rsidRDefault="00AE7F40" w:rsidP="00AE7F40">
            <w:pPr>
              <w:spacing w:after="240"/>
              <w:rPr>
                <w:color w:val="000000"/>
                <w:sz w:val="22"/>
                <w:szCs w:val="22"/>
              </w:rPr>
            </w:pPr>
            <w:r w:rsidRPr="00636CDA">
              <w:rPr>
                <w:color w:val="000000"/>
                <w:sz w:val="22"/>
                <w:szCs w:val="22"/>
              </w:rPr>
              <w:t>The Administrative Office of the Courts seeks the services of a consultant to conduct a review and analysis of judicial branch advisory bodies in a Two-Phase Project.</w:t>
            </w:r>
          </w:p>
        </w:tc>
      </w:tr>
      <w:tr w:rsidR="00AE7F40" w:rsidRPr="00FF7C7A">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ACTION REQUIRED:</w:t>
            </w:r>
          </w:p>
        </w:tc>
        <w:tc>
          <w:tcPr>
            <w:tcW w:w="8028" w:type="dxa"/>
            <w:tcBorders>
              <w:top w:val="nil"/>
              <w:left w:val="nil"/>
              <w:bottom w:val="nil"/>
              <w:right w:val="nil"/>
            </w:tcBorders>
          </w:tcPr>
          <w:p w:rsidR="00AE7F40" w:rsidRPr="00636CDA" w:rsidRDefault="00AE7F40" w:rsidP="00AE7F40">
            <w:pPr>
              <w:spacing w:after="120"/>
              <w:rPr>
                <w:color w:val="000000"/>
                <w:sz w:val="22"/>
              </w:rPr>
            </w:pPr>
            <w:r w:rsidRPr="00636CDA">
              <w:rPr>
                <w:color w:val="000000"/>
                <w:sz w:val="22"/>
              </w:rPr>
              <w:t>You are invited to review and respond to the attached Request for Proposals (“RFP”):</w:t>
            </w:r>
          </w:p>
          <w:p w:rsidR="00251C09" w:rsidRDefault="00AE7F40" w:rsidP="00251C09">
            <w:pPr>
              <w:ind w:left="1440" w:hanging="1440"/>
              <w:rPr>
                <w:color w:val="000000"/>
                <w:sz w:val="22"/>
              </w:rPr>
            </w:pPr>
            <w:r w:rsidRPr="00636CDA">
              <w:rPr>
                <w:b/>
                <w:color w:val="000000"/>
                <w:sz w:val="22"/>
              </w:rPr>
              <w:t>Project Title:</w:t>
            </w:r>
            <w:r w:rsidRPr="00636CDA">
              <w:rPr>
                <w:color w:val="000000"/>
                <w:sz w:val="22"/>
              </w:rPr>
              <w:t xml:space="preserve"> </w:t>
            </w:r>
            <w:r w:rsidRPr="00636CDA">
              <w:rPr>
                <w:color w:val="000000"/>
                <w:sz w:val="22"/>
              </w:rPr>
              <w:tab/>
            </w:r>
            <w:r w:rsidR="00416D31">
              <w:rPr>
                <w:color w:val="000000"/>
                <w:sz w:val="22"/>
              </w:rPr>
              <w:t xml:space="preserve">Developing the Guide to </w:t>
            </w:r>
            <w:smartTag w:uri="urn:schemas-microsoft-com:office:smarttags" w:element="Street">
              <w:smartTag w:uri="urn:schemas-microsoft-com:office:smarttags" w:element="address">
                <w:r w:rsidR="00416D31">
                  <w:rPr>
                    <w:color w:val="000000"/>
                    <w:sz w:val="22"/>
                  </w:rPr>
                  <w:t>Juvenile Delinquency Court</w:t>
                </w:r>
              </w:smartTag>
            </w:smartTag>
            <w:r w:rsidR="00416D31">
              <w:rPr>
                <w:color w:val="000000"/>
                <w:sz w:val="22"/>
              </w:rPr>
              <w:t xml:space="preserve"> Performance Measures</w:t>
            </w:r>
          </w:p>
          <w:p w:rsidR="00AE7F40" w:rsidRPr="00636CDA" w:rsidRDefault="00AE7F40" w:rsidP="00251C09">
            <w:pPr>
              <w:spacing w:after="240"/>
              <w:ind w:left="1440" w:hanging="1440"/>
              <w:rPr>
                <w:color w:val="000000"/>
                <w:sz w:val="22"/>
                <w:szCs w:val="22"/>
              </w:rPr>
            </w:pPr>
            <w:r w:rsidRPr="00251C09">
              <w:rPr>
                <w:b/>
                <w:color w:val="000000"/>
                <w:sz w:val="22"/>
              </w:rPr>
              <w:t>RFP Number:</w:t>
            </w:r>
            <w:r w:rsidRPr="00636CDA">
              <w:rPr>
                <w:color w:val="000000"/>
                <w:sz w:val="22"/>
              </w:rPr>
              <w:tab/>
            </w:r>
            <w:r w:rsidR="00416D31">
              <w:rPr>
                <w:b/>
                <w:color w:val="000000"/>
                <w:sz w:val="22"/>
              </w:rPr>
              <w:t>CFCC-09-09</w:t>
            </w:r>
            <w:r>
              <w:rPr>
                <w:b/>
                <w:color w:val="000000"/>
                <w:sz w:val="22"/>
              </w:rPr>
              <w:t>-CT</w:t>
            </w:r>
          </w:p>
        </w:tc>
      </w:tr>
      <w:tr w:rsidR="00AE7F40" w:rsidRPr="00FF7C7A">
        <w:tblPrEx>
          <w:tblCellMar>
            <w:top w:w="0" w:type="dxa"/>
            <w:bottom w:w="0" w:type="dxa"/>
          </w:tblCellMar>
        </w:tblPrEx>
        <w:tc>
          <w:tcPr>
            <w:tcW w:w="2340" w:type="dxa"/>
            <w:tcBorders>
              <w:top w:val="nil"/>
              <w:left w:val="nil"/>
              <w:bottom w:val="nil"/>
              <w:right w:val="nil"/>
            </w:tcBorders>
          </w:tcPr>
          <w:p w:rsidR="00AE7F40" w:rsidRPr="00251C09" w:rsidRDefault="00AE7F40" w:rsidP="00AE7F40">
            <w:pPr>
              <w:spacing w:after="240"/>
              <w:rPr>
                <w:b/>
                <w:sz w:val="22"/>
                <w:szCs w:val="22"/>
              </w:rPr>
            </w:pPr>
            <w:r w:rsidRPr="00251C09">
              <w:rPr>
                <w:b/>
                <w:sz w:val="22"/>
                <w:szCs w:val="22"/>
              </w:rPr>
              <w:t>CLARIFICATION OR MODIFICATION QUESTIONS DUE DATE:</w:t>
            </w:r>
          </w:p>
        </w:tc>
        <w:tc>
          <w:tcPr>
            <w:tcW w:w="8028" w:type="dxa"/>
            <w:tcBorders>
              <w:top w:val="nil"/>
              <w:left w:val="nil"/>
              <w:bottom w:val="nil"/>
              <w:right w:val="nil"/>
            </w:tcBorders>
          </w:tcPr>
          <w:p w:rsidR="00AE7F40" w:rsidRPr="00E52CB4" w:rsidRDefault="00AE7F40" w:rsidP="00974B04">
            <w:pPr>
              <w:rPr>
                <w:color w:val="000000"/>
                <w:sz w:val="22"/>
              </w:rPr>
            </w:pPr>
            <w:r w:rsidRPr="00E52CB4">
              <w:rPr>
                <w:color w:val="000000"/>
                <w:sz w:val="22"/>
              </w:rPr>
              <w:t xml:space="preserve">Questions may be submitted to </w:t>
            </w:r>
            <w:hyperlink r:id="rId7" w:history="1">
              <w:r w:rsidRPr="00636CDA">
                <w:rPr>
                  <w:rStyle w:val="Hyperlink"/>
                  <w:i/>
                  <w:sz w:val="22"/>
                </w:rPr>
                <w:t>solicitations@jud.ca.gov</w:t>
              </w:r>
            </w:hyperlink>
            <w:r w:rsidRPr="00E52CB4">
              <w:rPr>
                <w:color w:val="000000"/>
                <w:sz w:val="22"/>
              </w:rPr>
              <w:t xml:space="preserve"> no later than </w:t>
            </w:r>
            <w:r>
              <w:rPr>
                <w:b/>
                <w:color w:val="000000"/>
                <w:sz w:val="22"/>
              </w:rPr>
              <w:t>1</w:t>
            </w:r>
            <w:r w:rsidRPr="00E52CB4">
              <w:rPr>
                <w:b/>
                <w:color w:val="000000"/>
                <w:sz w:val="22"/>
              </w:rPr>
              <w:t>:00 p.m. (Pacific Time) on</w:t>
            </w:r>
            <w:r w:rsidR="00E71C3D">
              <w:rPr>
                <w:b/>
                <w:color w:val="000000"/>
                <w:sz w:val="22"/>
              </w:rPr>
              <w:t xml:space="preserve"> </w:t>
            </w:r>
            <w:r w:rsidR="00974B04">
              <w:rPr>
                <w:b/>
                <w:color w:val="000000"/>
                <w:sz w:val="22"/>
              </w:rPr>
              <w:t>April 30,</w:t>
            </w:r>
            <w:r w:rsidR="00145D32">
              <w:rPr>
                <w:b/>
                <w:color w:val="000000"/>
                <w:sz w:val="22"/>
              </w:rPr>
              <w:t> </w:t>
            </w:r>
            <w:r w:rsidR="00145D32" w:rsidRPr="00E52CB4">
              <w:rPr>
                <w:b/>
                <w:color w:val="000000"/>
                <w:sz w:val="22"/>
              </w:rPr>
              <w:t>200</w:t>
            </w:r>
            <w:r w:rsidR="00145D32">
              <w:rPr>
                <w:b/>
                <w:color w:val="000000"/>
                <w:sz w:val="22"/>
              </w:rPr>
              <w:t>9</w:t>
            </w:r>
            <w:r w:rsidRPr="00E52CB4">
              <w:rPr>
                <w:b/>
                <w:color w:val="000000"/>
                <w:sz w:val="22"/>
              </w:rPr>
              <w:t>.</w:t>
            </w:r>
          </w:p>
        </w:tc>
      </w:tr>
      <w:tr w:rsidR="00AE7F40" w:rsidRPr="00FF7C7A">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PROPOSAL DUE DATE:</w:t>
            </w:r>
          </w:p>
        </w:tc>
        <w:tc>
          <w:tcPr>
            <w:tcW w:w="8028" w:type="dxa"/>
            <w:tcBorders>
              <w:top w:val="nil"/>
              <w:left w:val="nil"/>
              <w:bottom w:val="nil"/>
              <w:right w:val="nil"/>
            </w:tcBorders>
          </w:tcPr>
          <w:p w:rsidR="00AE7F40" w:rsidRPr="00636CDA" w:rsidRDefault="00AE7F40" w:rsidP="00E71C3D">
            <w:pPr>
              <w:rPr>
                <w:b/>
                <w:bCs/>
                <w:color w:val="000000"/>
                <w:sz w:val="22"/>
                <w:szCs w:val="22"/>
              </w:rPr>
            </w:pPr>
            <w:r w:rsidRPr="00636CDA">
              <w:rPr>
                <w:b/>
                <w:bCs/>
                <w:color w:val="000000"/>
                <w:sz w:val="22"/>
                <w:szCs w:val="22"/>
              </w:rPr>
              <w:t>Proposals must be received by 3:00 p.m.</w:t>
            </w:r>
            <w:r>
              <w:rPr>
                <w:b/>
                <w:bCs/>
                <w:color w:val="000000"/>
                <w:sz w:val="22"/>
                <w:szCs w:val="22"/>
              </w:rPr>
              <w:t xml:space="preserve"> </w:t>
            </w:r>
            <w:r w:rsidRPr="00E52CB4">
              <w:rPr>
                <w:b/>
                <w:color w:val="000000"/>
                <w:sz w:val="22"/>
              </w:rPr>
              <w:t xml:space="preserve">(Pacific Time) </w:t>
            </w:r>
            <w:r>
              <w:rPr>
                <w:b/>
                <w:color w:val="000000"/>
                <w:sz w:val="22"/>
              </w:rPr>
              <w:t>on</w:t>
            </w:r>
            <w:r w:rsidR="00E71C3D">
              <w:rPr>
                <w:b/>
                <w:bCs/>
                <w:color w:val="000000"/>
                <w:sz w:val="22"/>
                <w:szCs w:val="22"/>
              </w:rPr>
              <w:t xml:space="preserve"> May 11</w:t>
            </w:r>
            <w:r w:rsidR="00145D32" w:rsidRPr="00636CDA">
              <w:rPr>
                <w:b/>
                <w:bCs/>
                <w:color w:val="000000"/>
                <w:sz w:val="22"/>
                <w:szCs w:val="22"/>
              </w:rPr>
              <w:t xml:space="preserve">, </w:t>
            </w:r>
            <w:r w:rsidRPr="00636CDA">
              <w:rPr>
                <w:b/>
                <w:bCs/>
                <w:color w:val="000000"/>
                <w:sz w:val="22"/>
                <w:szCs w:val="22"/>
              </w:rPr>
              <w:t>2009</w:t>
            </w:r>
          </w:p>
        </w:tc>
      </w:tr>
      <w:tr w:rsidR="00AE7F40" w:rsidRPr="00FF7C7A">
        <w:tblPrEx>
          <w:tblCellMar>
            <w:top w:w="0" w:type="dxa"/>
            <w:bottom w:w="0" w:type="dxa"/>
          </w:tblCellMar>
        </w:tblPrEx>
        <w:tc>
          <w:tcPr>
            <w:tcW w:w="2340" w:type="dxa"/>
            <w:tcBorders>
              <w:top w:val="nil"/>
              <w:left w:val="nil"/>
              <w:bottom w:val="nil"/>
              <w:right w:val="nil"/>
            </w:tcBorders>
          </w:tcPr>
          <w:p w:rsidR="00AE7F40" w:rsidRPr="00FF7C7A" w:rsidRDefault="00AE7F40" w:rsidP="00AE7F40">
            <w:pPr>
              <w:spacing w:after="240"/>
              <w:rPr>
                <w:b/>
                <w:bCs/>
                <w:sz w:val="22"/>
                <w:szCs w:val="22"/>
              </w:rPr>
            </w:pPr>
            <w:r w:rsidRPr="00FF7C7A">
              <w:rPr>
                <w:b/>
                <w:bCs/>
                <w:sz w:val="22"/>
                <w:szCs w:val="22"/>
              </w:rPr>
              <w:t>SUBMISSION OF PROPOSAL:</w:t>
            </w:r>
          </w:p>
        </w:tc>
        <w:tc>
          <w:tcPr>
            <w:tcW w:w="8028" w:type="dxa"/>
            <w:tcBorders>
              <w:top w:val="nil"/>
              <w:left w:val="nil"/>
              <w:bottom w:val="nil"/>
              <w:right w:val="nil"/>
            </w:tcBorders>
          </w:tcPr>
          <w:p w:rsidR="00AE7F40" w:rsidRPr="00636CDA" w:rsidRDefault="00AE7F40" w:rsidP="00416D31">
            <w:pPr>
              <w:spacing w:after="240"/>
              <w:rPr>
                <w:b/>
                <w:bCs/>
                <w:color w:val="000000"/>
                <w:sz w:val="22"/>
                <w:szCs w:val="22"/>
              </w:rPr>
            </w:pPr>
            <w:r w:rsidRPr="00636CDA">
              <w:rPr>
                <w:color w:val="000000"/>
                <w:sz w:val="22"/>
                <w:szCs w:val="22"/>
              </w:rPr>
              <w:t>Proposals must be sent to:</w:t>
            </w:r>
            <w:r w:rsidRPr="00636CDA">
              <w:rPr>
                <w:color w:val="000000"/>
                <w:sz w:val="22"/>
                <w:szCs w:val="22"/>
              </w:rPr>
              <w:br/>
            </w:r>
            <w:r w:rsidRPr="00636CDA">
              <w:rPr>
                <w:b/>
                <w:bCs/>
                <w:color w:val="000000"/>
                <w:sz w:val="22"/>
                <w:szCs w:val="22"/>
              </w:rPr>
              <w:t xml:space="preserve">Judicial Council of </w:t>
            </w:r>
            <w:smartTag w:uri="urn:schemas-microsoft-com:office:smarttags" w:element="place">
              <w:smartTag w:uri="urn:schemas-microsoft-com:office:smarttags" w:element="State">
                <w:r w:rsidRPr="00636CDA">
                  <w:rPr>
                    <w:b/>
                    <w:bCs/>
                    <w:color w:val="000000"/>
                    <w:sz w:val="22"/>
                    <w:szCs w:val="22"/>
                  </w:rPr>
                  <w:t>California</w:t>
                </w:r>
              </w:smartTag>
            </w:smartTag>
            <w:r w:rsidRPr="00636CDA">
              <w:rPr>
                <w:b/>
                <w:bCs/>
                <w:color w:val="000000"/>
                <w:sz w:val="22"/>
                <w:szCs w:val="22"/>
              </w:rPr>
              <w:br/>
              <w:t>Administrative Office of the Courts</w:t>
            </w:r>
            <w:r w:rsidRPr="00636CDA">
              <w:rPr>
                <w:b/>
                <w:bCs/>
                <w:color w:val="000000"/>
                <w:sz w:val="22"/>
                <w:szCs w:val="22"/>
              </w:rPr>
              <w:br/>
              <w:t xml:space="preserve">Attn:  Nadine McFadden, </w:t>
            </w:r>
            <w:r w:rsidR="00416D31">
              <w:rPr>
                <w:b/>
                <w:bCs/>
                <w:color w:val="000000"/>
                <w:sz w:val="22"/>
                <w:szCs w:val="22"/>
              </w:rPr>
              <w:t>CFCC-09-09</w:t>
            </w:r>
            <w:r w:rsidRPr="00636CDA">
              <w:rPr>
                <w:b/>
                <w:bCs/>
                <w:color w:val="000000"/>
                <w:sz w:val="22"/>
                <w:szCs w:val="22"/>
              </w:rPr>
              <w:t>-CT</w:t>
            </w:r>
            <w:r w:rsidRPr="00636CDA">
              <w:rPr>
                <w:b/>
                <w:bCs/>
                <w:color w:val="000000"/>
                <w:sz w:val="22"/>
                <w:szCs w:val="22"/>
              </w:rPr>
              <w:br/>
            </w:r>
            <w:smartTag w:uri="urn:schemas-microsoft-com:office:smarttags" w:element="address">
              <w:smartTag w:uri="urn:schemas-microsoft-com:office:smarttags" w:element="Street">
                <w:r w:rsidRPr="00636CDA">
                  <w:rPr>
                    <w:b/>
                    <w:bCs/>
                    <w:color w:val="000000"/>
                    <w:sz w:val="22"/>
                    <w:szCs w:val="22"/>
                  </w:rPr>
                  <w:t>455 Golden Gate Avenue</w:t>
                </w:r>
              </w:smartTag>
              <w:r w:rsidRPr="00636CDA">
                <w:rPr>
                  <w:b/>
                  <w:bCs/>
                  <w:color w:val="000000"/>
                  <w:sz w:val="22"/>
                  <w:szCs w:val="22"/>
                </w:rPr>
                <w:br/>
              </w:r>
              <w:smartTag w:uri="urn:schemas-microsoft-com:office:smarttags" w:element="City">
                <w:r w:rsidRPr="00636CDA">
                  <w:rPr>
                    <w:b/>
                    <w:bCs/>
                    <w:color w:val="000000"/>
                    <w:sz w:val="22"/>
                    <w:szCs w:val="22"/>
                  </w:rPr>
                  <w:t>San Francisco</w:t>
                </w:r>
              </w:smartTag>
              <w:r w:rsidRPr="00636CDA">
                <w:rPr>
                  <w:b/>
                  <w:bCs/>
                  <w:color w:val="000000"/>
                  <w:sz w:val="22"/>
                  <w:szCs w:val="22"/>
                </w:rPr>
                <w:t xml:space="preserve">, </w:t>
              </w:r>
              <w:smartTag w:uri="urn:schemas-microsoft-com:office:smarttags" w:element="State">
                <w:r w:rsidRPr="00636CDA">
                  <w:rPr>
                    <w:b/>
                    <w:bCs/>
                    <w:color w:val="000000"/>
                    <w:sz w:val="22"/>
                    <w:szCs w:val="22"/>
                  </w:rPr>
                  <w:t>CA</w:t>
                </w:r>
              </w:smartTag>
              <w:r w:rsidRPr="00636CDA">
                <w:rPr>
                  <w:b/>
                  <w:bCs/>
                  <w:color w:val="000000"/>
                  <w:sz w:val="22"/>
                  <w:szCs w:val="22"/>
                </w:rPr>
                <w:t xml:space="preserve">  </w:t>
              </w:r>
              <w:smartTag w:uri="urn:schemas-microsoft-com:office:smarttags" w:element="PostalCode">
                <w:r w:rsidRPr="00636CDA">
                  <w:rPr>
                    <w:b/>
                    <w:bCs/>
                    <w:color w:val="000000"/>
                    <w:sz w:val="22"/>
                    <w:szCs w:val="22"/>
                  </w:rPr>
                  <w:t>94102</w:t>
                </w:r>
              </w:smartTag>
            </w:smartTag>
          </w:p>
        </w:tc>
      </w:tr>
      <w:tr w:rsidR="00AE7F40" w:rsidRPr="00FF7C7A">
        <w:tblPrEx>
          <w:tblCellMar>
            <w:top w:w="0" w:type="dxa"/>
            <w:bottom w:w="0" w:type="dxa"/>
          </w:tblCellMar>
        </w:tblPrEx>
        <w:trPr>
          <w:cantSplit/>
        </w:trPr>
        <w:tc>
          <w:tcPr>
            <w:tcW w:w="2340" w:type="dxa"/>
            <w:tcBorders>
              <w:top w:val="nil"/>
              <w:left w:val="nil"/>
              <w:bottom w:val="nil"/>
              <w:right w:val="nil"/>
            </w:tcBorders>
          </w:tcPr>
          <w:p w:rsidR="00AE7F40" w:rsidRPr="00FF7C7A" w:rsidRDefault="00AE7F40" w:rsidP="00AE7F40">
            <w:pPr>
              <w:spacing w:after="120"/>
              <w:rPr>
                <w:b/>
                <w:bCs/>
                <w:sz w:val="22"/>
                <w:szCs w:val="22"/>
              </w:rPr>
            </w:pPr>
            <w:r w:rsidRPr="00FF7C7A">
              <w:rPr>
                <w:b/>
                <w:bCs/>
                <w:sz w:val="22"/>
                <w:szCs w:val="22"/>
              </w:rPr>
              <w:t>FOR FURTHER INFORMATION:</w:t>
            </w:r>
          </w:p>
        </w:tc>
        <w:tc>
          <w:tcPr>
            <w:tcW w:w="8028" w:type="dxa"/>
            <w:tcBorders>
              <w:top w:val="nil"/>
              <w:left w:val="nil"/>
              <w:bottom w:val="nil"/>
              <w:right w:val="nil"/>
            </w:tcBorders>
          </w:tcPr>
          <w:p w:rsidR="00AE7F40" w:rsidRPr="00636CDA" w:rsidRDefault="00AE7F40" w:rsidP="00AE7F40">
            <w:pPr>
              <w:spacing w:after="240"/>
              <w:rPr>
                <w:b/>
                <w:bCs/>
                <w:color w:val="000000"/>
                <w:sz w:val="22"/>
                <w:szCs w:val="22"/>
              </w:rPr>
            </w:pPr>
            <w:r w:rsidRPr="00636CDA">
              <w:rPr>
                <w:b/>
                <w:bCs/>
                <w:color w:val="000000"/>
                <w:sz w:val="22"/>
                <w:szCs w:val="22"/>
              </w:rPr>
              <w:t>E-MAIL:</w:t>
            </w:r>
            <w:r w:rsidRPr="00636CDA">
              <w:rPr>
                <w:b/>
                <w:bCs/>
                <w:color w:val="000000"/>
                <w:sz w:val="22"/>
                <w:szCs w:val="22"/>
              </w:rPr>
              <w:br/>
            </w:r>
            <w:r w:rsidRPr="00670486">
              <w:rPr>
                <w:b/>
                <w:bCs/>
                <w:i/>
                <w:iCs/>
                <w:color w:val="0000FF"/>
                <w:sz w:val="22"/>
                <w:szCs w:val="22"/>
              </w:rPr>
              <w:t>Solicitations@jud.ca.gov</w:t>
            </w:r>
          </w:p>
        </w:tc>
      </w:tr>
    </w:tbl>
    <w:p w:rsidR="00AE7F40" w:rsidRPr="00FF7C7A" w:rsidRDefault="00AE7F40">
      <w:pPr>
        <w:pStyle w:val="BodyText"/>
        <w:rPr>
          <w:sz w:val="22"/>
          <w:szCs w:val="22"/>
        </w:rPr>
      </w:pPr>
    </w:p>
    <w:p w:rsidR="00AE7F40" w:rsidRPr="00FF7C7A" w:rsidRDefault="00AE7F40">
      <w:pPr>
        <w:rPr>
          <w:sz w:val="22"/>
          <w:szCs w:val="22"/>
        </w:rPr>
        <w:sectPr w:rsidR="00AE7F40" w:rsidRPr="00FF7C7A">
          <w:headerReference w:type="default" r:id="rId8"/>
          <w:headerReference w:type="first" r:id="rId9"/>
          <w:type w:val="continuous"/>
          <w:pgSz w:w="12240" w:h="15840" w:code="1"/>
          <w:pgMar w:top="720" w:right="1440" w:bottom="1440" w:left="1440" w:header="720" w:footer="720" w:gutter="0"/>
          <w:cols w:space="720"/>
          <w:titlePg/>
        </w:sectPr>
      </w:pPr>
    </w:p>
    <w:p w:rsidR="00AE7F40" w:rsidRPr="00347F45" w:rsidRDefault="00AE7F40" w:rsidP="00AE7F40">
      <w:pPr>
        <w:numPr>
          <w:ilvl w:val="0"/>
          <w:numId w:val="29"/>
        </w:numPr>
        <w:ind w:left="720" w:hanging="720"/>
        <w:rPr>
          <w:b/>
        </w:rPr>
      </w:pPr>
      <w:bookmarkStart w:id="0" w:name="bmDate"/>
      <w:bookmarkEnd w:id="0"/>
      <w:r w:rsidRPr="00347F45">
        <w:rPr>
          <w:b/>
        </w:rPr>
        <w:lastRenderedPageBreak/>
        <w:t>GENERAL INFORMATION</w:t>
      </w:r>
    </w:p>
    <w:p w:rsidR="00AE7F40" w:rsidRPr="00347F45" w:rsidRDefault="00AE7F40" w:rsidP="00FF7C79"/>
    <w:p w:rsidR="00AE7F40" w:rsidRPr="00347F45" w:rsidRDefault="00AE7F40" w:rsidP="00FF7C79">
      <w:pPr>
        <w:numPr>
          <w:ilvl w:val="1"/>
          <w:numId w:val="32"/>
        </w:numPr>
        <w:ind w:left="1440" w:hanging="720"/>
      </w:pPr>
      <w:r w:rsidRPr="00347F45">
        <w:rPr>
          <w:u w:val="single"/>
        </w:rPr>
        <w:t>Background</w:t>
      </w:r>
    </w:p>
    <w:p w:rsidR="00AE7F40" w:rsidRPr="00347F45" w:rsidRDefault="00AE7F40" w:rsidP="00FF7C79">
      <w:pPr>
        <w:ind w:left="720"/>
      </w:pPr>
    </w:p>
    <w:p w:rsidR="00AE7F40" w:rsidRPr="00347F45" w:rsidRDefault="00AE7F40" w:rsidP="00FF7C79">
      <w:pPr>
        <w:numPr>
          <w:ilvl w:val="2"/>
          <w:numId w:val="32"/>
        </w:numPr>
        <w:ind w:left="2160" w:hanging="720"/>
      </w:pPr>
      <w:r w:rsidRPr="00347F45">
        <w:t xml:space="preserve">The Judicial Council of </w:t>
      </w:r>
      <w:smartTag w:uri="urn:schemas-microsoft-com:office:smarttags" w:element="State">
        <w:r w:rsidRPr="00347F45">
          <w:t>California</w:t>
        </w:r>
      </w:smartTag>
      <w:r w:rsidRPr="00347F45">
        <w:t xml:space="preserve">, chaired by the Chief Justice of California, is the chief policy making body of the </w:t>
      </w:r>
      <w:smartTag w:uri="urn:schemas-microsoft-com:office:smarttags" w:element="State">
        <w:smartTag w:uri="urn:schemas-microsoft-com:office:smarttags" w:element="place">
          <w:r w:rsidRPr="00347F45">
            <w:t>California</w:t>
          </w:r>
        </w:smartTag>
      </w:smartTag>
      <w:r w:rsidRPr="00347F45">
        <w:t xml:space="preserve"> judicial system.  The California Constitution directs the Council to improve the administration of justice by surveying judicial business, making recommendations to the courts, and making recommendations annually to the Governor and the Legislature.  The Council also adopts rules for court administration, practice, and procedure, and performs other functions prescribed by law.  The Administrative Office of the Courts (AOC) is the staff arm of the Council and assists both the Council and its chair in performing their duties.</w:t>
      </w:r>
    </w:p>
    <w:p w:rsidR="00AE7F40" w:rsidRPr="00347F45" w:rsidRDefault="00AE7F40" w:rsidP="00FF7C79">
      <w:pPr>
        <w:ind w:left="1440"/>
      </w:pPr>
    </w:p>
    <w:p w:rsidR="00AE7F40" w:rsidRPr="00416D31" w:rsidRDefault="00416D31" w:rsidP="00FF7C79">
      <w:pPr>
        <w:numPr>
          <w:ilvl w:val="2"/>
          <w:numId w:val="32"/>
        </w:numPr>
        <w:ind w:left="2160" w:hanging="720"/>
        <w:rPr>
          <w:color w:val="000000"/>
        </w:rPr>
      </w:pPr>
      <w:r w:rsidRPr="00347F45">
        <w:t>The Administrative Office of the Courts (AOC), Center for Families, Children</w:t>
      </w:r>
      <w:r w:rsidRPr="00416D31">
        <w:rPr>
          <w:color w:val="000000"/>
        </w:rPr>
        <w:t xml:space="preserve"> &amp; the Courts (CFCC) is dedicated to improving the quality of justice and services to meet the diverse needs of children, youth, families, and self-represented litigants in the </w:t>
      </w:r>
      <w:smartTag w:uri="urn:schemas-microsoft-com:office:smarttags" w:element="State">
        <w:smartTag w:uri="urn:schemas-microsoft-com:office:smarttags" w:element="place">
          <w:r w:rsidRPr="00416D31">
            <w:rPr>
              <w:color w:val="000000"/>
            </w:rPr>
            <w:t>California</w:t>
          </w:r>
        </w:smartTag>
      </w:smartTag>
      <w:r w:rsidRPr="00416D31">
        <w:rPr>
          <w:color w:val="000000"/>
        </w:rPr>
        <w:t xml:space="preserve"> courts. Working closely with the Judicial Council’s advisory committees and task forces, CFCC provides courts and court-connected agencies statewide with legal and court services, research, educational and training opportunities, print and electronic publications, and financial assistance. This is the Center’s web site:  </w:t>
      </w:r>
      <w:hyperlink r:id="rId10" w:history="1">
        <w:r w:rsidRPr="00416D31">
          <w:rPr>
            <w:rStyle w:val="Hyperlink"/>
          </w:rPr>
          <w:t>http://www.courtinfo.ca.gov/programs/cfcc/programs</w:t>
        </w:r>
      </w:hyperlink>
      <w:r w:rsidRPr="00416D31">
        <w:rPr>
          <w:color w:val="000000"/>
        </w:rPr>
        <w:t>.</w:t>
      </w:r>
    </w:p>
    <w:p w:rsidR="00416D31" w:rsidRPr="00416D31" w:rsidRDefault="00416D31" w:rsidP="00FF7C79">
      <w:pPr>
        <w:ind w:left="1440"/>
        <w:rPr>
          <w:color w:val="000000"/>
        </w:rPr>
      </w:pPr>
    </w:p>
    <w:p w:rsidR="00416D31" w:rsidRPr="00416D31" w:rsidRDefault="00416D31" w:rsidP="00FF7C79">
      <w:pPr>
        <w:numPr>
          <w:ilvl w:val="1"/>
          <w:numId w:val="32"/>
        </w:numPr>
        <w:ind w:left="1440" w:hanging="720"/>
        <w:rPr>
          <w:color w:val="000000"/>
          <w:u w:val="single"/>
        </w:rPr>
      </w:pPr>
      <w:r w:rsidRPr="00416D31">
        <w:rPr>
          <w:color w:val="000000"/>
        </w:rPr>
        <w:t>CFCC’s Performance Measures Project</w:t>
      </w:r>
    </w:p>
    <w:p w:rsidR="00416D31" w:rsidRPr="00416D31" w:rsidRDefault="00416D31" w:rsidP="00FF7C79">
      <w:pPr>
        <w:ind w:left="1440"/>
        <w:rPr>
          <w:color w:val="000000"/>
        </w:rPr>
      </w:pPr>
    </w:p>
    <w:p w:rsidR="00416D31" w:rsidRPr="00416D31" w:rsidRDefault="00416D31" w:rsidP="00FF7C79">
      <w:pPr>
        <w:numPr>
          <w:ilvl w:val="2"/>
          <w:numId w:val="32"/>
        </w:numPr>
        <w:ind w:left="2160" w:hanging="720"/>
        <w:rPr>
          <w:color w:val="000000"/>
        </w:rPr>
      </w:pPr>
      <w:r w:rsidRPr="00416D31">
        <w:rPr>
          <w:color w:val="000000"/>
        </w:rPr>
        <w:t xml:space="preserve">The CFCC Performance Measures Project will develop and deliver tools to judicial officers and court managers to improve juvenile dependency, juvenile delinquency, family and collaborative court performance. The tools will consist of: a guide about court performance; technical specifications on how to collect measures; user guidelines on how to interpret and use the measures for decision-making; and, when the data warehouse of the statewide court case management system (CCMS) is operational, statistical reports that contain performance measures. </w:t>
      </w:r>
    </w:p>
    <w:p w:rsidR="00416D31" w:rsidRPr="00416D31" w:rsidRDefault="00416D31" w:rsidP="00FF7C79">
      <w:pPr>
        <w:ind w:left="1440"/>
        <w:rPr>
          <w:color w:val="000000"/>
        </w:rPr>
      </w:pPr>
    </w:p>
    <w:p w:rsidR="00416D31" w:rsidRPr="00416D31" w:rsidRDefault="00416D31" w:rsidP="00FF7C79">
      <w:pPr>
        <w:numPr>
          <w:ilvl w:val="2"/>
          <w:numId w:val="32"/>
        </w:numPr>
        <w:ind w:left="2160" w:hanging="720"/>
        <w:rPr>
          <w:color w:val="000000"/>
        </w:rPr>
      </w:pPr>
      <w:r w:rsidRPr="00416D31">
        <w:rPr>
          <w:color w:val="000000"/>
        </w:rPr>
        <w:t xml:space="preserve">This RFP calls for the development of a guide for juvenile delinquency performance measures.  The project will require a consultant to convene national experts and users in the court and juvenile justice system to review existing research and practice, define performance measures, gather feedback from stakeholders and build consensus for performance measurement in juvenile delinquency. </w:t>
      </w:r>
    </w:p>
    <w:p w:rsidR="00416D31" w:rsidRPr="00416D31" w:rsidRDefault="00416D31" w:rsidP="00FF7C79">
      <w:pPr>
        <w:ind w:left="1440"/>
        <w:rPr>
          <w:color w:val="000000"/>
        </w:rPr>
      </w:pPr>
    </w:p>
    <w:p w:rsidR="00416D31" w:rsidRPr="00416D31" w:rsidRDefault="00416D31" w:rsidP="00FF7C79">
      <w:pPr>
        <w:numPr>
          <w:ilvl w:val="2"/>
          <w:numId w:val="32"/>
        </w:numPr>
        <w:ind w:left="2160" w:hanging="720"/>
        <w:rPr>
          <w:color w:val="000000"/>
        </w:rPr>
      </w:pPr>
      <w:r w:rsidRPr="00416D31">
        <w:rPr>
          <w:color w:val="000000"/>
        </w:rPr>
        <w:t>The starting point for further development of the guide will be the Draft AOC Performance Measures in Juvenile Delinquency</w:t>
      </w:r>
      <w:r w:rsidR="00921ECA">
        <w:rPr>
          <w:color w:val="000000"/>
        </w:rPr>
        <w:t xml:space="preserve"> set forth as </w:t>
      </w:r>
      <w:r w:rsidR="00921ECA">
        <w:rPr>
          <w:color w:val="000000"/>
        </w:rPr>
        <w:lastRenderedPageBreak/>
        <w:t>Appendix A to this RFP</w:t>
      </w:r>
      <w:r w:rsidRPr="00416D31">
        <w:rPr>
          <w:color w:val="000000"/>
        </w:rPr>
        <w:t xml:space="preserve"> and other source documents </w:t>
      </w:r>
      <w:r w:rsidRPr="00347F45">
        <w:rPr>
          <w:color w:val="000000"/>
        </w:rPr>
        <w:t xml:space="preserve">specified in </w:t>
      </w:r>
      <w:r w:rsidRPr="00347F45">
        <w:rPr>
          <w:color w:val="000000"/>
          <w:u w:val="single"/>
        </w:rPr>
        <w:t>Section 3.2.7</w:t>
      </w:r>
      <w:r w:rsidR="00B423E9" w:rsidRPr="00347F45">
        <w:rPr>
          <w:color w:val="000000"/>
        </w:rPr>
        <w:t>.</w:t>
      </w:r>
      <w:r w:rsidRPr="00347F45">
        <w:rPr>
          <w:color w:val="000000"/>
        </w:rPr>
        <w:t xml:space="preserve">  The entire guide will be developed in consultation wi</w:t>
      </w:r>
      <w:r w:rsidRPr="00416D31">
        <w:rPr>
          <w:color w:val="000000"/>
        </w:rPr>
        <w:t xml:space="preserve">th CFCC, state court partners, and state juvenile justice stakeholders outside the courts. The guide will include sections establishing the need for performance measurement, describing the dimensions of performance that should be measured in juvenile delinquency, specifying the measures within each dimension, and describing the methods of collecting quantitative data for calculating the court performance measures. </w:t>
      </w:r>
    </w:p>
    <w:p w:rsidR="00416D31" w:rsidRPr="00347F45" w:rsidRDefault="00416D31" w:rsidP="00FF7C79">
      <w:pPr>
        <w:ind w:left="1440"/>
      </w:pPr>
    </w:p>
    <w:p w:rsidR="00AE7F40" w:rsidRPr="00347F45" w:rsidRDefault="00AE7F40" w:rsidP="00FF7C79">
      <w:pPr>
        <w:numPr>
          <w:ilvl w:val="0"/>
          <w:numId w:val="29"/>
        </w:numPr>
        <w:ind w:left="720" w:hanging="720"/>
        <w:rPr>
          <w:b/>
        </w:rPr>
      </w:pPr>
      <w:r w:rsidRPr="00347F45">
        <w:rPr>
          <w:b/>
        </w:rPr>
        <w:t xml:space="preserve">PURPOSE OF THIS RFP </w:t>
      </w:r>
    </w:p>
    <w:p w:rsidR="00AE7F40" w:rsidRPr="00347F45" w:rsidRDefault="00AE7F40" w:rsidP="00FF7C79"/>
    <w:p w:rsidR="00AE7F40" w:rsidRPr="00416D31" w:rsidRDefault="00705B8C" w:rsidP="00FF7C79">
      <w:pPr>
        <w:numPr>
          <w:ilvl w:val="1"/>
          <w:numId w:val="29"/>
        </w:numPr>
        <w:ind w:left="1440" w:hanging="720"/>
        <w:rPr>
          <w:color w:val="000000"/>
        </w:rPr>
      </w:pPr>
      <w:r w:rsidRPr="00705B8C">
        <w:rPr>
          <w:color w:val="000000"/>
        </w:rPr>
        <w:t>The AOC seeks the services of a consultant with expertise in juvenile delinquency, court processes, developing court performance measures, and working with court and juvenile justice stakeholders.</w:t>
      </w:r>
    </w:p>
    <w:p w:rsidR="00AE7F40" w:rsidRPr="00416D31" w:rsidRDefault="00AE7F40" w:rsidP="00FF7C79">
      <w:pPr>
        <w:ind w:left="720"/>
        <w:rPr>
          <w:color w:val="000000"/>
        </w:rPr>
      </w:pPr>
    </w:p>
    <w:p w:rsidR="00AE7F40" w:rsidRDefault="00705B8C" w:rsidP="00FF7C79">
      <w:pPr>
        <w:numPr>
          <w:ilvl w:val="1"/>
          <w:numId w:val="29"/>
        </w:numPr>
        <w:ind w:left="1440" w:hanging="720"/>
        <w:rPr>
          <w:color w:val="000000"/>
        </w:rPr>
      </w:pPr>
      <w:r w:rsidRPr="00705B8C">
        <w:rPr>
          <w:color w:val="000000"/>
        </w:rPr>
        <w:t>The consultant is expected to convene national experts and users in the delinquency court and juvenile justice system to review existing research and practice, define performance measures, gather feedback from stakeholders and build consensus for performance measurement in juvenile delinquency.</w:t>
      </w:r>
    </w:p>
    <w:p w:rsidR="00705B8C" w:rsidRDefault="00705B8C" w:rsidP="00FF7C79">
      <w:pPr>
        <w:pStyle w:val="ListParagraph"/>
        <w:rPr>
          <w:color w:val="000000"/>
        </w:rPr>
      </w:pPr>
    </w:p>
    <w:p w:rsidR="00705B8C" w:rsidRPr="00416D31" w:rsidRDefault="00705B8C" w:rsidP="00FF7C79">
      <w:pPr>
        <w:numPr>
          <w:ilvl w:val="1"/>
          <w:numId w:val="29"/>
        </w:numPr>
        <w:ind w:left="1440" w:hanging="720"/>
        <w:rPr>
          <w:color w:val="000000"/>
        </w:rPr>
      </w:pPr>
      <w:r w:rsidRPr="00705B8C">
        <w:rPr>
          <w:color w:val="000000"/>
        </w:rPr>
        <w:t xml:space="preserve">The consultant is also expected to co-author the guide to performance measurement with CFCC staff. The measures must capture essential dimensions of a juvenile delinquency court, including but not limited to hearing timeliness, fair procedures, public safety, victim restoration, and youth accountability and rehabilitation. The measures should be developed based on existing research and practice in delinquency and related fields, the information needs of court leaders, the obligation of the courts to report on its own performance, the policy priorities of the Judicial Council, and related work being conducted by the other California agencies. The capabilities of the </w:t>
      </w:r>
      <w:smartTag w:uri="urn:schemas-microsoft-com:office:smarttags" w:element="State">
        <w:r w:rsidRPr="00705B8C">
          <w:rPr>
            <w:color w:val="000000"/>
          </w:rPr>
          <w:t>California</w:t>
        </w:r>
      </w:smartTag>
      <w:r w:rsidRPr="00705B8C">
        <w:rPr>
          <w:color w:val="000000"/>
        </w:rPr>
        <w:t xml:space="preserve"> court case management system (CCMS) and possibilities for exchanging data with justice partners should also be considered in the development of the measures, and the statistics and measures already incorporated into CCMS must be incorporated into any final measurement schema for </w:t>
      </w:r>
      <w:smartTag w:uri="urn:schemas-microsoft-com:office:smarttags" w:element="place">
        <w:smartTag w:uri="urn:schemas-microsoft-com:office:smarttags" w:element="State">
          <w:r w:rsidRPr="00705B8C">
            <w:rPr>
              <w:color w:val="000000"/>
            </w:rPr>
            <w:t>California</w:t>
          </w:r>
        </w:smartTag>
      </w:smartTag>
      <w:r w:rsidRPr="00705B8C">
        <w:rPr>
          <w:color w:val="000000"/>
        </w:rPr>
        <w:t>.</w:t>
      </w:r>
    </w:p>
    <w:p w:rsidR="00AE7F40" w:rsidRPr="00347F45" w:rsidRDefault="00AE7F40" w:rsidP="00FF7C79">
      <w:pPr>
        <w:pStyle w:val="BodyTextIndent2"/>
        <w:spacing w:after="0" w:line="240" w:lineRule="auto"/>
      </w:pPr>
    </w:p>
    <w:p w:rsidR="00AE7F40" w:rsidRPr="00347F45" w:rsidRDefault="00AE7F40" w:rsidP="00FF7C79">
      <w:pPr>
        <w:numPr>
          <w:ilvl w:val="0"/>
          <w:numId w:val="29"/>
        </w:numPr>
        <w:ind w:left="720" w:hanging="720"/>
        <w:rPr>
          <w:b/>
        </w:rPr>
      </w:pPr>
      <w:r w:rsidRPr="00347F45">
        <w:rPr>
          <w:b/>
        </w:rPr>
        <w:t>SCOPE OF SERVICES</w:t>
      </w:r>
    </w:p>
    <w:p w:rsidR="00AE7F40" w:rsidRPr="00347F45" w:rsidRDefault="00AE7F40" w:rsidP="00FF7C79"/>
    <w:p w:rsidR="00AE7F40" w:rsidRPr="00E71C3D" w:rsidRDefault="00192AB3" w:rsidP="00FF7C79">
      <w:pPr>
        <w:numPr>
          <w:ilvl w:val="1"/>
          <w:numId w:val="29"/>
        </w:numPr>
        <w:ind w:left="1440" w:hanging="720"/>
        <w:rPr>
          <w:color w:val="000000"/>
        </w:rPr>
      </w:pPr>
      <w:r w:rsidRPr="00192AB3">
        <w:rPr>
          <w:color w:val="000000"/>
        </w:rPr>
        <w:t>Services are expected to be performed by the consultant between</w:t>
      </w:r>
      <w:r w:rsidR="00E71C3D">
        <w:rPr>
          <w:color w:val="000000"/>
        </w:rPr>
        <w:t xml:space="preserve"> June </w:t>
      </w:r>
      <w:r w:rsidRPr="00192AB3">
        <w:rPr>
          <w:color w:val="000000"/>
        </w:rPr>
        <w:t xml:space="preserve">2009 and </w:t>
      </w:r>
      <w:r w:rsidR="00A92090">
        <w:rPr>
          <w:color w:val="000000"/>
        </w:rPr>
        <w:t>June</w:t>
      </w:r>
      <w:r w:rsidRPr="00192AB3">
        <w:rPr>
          <w:color w:val="000000"/>
        </w:rPr>
        <w:t xml:space="preserve"> 20</w:t>
      </w:r>
      <w:r w:rsidR="00A92090">
        <w:rPr>
          <w:color w:val="000000"/>
        </w:rPr>
        <w:t>10</w:t>
      </w:r>
      <w:r w:rsidR="00B423E9">
        <w:rPr>
          <w:color w:val="000000"/>
        </w:rPr>
        <w:t xml:space="preserve">. </w:t>
      </w:r>
    </w:p>
    <w:p w:rsidR="00AE7F40" w:rsidRPr="00416D31" w:rsidRDefault="00AE7F40" w:rsidP="00FF7C79">
      <w:pPr>
        <w:ind w:left="1440" w:hanging="720"/>
        <w:rPr>
          <w:color w:val="000000"/>
        </w:rPr>
      </w:pPr>
    </w:p>
    <w:p w:rsidR="00AE7F40" w:rsidRPr="00416D31" w:rsidRDefault="00192AB3" w:rsidP="00FF7C79">
      <w:pPr>
        <w:numPr>
          <w:ilvl w:val="1"/>
          <w:numId w:val="29"/>
        </w:numPr>
        <w:ind w:left="1440" w:hanging="720"/>
        <w:rPr>
          <w:color w:val="000000"/>
        </w:rPr>
      </w:pPr>
      <w:r w:rsidRPr="00192AB3">
        <w:rPr>
          <w:color w:val="000000"/>
        </w:rPr>
        <w:t>The consultant will be asked to:</w:t>
      </w:r>
    </w:p>
    <w:p w:rsidR="00AE7F40" w:rsidRPr="00416D31" w:rsidRDefault="00AE7F40" w:rsidP="00FF7C79">
      <w:pPr>
        <w:ind w:left="1440"/>
        <w:rPr>
          <w:color w:val="000000"/>
        </w:rPr>
      </w:pPr>
    </w:p>
    <w:p w:rsidR="00AE7F40" w:rsidRPr="00416D31" w:rsidRDefault="00192AB3" w:rsidP="00FF7C79">
      <w:pPr>
        <w:pStyle w:val="ColorfulList-Accent11"/>
        <w:numPr>
          <w:ilvl w:val="2"/>
          <w:numId w:val="14"/>
        </w:numPr>
        <w:tabs>
          <w:tab w:val="left" w:pos="2160"/>
        </w:tabs>
        <w:rPr>
          <w:color w:val="000000"/>
        </w:rPr>
      </w:pPr>
      <w:r w:rsidRPr="00192AB3">
        <w:rPr>
          <w:color w:val="000000"/>
        </w:rPr>
        <w:t>Participate in an initial planning meeting or conference call with CFCC staff and their invitees.</w:t>
      </w:r>
    </w:p>
    <w:p w:rsidR="00AE7F40" w:rsidRPr="00416D31" w:rsidRDefault="00192AB3" w:rsidP="00FF7C79">
      <w:pPr>
        <w:pStyle w:val="ColorfulList-Accent11"/>
        <w:numPr>
          <w:ilvl w:val="2"/>
          <w:numId w:val="14"/>
        </w:numPr>
        <w:tabs>
          <w:tab w:val="left" w:pos="720"/>
        </w:tabs>
        <w:rPr>
          <w:color w:val="000000"/>
        </w:rPr>
      </w:pPr>
      <w:r w:rsidRPr="00192AB3">
        <w:rPr>
          <w:color w:val="000000"/>
        </w:rPr>
        <w:t xml:space="preserve">Facilitate a meeting with CFCC and the Juvenile Delinquency Court Improvement Resource Group in San Francisco, present a project work </w:t>
      </w:r>
      <w:r w:rsidRPr="00192AB3">
        <w:rPr>
          <w:color w:val="000000"/>
        </w:rPr>
        <w:lastRenderedPageBreak/>
        <w:t>plan, and incorporate feedback. This plan will include: proposed meeting agendas, proposed national working group members, project goals, and outlines of meeting materials</w:t>
      </w:r>
      <w:r>
        <w:rPr>
          <w:color w:val="000000"/>
        </w:rPr>
        <w:t>.</w:t>
      </w:r>
    </w:p>
    <w:p w:rsidR="00AE7F40" w:rsidRPr="00416D31" w:rsidRDefault="00192AB3" w:rsidP="00AE7F40">
      <w:pPr>
        <w:pStyle w:val="ColorfulList-Accent11"/>
        <w:numPr>
          <w:ilvl w:val="2"/>
          <w:numId w:val="14"/>
        </w:numPr>
        <w:tabs>
          <w:tab w:val="left" w:pos="720"/>
        </w:tabs>
        <w:rPr>
          <w:color w:val="000000"/>
        </w:rPr>
      </w:pPr>
      <w:r w:rsidRPr="00192AB3">
        <w:rPr>
          <w:color w:val="000000"/>
        </w:rPr>
        <w:t>Finalize an approved project plan.</w:t>
      </w:r>
    </w:p>
    <w:p w:rsidR="00AE7F40" w:rsidRPr="00416D31" w:rsidRDefault="00192AB3" w:rsidP="00AE7F40">
      <w:pPr>
        <w:pStyle w:val="ColorfulList-Accent11"/>
        <w:numPr>
          <w:ilvl w:val="2"/>
          <w:numId w:val="14"/>
        </w:numPr>
        <w:tabs>
          <w:tab w:val="left" w:pos="720"/>
        </w:tabs>
        <w:rPr>
          <w:color w:val="000000"/>
        </w:rPr>
      </w:pPr>
      <w:r w:rsidRPr="00192AB3">
        <w:rPr>
          <w:color w:val="000000"/>
        </w:rPr>
        <w:t>Form the national working group</w:t>
      </w:r>
      <w:r w:rsidR="00D5788D">
        <w:rPr>
          <w:color w:val="000000"/>
        </w:rPr>
        <w:t xml:space="preserve"> of approximately 8-10 people</w:t>
      </w:r>
      <w:r w:rsidRPr="00192AB3">
        <w:rPr>
          <w:color w:val="000000"/>
        </w:rPr>
        <w:t>.</w:t>
      </w:r>
    </w:p>
    <w:p w:rsidR="00AE7F40" w:rsidRPr="00347F45" w:rsidRDefault="00192AB3" w:rsidP="00A92090">
      <w:pPr>
        <w:pStyle w:val="ColorfulList-Accent11"/>
        <w:numPr>
          <w:ilvl w:val="2"/>
          <w:numId w:val="14"/>
        </w:numPr>
        <w:tabs>
          <w:tab w:val="left" w:pos="720"/>
        </w:tabs>
        <w:rPr>
          <w:color w:val="000000"/>
        </w:rPr>
      </w:pPr>
      <w:r w:rsidRPr="00192AB3">
        <w:rPr>
          <w:color w:val="000000"/>
        </w:rPr>
        <w:t xml:space="preserve">Facilitate a two-day </w:t>
      </w:r>
      <w:r w:rsidR="00D5788D">
        <w:rPr>
          <w:color w:val="000000"/>
        </w:rPr>
        <w:t xml:space="preserve">meeting </w:t>
      </w:r>
      <w:r w:rsidRPr="00192AB3">
        <w:rPr>
          <w:color w:val="000000"/>
        </w:rPr>
        <w:t xml:space="preserve">of the national working group, the Juvenile Delinquency Court Improvement Resource Group, and other CFCC invitees for a discussion on juvenile delinquency court performance measures. This </w:t>
      </w:r>
      <w:r w:rsidR="00E71C3D">
        <w:rPr>
          <w:color w:val="000000"/>
        </w:rPr>
        <w:t xml:space="preserve">meeting </w:t>
      </w:r>
      <w:r w:rsidRPr="00192AB3">
        <w:rPr>
          <w:color w:val="000000"/>
        </w:rPr>
        <w:t xml:space="preserve">will highlight the importance of creating and using measures, outline the unique dimensions of performance measures in juvenile delinquency, share information about the state of performance measurement in juvenile delinquency to date, and provide lessons from court performance measures projects developed and tested for other case types. This includes drawing from the draft AOC Performance Measures </w:t>
      </w:r>
      <w:r w:rsidRPr="00347F45">
        <w:rPr>
          <w:color w:val="000000"/>
        </w:rPr>
        <w:t>in Juvenile Delinquency</w:t>
      </w:r>
      <w:r w:rsidR="00716B9F" w:rsidRPr="00347F45">
        <w:rPr>
          <w:b/>
          <w:color w:val="FF0000"/>
        </w:rPr>
        <w:t xml:space="preserve"> </w:t>
      </w:r>
      <w:r w:rsidRPr="00347F45">
        <w:rPr>
          <w:color w:val="000000"/>
        </w:rPr>
        <w:t xml:space="preserve">and other best practices documents listed in </w:t>
      </w:r>
      <w:r w:rsidRPr="00347F45">
        <w:rPr>
          <w:color w:val="000000"/>
          <w:u w:val="single"/>
        </w:rPr>
        <w:t>Section 3.2.7</w:t>
      </w:r>
      <w:r w:rsidR="00A1145B" w:rsidRPr="00347F45">
        <w:rPr>
          <w:color w:val="000000"/>
        </w:rPr>
        <w:t>, below</w:t>
      </w:r>
      <w:r w:rsidRPr="00347F45">
        <w:rPr>
          <w:color w:val="000000"/>
        </w:rPr>
        <w:t>.</w:t>
      </w:r>
    </w:p>
    <w:p w:rsidR="00AE7F40" w:rsidRDefault="00192AB3" w:rsidP="00AE7F40">
      <w:pPr>
        <w:pStyle w:val="ColorfulList-Accent11"/>
        <w:numPr>
          <w:ilvl w:val="2"/>
          <w:numId w:val="14"/>
        </w:numPr>
        <w:tabs>
          <w:tab w:val="left" w:pos="1440"/>
        </w:tabs>
        <w:rPr>
          <w:color w:val="000000"/>
        </w:rPr>
      </w:pPr>
      <w:r w:rsidRPr="00347F45">
        <w:rPr>
          <w:color w:val="000000"/>
        </w:rPr>
        <w:t xml:space="preserve">Facilitate </w:t>
      </w:r>
      <w:r w:rsidR="00D5788D" w:rsidRPr="00347F45">
        <w:rPr>
          <w:color w:val="000000"/>
        </w:rPr>
        <w:t>four</w:t>
      </w:r>
      <w:r w:rsidRPr="00347F45">
        <w:rPr>
          <w:color w:val="000000"/>
        </w:rPr>
        <w:t xml:space="preserve"> workshops to assess information needs and performance</w:t>
      </w:r>
      <w:r w:rsidRPr="00192AB3">
        <w:rPr>
          <w:color w:val="000000"/>
        </w:rPr>
        <w:t xml:space="preserve"> area priorities of courts</w:t>
      </w:r>
      <w:r w:rsidR="00D5788D">
        <w:rPr>
          <w:color w:val="000000"/>
        </w:rPr>
        <w:t xml:space="preserve"> </w:t>
      </w:r>
      <w:r w:rsidRPr="00192AB3">
        <w:rPr>
          <w:color w:val="000000"/>
        </w:rPr>
        <w:t>and justice partners in California</w:t>
      </w:r>
      <w:r w:rsidR="00D5788D">
        <w:rPr>
          <w:color w:val="000000"/>
        </w:rPr>
        <w:t xml:space="preserve"> (judicial officers, defense attorneys, prosecutors, and probation)</w:t>
      </w:r>
      <w:r w:rsidRPr="00192AB3">
        <w:rPr>
          <w:color w:val="000000"/>
        </w:rPr>
        <w:t xml:space="preserve">. </w:t>
      </w:r>
      <w:r w:rsidR="00D5788D">
        <w:rPr>
          <w:color w:val="000000"/>
        </w:rPr>
        <w:t xml:space="preserve">Provide meeting materials and create memos with meeting results. </w:t>
      </w:r>
      <w:r w:rsidR="00E71C3D">
        <w:rPr>
          <w:color w:val="000000"/>
        </w:rPr>
        <w:t>Each of t</w:t>
      </w:r>
      <w:r w:rsidR="00103BFB">
        <w:rPr>
          <w:color w:val="000000"/>
        </w:rPr>
        <w:t>hese workshops should contain approximately 8-10 stakeholders</w:t>
      </w:r>
      <w:r w:rsidR="008D1F44">
        <w:rPr>
          <w:color w:val="000000"/>
        </w:rPr>
        <w:t xml:space="preserve"> from different counties</w:t>
      </w:r>
      <w:r w:rsidR="00103BFB">
        <w:rPr>
          <w:color w:val="000000"/>
        </w:rPr>
        <w:t>, at least one member of the Resource Group, and two AOC staff.</w:t>
      </w:r>
    </w:p>
    <w:p w:rsidR="00192AB3" w:rsidRDefault="00192AB3" w:rsidP="00A92090">
      <w:pPr>
        <w:pStyle w:val="ColorfulList-Accent11"/>
        <w:numPr>
          <w:ilvl w:val="2"/>
          <w:numId w:val="14"/>
        </w:numPr>
        <w:tabs>
          <w:tab w:val="left" w:pos="1440"/>
        </w:tabs>
        <w:rPr>
          <w:color w:val="000000"/>
        </w:rPr>
      </w:pPr>
      <w:r w:rsidRPr="00192AB3">
        <w:rPr>
          <w:color w:val="000000"/>
        </w:rPr>
        <w:t xml:space="preserve">Based upon the information gathered in the workshops and conference and on, </w:t>
      </w:r>
      <w:r w:rsidRPr="00192AB3">
        <w:rPr>
          <w:i/>
          <w:color w:val="000000"/>
        </w:rPr>
        <w:t>Delinquency Guidelines</w:t>
      </w:r>
      <w:r w:rsidR="00A92090">
        <w:rPr>
          <w:rStyle w:val="FootnoteReference"/>
          <w:i/>
          <w:color w:val="000000"/>
        </w:rPr>
        <w:footnoteReference w:id="2"/>
      </w:r>
      <w:r w:rsidRPr="00192AB3">
        <w:rPr>
          <w:color w:val="000000"/>
        </w:rPr>
        <w:t xml:space="preserve">, </w:t>
      </w:r>
      <w:r w:rsidRPr="00192AB3">
        <w:rPr>
          <w:i/>
          <w:color w:val="000000"/>
        </w:rPr>
        <w:t>Building a Better Court</w:t>
      </w:r>
      <w:r w:rsidR="00A92090">
        <w:rPr>
          <w:rStyle w:val="FootnoteReference"/>
          <w:i/>
          <w:color w:val="000000"/>
        </w:rPr>
        <w:footnoteReference w:id="3"/>
      </w:r>
      <w:r w:rsidRPr="00192AB3">
        <w:rPr>
          <w:color w:val="000000"/>
        </w:rPr>
        <w:t>, the Delinquency Performance Measures Demonstration Project</w:t>
      </w:r>
      <w:r w:rsidR="00A92090">
        <w:rPr>
          <w:rStyle w:val="FootnoteReference"/>
          <w:color w:val="000000"/>
        </w:rPr>
        <w:footnoteReference w:id="4"/>
      </w:r>
      <w:r w:rsidRPr="00192AB3">
        <w:rPr>
          <w:color w:val="000000"/>
        </w:rPr>
        <w:t>, and other agreed-upon best practices documents, revise and expand Draft AOC Performance Measures in Juvenile Delinquency.</w:t>
      </w:r>
    </w:p>
    <w:p w:rsidR="00716B9F" w:rsidRDefault="00716B9F" w:rsidP="00AE7F40">
      <w:pPr>
        <w:pStyle w:val="ColorfulList-Accent11"/>
        <w:numPr>
          <w:ilvl w:val="2"/>
          <w:numId w:val="14"/>
        </w:numPr>
        <w:tabs>
          <w:tab w:val="left" w:pos="1440"/>
        </w:tabs>
        <w:rPr>
          <w:color w:val="000000"/>
        </w:rPr>
      </w:pPr>
      <w:r w:rsidRPr="00716B9F">
        <w:rPr>
          <w:color w:val="000000"/>
        </w:rPr>
        <w:t>Send the national working group and the Juvenile Delinquency Court Improvement resource group draft measures, a review of the results of the stakeholder meetings, and guidance on how to review materials.</w:t>
      </w:r>
    </w:p>
    <w:p w:rsidR="00716B9F" w:rsidRDefault="00716B9F" w:rsidP="00AE7F40">
      <w:pPr>
        <w:pStyle w:val="ColorfulList-Accent11"/>
        <w:numPr>
          <w:ilvl w:val="2"/>
          <w:numId w:val="14"/>
        </w:numPr>
        <w:tabs>
          <w:tab w:val="left" w:pos="1440"/>
        </w:tabs>
        <w:rPr>
          <w:color w:val="000000"/>
        </w:rPr>
      </w:pPr>
      <w:r w:rsidRPr="00716B9F">
        <w:rPr>
          <w:color w:val="000000"/>
        </w:rPr>
        <w:t xml:space="preserve">Convene the </w:t>
      </w:r>
      <w:r w:rsidR="00E71C3D">
        <w:rPr>
          <w:color w:val="000000"/>
        </w:rPr>
        <w:t xml:space="preserve">national </w:t>
      </w:r>
      <w:r w:rsidRPr="00716B9F">
        <w:rPr>
          <w:color w:val="000000"/>
        </w:rPr>
        <w:t>working group in a one day meeting to discuss the findings and critique the revised performance measures.</w:t>
      </w:r>
    </w:p>
    <w:p w:rsidR="00103BFB" w:rsidRDefault="00103BFB" w:rsidP="00AE7F40">
      <w:pPr>
        <w:pStyle w:val="ColorfulList-Accent11"/>
        <w:numPr>
          <w:ilvl w:val="2"/>
          <w:numId w:val="14"/>
        </w:numPr>
        <w:tabs>
          <w:tab w:val="left" w:pos="1440"/>
        </w:tabs>
        <w:rPr>
          <w:color w:val="000000"/>
        </w:rPr>
      </w:pPr>
      <w:r>
        <w:rPr>
          <w:color w:val="000000"/>
        </w:rPr>
        <w:t>Convene a one-day meeting of state-level representatives to discuss the findings, critique the revised performance measures, and discuss future data exchanges and collaboration.</w:t>
      </w:r>
    </w:p>
    <w:p w:rsidR="00716B9F" w:rsidRDefault="00716B9F" w:rsidP="00AE7F40">
      <w:pPr>
        <w:pStyle w:val="ColorfulList-Accent11"/>
        <w:numPr>
          <w:ilvl w:val="2"/>
          <w:numId w:val="14"/>
        </w:numPr>
        <w:tabs>
          <w:tab w:val="left" w:pos="1440"/>
        </w:tabs>
        <w:rPr>
          <w:color w:val="000000"/>
        </w:rPr>
      </w:pPr>
      <w:r w:rsidRPr="00716B9F">
        <w:rPr>
          <w:color w:val="000000"/>
        </w:rPr>
        <w:lastRenderedPageBreak/>
        <w:t>Co-author a guide with CFCC that will present the AOC Juvenile Delinquency Court Performance Measures with discussions that justify the need for performance measurement, describe the dimensions of performance that should be measured in juvenile delinquency, explain how they fit with the dimensions of performance, and describe the methods of collecting quantitative court performance measures.  The AOC will be responsible for copy editing, duplicating, and distributing guide.</w:t>
      </w:r>
      <w:r w:rsidR="00D5788D">
        <w:rPr>
          <w:color w:val="000000"/>
        </w:rPr>
        <w:t xml:space="preserve"> The consultant will produce the first draft and revisions as directed by the AOC and the Resource Group.</w:t>
      </w:r>
    </w:p>
    <w:p w:rsidR="00716B9F" w:rsidRDefault="00716B9F" w:rsidP="00AE7F40">
      <w:pPr>
        <w:pStyle w:val="ColorfulList-Accent11"/>
        <w:numPr>
          <w:ilvl w:val="2"/>
          <w:numId w:val="14"/>
        </w:numPr>
        <w:tabs>
          <w:tab w:val="left" w:pos="1440"/>
        </w:tabs>
        <w:rPr>
          <w:color w:val="000000"/>
        </w:rPr>
      </w:pPr>
      <w:r w:rsidRPr="00716B9F">
        <w:rPr>
          <w:color w:val="000000"/>
        </w:rPr>
        <w:t>Participate in wrap-up meeting to present the guide to the Juvenile Delinquency Court Improvement resource group or the Family and Juvenile Law subcommittee.</w:t>
      </w:r>
    </w:p>
    <w:p w:rsidR="00716B9F" w:rsidRDefault="00716B9F" w:rsidP="00AE7F40">
      <w:pPr>
        <w:pStyle w:val="ColorfulList-Accent11"/>
        <w:numPr>
          <w:ilvl w:val="2"/>
          <w:numId w:val="14"/>
        </w:numPr>
        <w:tabs>
          <w:tab w:val="left" w:pos="1440"/>
        </w:tabs>
        <w:rPr>
          <w:color w:val="000000"/>
        </w:rPr>
      </w:pPr>
      <w:r w:rsidRPr="00716B9F">
        <w:rPr>
          <w:color w:val="000000"/>
        </w:rPr>
        <w:t>Consultant will work with CFCC staff to identify potential members of the working group and workshop participants.</w:t>
      </w:r>
    </w:p>
    <w:p w:rsidR="00716B9F" w:rsidRDefault="00716B9F" w:rsidP="00AE7F40">
      <w:pPr>
        <w:pStyle w:val="ColorfulList-Accent11"/>
        <w:numPr>
          <w:ilvl w:val="2"/>
          <w:numId w:val="14"/>
        </w:numPr>
        <w:tabs>
          <w:tab w:val="left" w:pos="1440"/>
        </w:tabs>
        <w:rPr>
          <w:color w:val="000000"/>
        </w:rPr>
      </w:pPr>
      <w:r w:rsidRPr="00716B9F">
        <w:rPr>
          <w:color w:val="000000"/>
        </w:rPr>
        <w:t xml:space="preserve">Consultant is responsible for meeting planning and logistics, sending invitations to participants (mailing list provided by CFCC), producing working documents for use at meetings, and covering their travel and other expenses. CFCC will provide the meeting facilities (AOC offices in </w:t>
      </w:r>
      <w:smartTag w:uri="urn:schemas-microsoft-com:office:smarttags" w:element="City">
        <w:r w:rsidRPr="00716B9F">
          <w:rPr>
            <w:color w:val="000000"/>
          </w:rPr>
          <w:t>San Francisco</w:t>
        </w:r>
      </w:smartTag>
      <w:r w:rsidRPr="00716B9F">
        <w:rPr>
          <w:color w:val="000000"/>
        </w:rPr>
        <w:t xml:space="preserve">, </w:t>
      </w:r>
      <w:smartTag w:uri="urn:schemas-microsoft-com:office:smarttags" w:element="City">
        <w:r w:rsidRPr="00716B9F">
          <w:rPr>
            <w:color w:val="000000"/>
          </w:rPr>
          <w:t>Burbank</w:t>
        </w:r>
      </w:smartTag>
      <w:r w:rsidRPr="00716B9F">
        <w:rPr>
          <w:color w:val="000000"/>
        </w:rPr>
        <w:t xml:space="preserve">, and </w:t>
      </w:r>
      <w:smartTag w:uri="urn:schemas-microsoft-com:office:smarttags" w:element="place">
        <w:smartTag w:uri="urn:schemas-microsoft-com:office:smarttags" w:element="City">
          <w:r w:rsidRPr="00716B9F">
            <w:rPr>
              <w:color w:val="000000"/>
            </w:rPr>
            <w:t>Sacramento</w:t>
          </w:r>
        </w:smartTag>
      </w:smartTag>
      <w:r w:rsidRPr="00716B9F">
        <w:rPr>
          <w:color w:val="000000"/>
        </w:rPr>
        <w:t>), food, and day-of-meeting supplies, such as paper, easel, pens, markers, etc. CFCC will reimburse the travel and lodging costs of participants of the meetings and workshops.</w:t>
      </w:r>
    </w:p>
    <w:p w:rsidR="00716B9F" w:rsidRDefault="00716B9F" w:rsidP="00AE7F40">
      <w:pPr>
        <w:pStyle w:val="ColorfulList-Accent11"/>
        <w:numPr>
          <w:ilvl w:val="2"/>
          <w:numId w:val="14"/>
        </w:numPr>
        <w:tabs>
          <w:tab w:val="left" w:pos="1440"/>
        </w:tabs>
        <w:rPr>
          <w:color w:val="000000"/>
        </w:rPr>
      </w:pPr>
      <w:r w:rsidRPr="00716B9F">
        <w:rPr>
          <w:color w:val="000000"/>
        </w:rPr>
        <w:t>Consultants may be asked to co-present with CFCC staff the guide to at least one juvenile delinquency or juvenile court conference in California, such as Beyond the Bench or the Juvenile Law Institute</w:t>
      </w:r>
      <w:r>
        <w:rPr>
          <w:color w:val="000000"/>
        </w:rPr>
        <w:t>.</w:t>
      </w:r>
    </w:p>
    <w:p w:rsidR="00716B9F" w:rsidRDefault="00716B9F" w:rsidP="00AE7F40">
      <w:pPr>
        <w:pStyle w:val="ColorfulList-Accent11"/>
        <w:numPr>
          <w:ilvl w:val="2"/>
          <w:numId w:val="14"/>
        </w:numPr>
        <w:tabs>
          <w:tab w:val="left" w:pos="1440"/>
        </w:tabs>
        <w:rPr>
          <w:color w:val="000000"/>
        </w:rPr>
      </w:pPr>
      <w:r w:rsidRPr="00716B9F">
        <w:rPr>
          <w:color w:val="000000"/>
        </w:rPr>
        <w:t>Consultants may be asked to co-present with CFCC staff the user’s guide to at least one national juvenile delinquency or juvenile court conference, such as the National Council of Juvenile and Family Law Judges annual conference.</w:t>
      </w:r>
    </w:p>
    <w:p w:rsidR="00AA579B" w:rsidRDefault="00AA579B" w:rsidP="00AA579B">
      <w:pPr>
        <w:pStyle w:val="ColorfulList-Accent11"/>
        <w:tabs>
          <w:tab w:val="left" w:pos="1440"/>
        </w:tabs>
        <w:ind w:left="1440"/>
        <w:rPr>
          <w:color w:val="000000"/>
        </w:rPr>
      </w:pPr>
    </w:p>
    <w:p w:rsidR="00AA579B" w:rsidRDefault="00AA579B" w:rsidP="00AA579B">
      <w:pPr>
        <w:pStyle w:val="ColorfulList-Accent11"/>
        <w:numPr>
          <w:ilvl w:val="1"/>
          <w:numId w:val="14"/>
        </w:numPr>
        <w:tabs>
          <w:tab w:val="left" w:pos="1440"/>
        </w:tabs>
        <w:ind w:left="1440" w:hanging="720"/>
        <w:rPr>
          <w:color w:val="000000"/>
        </w:rPr>
      </w:pPr>
      <w:r w:rsidRPr="00AA579B">
        <w:rPr>
          <w:color w:val="000000"/>
        </w:rPr>
        <w:t>In performing the work of the project, the Consultant will be required to provide the following Deliverables:</w:t>
      </w:r>
    </w:p>
    <w:p w:rsidR="00AA579B" w:rsidRDefault="00AA579B" w:rsidP="00AA579B">
      <w:pPr>
        <w:pStyle w:val="ColorfulList-Accent11"/>
        <w:tabs>
          <w:tab w:val="left" w:pos="1440"/>
        </w:tabs>
        <w:ind w:left="1440"/>
        <w:rPr>
          <w:color w:val="000000"/>
        </w:rPr>
      </w:pPr>
    </w:p>
    <w:tbl>
      <w:tblPr>
        <w:tblW w:w="8190"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1530"/>
        <w:gridCol w:w="5220"/>
      </w:tblGrid>
      <w:tr w:rsidR="00AA579B" w:rsidRPr="00F76260" w:rsidTr="00347F45">
        <w:trPr>
          <w:trHeight w:val="432"/>
          <w:tblHeader/>
        </w:trPr>
        <w:tc>
          <w:tcPr>
            <w:tcW w:w="1440" w:type="dxa"/>
            <w:shd w:val="clear" w:color="auto" w:fill="F2F2F2"/>
            <w:vAlign w:val="center"/>
          </w:tcPr>
          <w:p w:rsidR="00AA579B" w:rsidRPr="00F76260" w:rsidRDefault="00AA579B" w:rsidP="00F76260">
            <w:pPr>
              <w:pStyle w:val="ColorfulList-Accent11"/>
              <w:tabs>
                <w:tab w:val="left" w:pos="1440"/>
              </w:tabs>
              <w:ind w:left="0"/>
              <w:jc w:val="center"/>
              <w:rPr>
                <w:b/>
                <w:color w:val="000000"/>
              </w:rPr>
            </w:pPr>
            <w:r w:rsidRPr="00F76260">
              <w:rPr>
                <w:b/>
                <w:color w:val="000000"/>
              </w:rPr>
              <w:t>Deliverable Number</w:t>
            </w:r>
          </w:p>
        </w:tc>
        <w:tc>
          <w:tcPr>
            <w:tcW w:w="1530" w:type="dxa"/>
            <w:shd w:val="clear" w:color="auto" w:fill="F2F2F2"/>
            <w:vAlign w:val="center"/>
          </w:tcPr>
          <w:p w:rsidR="00AA579B" w:rsidRPr="00F76260" w:rsidRDefault="00AA579B" w:rsidP="00F76260">
            <w:pPr>
              <w:pStyle w:val="ColorfulList-Accent11"/>
              <w:tabs>
                <w:tab w:val="left" w:pos="1440"/>
              </w:tabs>
              <w:ind w:left="0"/>
              <w:jc w:val="center"/>
              <w:rPr>
                <w:b/>
                <w:color w:val="000000"/>
              </w:rPr>
            </w:pPr>
            <w:r w:rsidRPr="00F76260">
              <w:rPr>
                <w:b/>
                <w:color w:val="000000"/>
              </w:rPr>
              <w:t>Duration</w:t>
            </w:r>
          </w:p>
        </w:tc>
        <w:tc>
          <w:tcPr>
            <w:tcW w:w="5220" w:type="dxa"/>
            <w:shd w:val="clear" w:color="auto" w:fill="F2F2F2"/>
            <w:vAlign w:val="center"/>
          </w:tcPr>
          <w:p w:rsidR="00AA579B" w:rsidRPr="00F76260" w:rsidRDefault="00AA579B" w:rsidP="00F76260">
            <w:pPr>
              <w:pStyle w:val="ColorfulList-Accent11"/>
              <w:tabs>
                <w:tab w:val="left" w:pos="1440"/>
              </w:tabs>
              <w:ind w:left="0"/>
              <w:jc w:val="center"/>
              <w:rPr>
                <w:b/>
                <w:color w:val="000000"/>
              </w:rPr>
            </w:pPr>
            <w:r w:rsidRPr="00F76260">
              <w:rPr>
                <w:b/>
                <w:color w:val="000000"/>
              </w:rPr>
              <w:t>Description</w:t>
            </w:r>
          </w:p>
        </w:tc>
      </w:tr>
      <w:tr w:rsidR="00AA579B" w:rsidRPr="00F76260" w:rsidTr="00347F45">
        <w:tc>
          <w:tcPr>
            <w:tcW w:w="1440" w:type="dxa"/>
          </w:tcPr>
          <w:p w:rsidR="00AA579B" w:rsidRPr="00F76260" w:rsidRDefault="00AA579B" w:rsidP="00F76260">
            <w:pPr>
              <w:pStyle w:val="ColorfulList-Accent11"/>
              <w:tabs>
                <w:tab w:val="left" w:pos="1440"/>
              </w:tabs>
              <w:ind w:left="0"/>
              <w:jc w:val="center"/>
              <w:rPr>
                <w:color w:val="000000"/>
              </w:rPr>
            </w:pPr>
            <w:r w:rsidRPr="00F76260">
              <w:rPr>
                <w:color w:val="000000"/>
              </w:rPr>
              <w:t>1</w:t>
            </w:r>
          </w:p>
        </w:tc>
        <w:tc>
          <w:tcPr>
            <w:tcW w:w="1530" w:type="dxa"/>
          </w:tcPr>
          <w:p w:rsidR="00AA579B" w:rsidRPr="00F76260" w:rsidRDefault="00275A58" w:rsidP="00F76260">
            <w:pPr>
              <w:pStyle w:val="ColorfulList-Accent11"/>
              <w:tabs>
                <w:tab w:val="left" w:pos="1440"/>
              </w:tabs>
              <w:ind w:left="0"/>
              <w:jc w:val="center"/>
              <w:rPr>
                <w:color w:val="000000"/>
              </w:rPr>
            </w:pPr>
            <w:r w:rsidRPr="00F76260">
              <w:rPr>
                <w:color w:val="000000"/>
              </w:rPr>
              <w:t>Weeks 1-</w:t>
            </w:r>
            <w:r w:rsidR="00A92090">
              <w:rPr>
                <w:color w:val="000000"/>
              </w:rPr>
              <w:t>13</w:t>
            </w:r>
          </w:p>
        </w:tc>
        <w:tc>
          <w:tcPr>
            <w:tcW w:w="5220" w:type="dxa"/>
          </w:tcPr>
          <w:p w:rsidR="00275A58" w:rsidRPr="00275A58" w:rsidRDefault="00275A58" w:rsidP="00F76260">
            <w:pPr>
              <w:numPr>
                <w:ilvl w:val="0"/>
                <w:numId w:val="35"/>
              </w:numPr>
              <w:ind w:left="342" w:hanging="270"/>
            </w:pPr>
            <w:r w:rsidRPr="00275A58">
              <w:t>Plan</w:t>
            </w:r>
          </w:p>
          <w:p w:rsidR="00AA579B" w:rsidRPr="00F76260" w:rsidRDefault="00275A58" w:rsidP="00F76260">
            <w:pPr>
              <w:pStyle w:val="ColorfulList-Accent11"/>
              <w:numPr>
                <w:ilvl w:val="0"/>
                <w:numId w:val="35"/>
              </w:numPr>
              <w:tabs>
                <w:tab w:val="left" w:pos="342"/>
              </w:tabs>
              <w:ind w:left="342" w:hanging="270"/>
              <w:rPr>
                <w:color w:val="000000"/>
              </w:rPr>
            </w:pPr>
            <w:r w:rsidRPr="00F76260">
              <w:rPr>
                <w:color w:val="000000"/>
              </w:rPr>
              <w:t>Telephone planning meeting with CFCC and their invitees</w:t>
            </w:r>
          </w:p>
          <w:p w:rsidR="00275A58" w:rsidRPr="00F76260" w:rsidRDefault="00275A58" w:rsidP="00F76260">
            <w:pPr>
              <w:pStyle w:val="ColorfulList-Accent11"/>
              <w:numPr>
                <w:ilvl w:val="0"/>
                <w:numId w:val="35"/>
              </w:numPr>
              <w:tabs>
                <w:tab w:val="left" w:pos="342"/>
              </w:tabs>
              <w:ind w:left="342" w:hanging="270"/>
              <w:rPr>
                <w:color w:val="000000"/>
              </w:rPr>
            </w:pPr>
            <w:r w:rsidRPr="00F76260">
              <w:rPr>
                <w:color w:val="000000"/>
              </w:rPr>
              <w:t>Telephone planning meeting with CFCC and JDCI</w:t>
            </w:r>
          </w:p>
          <w:p w:rsidR="00275A58" w:rsidRPr="00F76260" w:rsidRDefault="00275A58" w:rsidP="00F76260">
            <w:pPr>
              <w:pStyle w:val="ColorfulList-Accent11"/>
              <w:numPr>
                <w:ilvl w:val="0"/>
                <w:numId w:val="35"/>
              </w:numPr>
              <w:tabs>
                <w:tab w:val="left" w:pos="342"/>
              </w:tabs>
              <w:ind w:left="342" w:hanging="270"/>
              <w:rPr>
                <w:color w:val="000000"/>
              </w:rPr>
            </w:pPr>
            <w:r w:rsidRPr="00F76260">
              <w:rPr>
                <w:color w:val="000000"/>
              </w:rPr>
              <w:t>Produce approved plan</w:t>
            </w:r>
          </w:p>
          <w:p w:rsidR="00275A58" w:rsidRPr="00F76260" w:rsidRDefault="00275A58" w:rsidP="00F76260">
            <w:pPr>
              <w:pStyle w:val="ColorfulList-Accent11"/>
              <w:numPr>
                <w:ilvl w:val="0"/>
                <w:numId w:val="35"/>
              </w:numPr>
              <w:tabs>
                <w:tab w:val="left" w:pos="342"/>
              </w:tabs>
              <w:ind w:left="342" w:hanging="270"/>
              <w:rPr>
                <w:color w:val="000000"/>
              </w:rPr>
            </w:pPr>
            <w:r w:rsidRPr="00F76260">
              <w:rPr>
                <w:color w:val="000000"/>
              </w:rPr>
              <w:t>Create and invite working group plus AOC staff</w:t>
            </w:r>
          </w:p>
          <w:p w:rsidR="00275A58" w:rsidRPr="00F76260" w:rsidRDefault="00275A58" w:rsidP="00F76260">
            <w:pPr>
              <w:pStyle w:val="ColorfulList-Accent11"/>
              <w:numPr>
                <w:ilvl w:val="0"/>
                <w:numId w:val="35"/>
              </w:numPr>
              <w:tabs>
                <w:tab w:val="left" w:pos="342"/>
              </w:tabs>
              <w:ind w:left="342" w:hanging="270"/>
              <w:rPr>
                <w:color w:val="000000"/>
              </w:rPr>
            </w:pPr>
            <w:r w:rsidRPr="00F76260">
              <w:rPr>
                <w:color w:val="000000"/>
              </w:rPr>
              <w:t>Create approved agenda and materials</w:t>
            </w:r>
          </w:p>
          <w:p w:rsidR="00275A58" w:rsidRPr="00F76260" w:rsidRDefault="00275A58" w:rsidP="00F76260">
            <w:pPr>
              <w:pStyle w:val="ColorfulList-Accent11"/>
              <w:numPr>
                <w:ilvl w:val="0"/>
                <w:numId w:val="35"/>
              </w:numPr>
              <w:tabs>
                <w:tab w:val="left" w:pos="342"/>
              </w:tabs>
              <w:ind w:left="342" w:hanging="270"/>
              <w:rPr>
                <w:color w:val="000000"/>
              </w:rPr>
            </w:pPr>
            <w:r w:rsidRPr="00F76260">
              <w:rPr>
                <w:color w:val="000000"/>
              </w:rPr>
              <w:t xml:space="preserve">Convene working group in a two-day meeting </w:t>
            </w:r>
          </w:p>
          <w:p w:rsidR="00275A58" w:rsidRPr="00F76260" w:rsidRDefault="00275A58" w:rsidP="00F76260">
            <w:pPr>
              <w:pStyle w:val="ColorfulList-Accent11"/>
              <w:numPr>
                <w:ilvl w:val="0"/>
                <w:numId w:val="35"/>
              </w:numPr>
              <w:tabs>
                <w:tab w:val="left" w:pos="342"/>
              </w:tabs>
              <w:ind w:left="342" w:hanging="270"/>
              <w:rPr>
                <w:color w:val="000000"/>
              </w:rPr>
            </w:pPr>
            <w:r w:rsidRPr="00F76260">
              <w:rPr>
                <w:color w:val="000000"/>
              </w:rPr>
              <w:t>Write summaries and analysis of meeting</w:t>
            </w:r>
          </w:p>
        </w:tc>
      </w:tr>
      <w:tr w:rsidR="00AA579B" w:rsidRPr="00F76260" w:rsidTr="00347F45">
        <w:tc>
          <w:tcPr>
            <w:tcW w:w="1440" w:type="dxa"/>
          </w:tcPr>
          <w:p w:rsidR="00AA579B" w:rsidRPr="00F76260" w:rsidRDefault="00AA579B" w:rsidP="00347F45">
            <w:pPr>
              <w:pStyle w:val="ColorfulList-Accent11"/>
              <w:keepNext/>
              <w:tabs>
                <w:tab w:val="left" w:pos="1440"/>
              </w:tabs>
              <w:ind w:left="0"/>
              <w:jc w:val="center"/>
              <w:rPr>
                <w:color w:val="000000"/>
              </w:rPr>
            </w:pPr>
            <w:r w:rsidRPr="00F76260">
              <w:rPr>
                <w:color w:val="000000"/>
              </w:rPr>
              <w:lastRenderedPageBreak/>
              <w:t>2</w:t>
            </w:r>
          </w:p>
        </w:tc>
        <w:tc>
          <w:tcPr>
            <w:tcW w:w="1530" w:type="dxa"/>
          </w:tcPr>
          <w:p w:rsidR="00AA579B" w:rsidRPr="00F76260" w:rsidRDefault="00275A58" w:rsidP="00347F45">
            <w:pPr>
              <w:pStyle w:val="ColorfulList-Accent11"/>
              <w:keepNext/>
              <w:tabs>
                <w:tab w:val="left" w:pos="1440"/>
              </w:tabs>
              <w:ind w:left="0"/>
              <w:jc w:val="center"/>
              <w:rPr>
                <w:color w:val="000000"/>
              </w:rPr>
            </w:pPr>
            <w:r w:rsidRPr="00F76260">
              <w:rPr>
                <w:color w:val="000000"/>
              </w:rPr>
              <w:t xml:space="preserve">Weeks </w:t>
            </w:r>
            <w:r w:rsidR="00A92090">
              <w:rPr>
                <w:color w:val="000000"/>
              </w:rPr>
              <w:t>14</w:t>
            </w:r>
            <w:r w:rsidRPr="00F76260">
              <w:rPr>
                <w:color w:val="000000"/>
              </w:rPr>
              <w:t>-</w:t>
            </w:r>
            <w:r w:rsidR="00A92090">
              <w:rPr>
                <w:color w:val="000000"/>
              </w:rPr>
              <w:t>26</w:t>
            </w:r>
          </w:p>
        </w:tc>
        <w:tc>
          <w:tcPr>
            <w:tcW w:w="5220" w:type="dxa"/>
          </w:tcPr>
          <w:p w:rsidR="00AA579B" w:rsidRPr="00F76260" w:rsidRDefault="00275A58" w:rsidP="00347F45">
            <w:pPr>
              <w:pStyle w:val="ColorfulList-Accent11"/>
              <w:keepNext/>
              <w:numPr>
                <w:ilvl w:val="0"/>
                <w:numId w:val="36"/>
              </w:numPr>
              <w:tabs>
                <w:tab w:val="left" w:pos="342"/>
              </w:tabs>
              <w:ind w:left="342" w:hanging="270"/>
              <w:rPr>
                <w:color w:val="000000"/>
              </w:rPr>
            </w:pPr>
            <w:r w:rsidRPr="00F76260">
              <w:rPr>
                <w:color w:val="000000"/>
              </w:rPr>
              <w:t>Work with stakeholders</w:t>
            </w:r>
          </w:p>
          <w:p w:rsidR="008D1F44" w:rsidRDefault="00275A58" w:rsidP="00347F45">
            <w:pPr>
              <w:pStyle w:val="ColorfulList-Accent11"/>
              <w:keepNext/>
              <w:numPr>
                <w:ilvl w:val="0"/>
                <w:numId w:val="36"/>
              </w:numPr>
              <w:tabs>
                <w:tab w:val="left" w:pos="342"/>
              </w:tabs>
              <w:ind w:left="342" w:hanging="270"/>
              <w:rPr>
                <w:color w:val="000000"/>
              </w:rPr>
            </w:pPr>
            <w:r w:rsidRPr="00F76260">
              <w:rPr>
                <w:color w:val="000000"/>
              </w:rPr>
              <w:t>Conduct workshop</w:t>
            </w:r>
            <w:r w:rsidR="008D1F44">
              <w:rPr>
                <w:color w:val="000000"/>
              </w:rPr>
              <w:t xml:space="preserve">s </w:t>
            </w:r>
          </w:p>
          <w:p w:rsidR="00275A58" w:rsidRPr="008D1F44" w:rsidRDefault="00275A58" w:rsidP="00347F45">
            <w:pPr>
              <w:pStyle w:val="ColorfulList-Accent11"/>
              <w:keepNext/>
              <w:numPr>
                <w:ilvl w:val="0"/>
                <w:numId w:val="36"/>
              </w:numPr>
              <w:tabs>
                <w:tab w:val="left" w:pos="342"/>
              </w:tabs>
              <w:ind w:left="342" w:hanging="270"/>
              <w:rPr>
                <w:color w:val="000000"/>
              </w:rPr>
            </w:pPr>
            <w:r w:rsidRPr="008D1F44">
              <w:rPr>
                <w:color w:val="000000"/>
              </w:rPr>
              <w:t>Produce approved conference agenda and materials</w:t>
            </w:r>
          </w:p>
          <w:p w:rsidR="00275A58" w:rsidRPr="00F76260" w:rsidRDefault="00275A58" w:rsidP="00347F45">
            <w:pPr>
              <w:pStyle w:val="ColorfulList-Accent11"/>
              <w:keepNext/>
              <w:numPr>
                <w:ilvl w:val="0"/>
                <w:numId w:val="36"/>
              </w:numPr>
              <w:tabs>
                <w:tab w:val="left" w:pos="342"/>
              </w:tabs>
              <w:ind w:left="342" w:hanging="270"/>
              <w:rPr>
                <w:color w:val="000000"/>
              </w:rPr>
            </w:pPr>
            <w:r w:rsidRPr="008D1F44">
              <w:rPr>
                <w:color w:val="000000"/>
              </w:rPr>
              <w:t>Write summaries an</w:t>
            </w:r>
            <w:r w:rsidRPr="00F76260">
              <w:rPr>
                <w:color w:val="000000"/>
              </w:rPr>
              <w:t>d analysis of workshops with recommended revisions</w:t>
            </w:r>
          </w:p>
        </w:tc>
      </w:tr>
      <w:tr w:rsidR="00AA579B" w:rsidRPr="00F76260" w:rsidTr="00347F45">
        <w:tc>
          <w:tcPr>
            <w:tcW w:w="1440" w:type="dxa"/>
          </w:tcPr>
          <w:p w:rsidR="00AA579B" w:rsidRPr="00F76260" w:rsidRDefault="00AA579B" w:rsidP="00F76260">
            <w:pPr>
              <w:pStyle w:val="ColorfulList-Accent11"/>
              <w:tabs>
                <w:tab w:val="left" w:pos="1440"/>
              </w:tabs>
              <w:ind w:left="0"/>
              <w:jc w:val="center"/>
              <w:rPr>
                <w:color w:val="000000"/>
              </w:rPr>
            </w:pPr>
            <w:r w:rsidRPr="00F76260">
              <w:rPr>
                <w:color w:val="000000"/>
              </w:rPr>
              <w:t>3</w:t>
            </w:r>
          </w:p>
        </w:tc>
        <w:tc>
          <w:tcPr>
            <w:tcW w:w="1530" w:type="dxa"/>
          </w:tcPr>
          <w:p w:rsidR="00AA579B" w:rsidRPr="00F76260" w:rsidRDefault="00275A58" w:rsidP="00303104">
            <w:pPr>
              <w:pStyle w:val="ColorfulList-Accent11"/>
              <w:tabs>
                <w:tab w:val="left" w:pos="1440"/>
              </w:tabs>
              <w:ind w:left="0"/>
              <w:jc w:val="center"/>
              <w:rPr>
                <w:color w:val="000000"/>
              </w:rPr>
            </w:pPr>
            <w:r w:rsidRPr="00F76260">
              <w:rPr>
                <w:color w:val="000000"/>
              </w:rPr>
              <w:t xml:space="preserve">Weeks </w:t>
            </w:r>
            <w:r w:rsidR="00EC1BFD">
              <w:rPr>
                <w:color w:val="000000"/>
              </w:rPr>
              <w:t>27</w:t>
            </w:r>
            <w:r w:rsidRPr="00F76260">
              <w:rPr>
                <w:color w:val="000000"/>
              </w:rPr>
              <w:t>-</w:t>
            </w:r>
            <w:r w:rsidR="00EC1BFD">
              <w:rPr>
                <w:color w:val="000000"/>
              </w:rPr>
              <w:t>3</w:t>
            </w:r>
            <w:r w:rsidR="00303104">
              <w:rPr>
                <w:color w:val="000000"/>
              </w:rPr>
              <w:t>1</w:t>
            </w:r>
          </w:p>
        </w:tc>
        <w:tc>
          <w:tcPr>
            <w:tcW w:w="5220" w:type="dxa"/>
          </w:tcPr>
          <w:p w:rsidR="00AA579B" w:rsidRPr="00F76260" w:rsidRDefault="00275A58" w:rsidP="00F76260">
            <w:pPr>
              <w:pStyle w:val="ColorfulList-Accent11"/>
              <w:numPr>
                <w:ilvl w:val="0"/>
                <w:numId w:val="36"/>
              </w:numPr>
              <w:tabs>
                <w:tab w:val="left" w:pos="342"/>
              </w:tabs>
              <w:ind w:left="342" w:hanging="270"/>
              <w:rPr>
                <w:color w:val="000000"/>
              </w:rPr>
            </w:pPr>
            <w:r w:rsidRPr="00F76260">
              <w:rPr>
                <w:color w:val="000000"/>
              </w:rPr>
              <w:t>Revise performance measures</w:t>
            </w:r>
          </w:p>
          <w:p w:rsidR="00275A58" w:rsidRDefault="00275A58" w:rsidP="00F76260">
            <w:pPr>
              <w:pStyle w:val="ColorfulList-Accent11"/>
              <w:numPr>
                <w:ilvl w:val="0"/>
                <w:numId w:val="36"/>
              </w:numPr>
              <w:tabs>
                <w:tab w:val="left" w:pos="342"/>
              </w:tabs>
              <w:ind w:left="342" w:hanging="270"/>
              <w:rPr>
                <w:color w:val="000000"/>
              </w:rPr>
            </w:pPr>
            <w:r w:rsidRPr="00F76260">
              <w:rPr>
                <w:color w:val="000000"/>
              </w:rPr>
              <w:t xml:space="preserve">Convene one-day meeting with working group to </w:t>
            </w:r>
            <w:r w:rsidR="008D1F44">
              <w:rPr>
                <w:color w:val="000000"/>
              </w:rPr>
              <w:t xml:space="preserve">review findings and recommended </w:t>
            </w:r>
            <w:r w:rsidRPr="00F76260">
              <w:rPr>
                <w:color w:val="000000"/>
              </w:rPr>
              <w:t xml:space="preserve">performance measures </w:t>
            </w:r>
          </w:p>
          <w:p w:rsidR="00303104" w:rsidRPr="00F76260" w:rsidRDefault="00303104" w:rsidP="00F76260">
            <w:pPr>
              <w:pStyle w:val="ColorfulList-Accent11"/>
              <w:numPr>
                <w:ilvl w:val="0"/>
                <w:numId w:val="36"/>
              </w:numPr>
              <w:tabs>
                <w:tab w:val="left" w:pos="342"/>
              </w:tabs>
              <w:ind w:left="342" w:hanging="270"/>
              <w:rPr>
                <w:color w:val="000000"/>
              </w:rPr>
            </w:pPr>
            <w:r>
              <w:rPr>
                <w:color w:val="000000"/>
              </w:rPr>
              <w:t>Convene one-day meeting with state-level stakeholders</w:t>
            </w:r>
          </w:p>
          <w:p w:rsidR="00275A58" w:rsidRPr="00F76260" w:rsidRDefault="00275A58" w:rsidP="00F76260">
            <w:pPr>
              <w:pStyle w:val="ColorfulList-Accent11"/>
              <w:numPr>
                <w:ilvl w:val="0"/>
                <w:numId w:val="36"/>
              </w:numPr>
              <w:tabs>
                <w:tab w:val="left" w:pos="342"/>
              </w:tabs>
              <w:ind w:left="342" w:hanging="270"/>
              <w:rPr>
                <w:color w:val="000000"/>
              </w:rPr>
            </w:pPr>
            <w:r w:rsidRPr="00F76260">
              <w:rPr>
                <w:color w:val="000000"/>
              </w:rPr>
              <w:t>Create approved revisions to draft AOC Juvenile Delinquency Performance Measures</w:t>
            </w:r>
          </w:p>
        </w:tc>
      </w:tr>
      <w:tr w:rsidR="00AA579B" w:rsidRPr="00F76260" w:rsidTr="00347F45">
        <w:tc>
          <w:tcPr>
            <w:tcW w:w="1440" w:type="dxa"/>
          </w:tcPr>
          <w:p w:rsidR="00AA579B" w:rsidRPr="00F76260" w:rsidRDefault="00AA579B" w:rsidP="00F76260">
            <w:pPr>
              <w:pStyle w:val="ColorfulList-Accent11"/>
              <w:tabs>
                <w:tab w:val="left" w:pos="1440"/>
              </w:tabs>
              <w:ind w:left="0"/>
              <w:jc w:val="center"/>
              <w:rPr>
                <w:color w:val="000000"/>
              </w:rPr>
            </w:pPr>
            <w:r w:rsidRPr="00F76260">
              <w:rPr>
                <w:color w:val="000000"/>
              </w:rPr>
              <w:t>4</w:t>
            </w:r>
          </w:p>
        </w:tc>
        <w:tc>
          <w:tcPr>
            <w:tcW w:w="1530" w:type="dxa"/>
          </w:tcPr>
          <w:p w:rsidR="00AA579B" w:rsidRPr="00F76260" w:rsidRDefault="00356D74" w:rsidP="00303104">
            <w:pPr>
              <w:pStyle w:val="ColorfulList-Accent11"/>
              <w:tabs>
                <w:tab w:val="left" w:pos="1440"/>
              </w:tabs>
              <w:ind w:left="0"/>
              <w:jc w:val="center"/>
              <w:rPr>
                <w:color w:val="000000"/>
              </w:rPr>
            </w:pPr>
            <w:r w:rsidRPr="00F76260">
              <w:rPr>
                <w:color w:val="000000"/>
              </w:rPr>
              <w:t xml:space="preserve">Weeks </w:t>
            </w:r>
            <w:r w:rsidR="00EC1BFD">
              <w:rPr>
                <w:color w:val="000000"/>
              </w:rPr>
              <w:t>3</w:t>
            </w:r>
            <w:r w:rsidR="00303104">
              <w:rPr>
                <w:color w:val="000000"/>
              </w:rPr>
              <w:t>2</w:t>
            </w:r>
            <w:r w:rsidRPr="00F76260">
              <w:rPr>
                <w:color w:val="000000"/>
              </w:rPr>
              <w:t>-</w:t>
            </w:r>
            <w:r w:rsidR="00EC1BFD">
              <w:rPr>
                <w:color w:val="000000"/>
              </w:rPr>
              <w:t>52</w:t>
            </w:r>
          </w:p>
        </w:tc>
        <w:tc>
          <w:tcPr>
            <w:tcW w:w="5220" w:type="dxa"/>
          </w:tcPr>
          <w:p w:rsidR="00AA579B" w:rsidRPr="00F76260" w:rsidRDefault="00303104" w:rsidP="00F76260">
            <w:pPr>
              <w:pStyle w:val="ColorfulList-Accent11"/>
              <w:numPr>
                <w:ilvl w:val="0"/>
                <w:numId w:val="36"/>
              </w:numPr>
              <w:tabs>
                <w:tab w:val="left" w:pos="342"/>
              </w:tabs>
              <w:ind w:left="342" w:hanging="270"/>
              <w:rPr>
                <w:color w:val="000000"/>
              </w:rPr>
            </w:pPr>
            <w:r>
              <w:rPr>
                <w:color w:val="000000"/>
              </w:rPr>
              <w:t xml:space="preserve">Produce interim drafts of report for critique and review </w:t>
            </w:r>
          </w:p>
          <w:p w:rsidR="00356D74" w:rsidRPr="00F76260" w:rsidRDefault="00356D74" w:rsidP="00F76260">
            <w:pPr>
              <w:pStyle w:val="ColorfulList-Accent11"/>
              <w:numPr>
                <w:ilvl w:val="0"/>
                <w:numId w:val="36"/>
              </w:numPr>
              <w:tabs>
                <w:tab w:val="left" w:pos="342"/>
              </w:tabs>
              <w:ind w:left="342" w:hanging="270"/>
              <w:rPr>
                <w:color w:val="000000"/>
              </w:rPr>
            </w:pPr>
            <w:r w:rsidRPr="00F76260">
              <w:rPr>
                <w:color w:val="000000"/>
              </w:rPr>
              <w:t>Co-author report on measuring and improving court performance in juvenile delinquency court cases</w:t>
            </w:r>
            <w:r w:rsidR="00303104">
              <w:rPr>
                <w:color w:val="000000"/>
              </w:rPr>
              <w:t xml:space="preserve"> to be published by the AOC</w:t>
            </w:r>
          </w:p>
        </w:tc>
      </w:tr>
    </w:tbl>
    <w:p w:rsidR="00AE7F40" w:rsidRPr="00347F45" w:rsidRDefault="00AE7F40" w:rsidP="00AE7F40">
      <w:pPr>
        <w:ind w:left="720"/>
      </w:pPr>
    </w:p>
    <w:p w:rsidR="00AE7F40" w:rsidRPr="00347F45" w:rsidRDefault="00AE7F40" w:rsidP="00AE7F40">
      <w:pPr>
        <w:numPr>
          <w:ilvl w:val="0"/>
          <w:numId w:val="29"/>
        </w:numPr>
        <w:ind w:left="720" w:hanging="720"/>
        <w:rPr>
          <w:b/>
          <w:bCs/>
        </w:rPr>
      </w:pPr>
      <w:r w:rsidRPr="00347F45">
        <w:rPr>
          <w:b/>
          <w:bCs/>
        </w:rPr>
        <w:t>EVALUATION OF PROPOSALS</w:t>
      </w:r>
    </w:p>
    <w:p w:rsidR="00AE7F40" w:rsidRPr="00347F45" w:rsidRDefault="00AE7F40" w:rsidP="00AE7F40">
      <w:pPr>
        <w:keepNext/>
      </w:pPr>
    </w:p>
    <w:p w:rsidR="00AE7F40" w:rsidRPr="00416D31" w:rsidRDefault="00AE7F40" w:rsidP="00AE7F40">
      <w:pPr>
        <w:numPr>
          <w:ilvl w:val="1"/>
          <w:numId w:val="29"/>
        </w:numPr>
        <w:ind w:left="1440" w:hanging="720"/>
        <w:rPr>
          <w:color w:val="000000"/>
        </w:rPr>
      </w:pPr>
      <w:r w:rsidRPr="009E5B17">
        <w:rPr>
          <w:color w:val="000000"/>
        </w:rPr>
        <w:t xml:space="preserve">Proposals </w:t>
      </w:r>
      <w:r w:rsidRPr="00416D31">
        <w:rPr>
          <w:color w:val="000000"/>
        </w:rPr>
        <w:t>will be evaluated by the AOC using the following criteria, in order of descending priority:</w:t>
      </w:r>
    </w:p>
    <w:p w:rsidR="00AE7F40" w:rsidRPr="00416D31" w:rsidRDefault="00AE7F40" w:rsidP="00AE7F40">
      <w:pPr>
        <w:keepNext/>
        <w:ind w:left="720"/>
        <w:rPr>
          <w:color w:val="000000"/>
        </w:rPr>
      </w:pPr>
    </w:p>
    <w:p w:rsidR="00AE7F40" w:rsidRPr="00416D31" w:rsidRDefault="009E5B17" w:rsidP="00AE7F40">
      <w:pPr>
        <w:numPr>
          <w:ilvl w:val="2"/>
          <w:numId w:val="29"/>
        </w:numPr>
        <w:rPr>
          <w:color w:val="000000"/>
        </w:rPr>
      </w:pPr>
      <w:r>
        <w:rPr>
          <w:color w:val="000000"/>
        </w:rPr>
        <w:t>Quality of work plan submitted</w:t>
      </w:r>
    </w:p>
    <w:p w:rsidR="00282E36" w:rsidRPr="00416D31" w:rsidRDefault="009E5B17" w:rsidP="00282E36">
      <w:pPr>
        <w:numPr>
          <w:ilvl w:val="2"/>
          <w:numId w:val="29"/>
        </w:numPr>
        <w:rPr>
          <w:color w:val="000000"/>
        </w:rPr>
      </w:pPr>
      <w:r>
        <w:rPr>
          <w:color w:val="000000"/>
        </w:rPr>
        <w:t>Experience on similar assignments</w:t>
      </w:r>
    </w:p>
    <w:p w:rsidR="00282E36" w:rsidRPr="00416D31" w:rsidRDefault="009E5B17" w:rsidP="00282E36">
      <w:pPr>
        <w:numPr>
          <w:ilvl w:val="2"/>
          <w:numId w:val="29"/>
        </w:numPr>
        <w:rPr>
          <w:color w:val="000000"/>
        </w:rPr>
      </w:pPr>
      <w:r>
        <w:rPr>
          <w:color w:val="000000"/>
        </w:rPr>
        <w:t>Expertise in performance measures</w:t>
      </w:r>
    </w:p>
    <w:p w:rsidR="00AE7F40" w:rsidRPr="00416D31" w:rsidRDefault="009E5B17" w:rsidP="00AE7F40">
      <w:pPr>
        <w:numPr>
          <w:ilvl w:val="2"/>
          <w:numId w:val="29"/>
        </w:numPr>
        <w:rPr>
          <w:color w:val="000000"/>
        </w:rPr>
      </w:pPr>
      <w:r>
        <w:rPr>
          <w:color w:val="000000"/>
        </w:rPr>
        <w:t>Expertise in juvenile delinquency</w:t>
      </w:r>
    </w:p>
    <w:p w:rsidR="00282E36" w:rsidRPr="00416D31" w:rsidRDefault="009E5B17" w:rsidP="00AE7F40">
      <w:pPr>
        <w:numPr>
          <w:ilvl w:val="2"/>
          <w:numId w:val="29"/>
        </w:numPr>
        <w:rPr>
          <w:color w:val="000000"/>
        </w:rPr>
      </w:pPr>
      <w:r>
        <w:rPr>
          <w:color w:val="000000"/>
        </w:rPr>
        <w:t>Reasonableness of fee proposal</w:t>
      </w:r>
    </w:p>
    <w:p w:rsidR="00AE7F40" w:rsidRPr="00416D31" w:rsidRDefault="00AE7F40" w:rsidP="00AE7F40">
      <w:pPr>
        <w:numPr>
          <w:ilvl w:val="2"/>
          <w:numId w:val="29"/>
        </w:numPr>
        <w:rPr>
          <w:color w:val="000000"/>
        </w:rPr>
      </w:pPr>
      <w:r w:rsidRPr="00416D31">
        <w:rPr>
          <w:color w:val="000000"/>
        </w:rPr>
        <w:t>Ability to meet timing requirements to complete the project</w:t>
      </w:r>
    </w:p>
    <w:p w:rsidR="00AE7F40" w:rsidRPr="00416D31" w:rsidRDefault="00AE7F40" w:rsidP="00AE7F40">
      <w:pPr>
        <w:pStyle w:val="BodyTextIndent3"/>
        <w:spacing w:after="0"/>
        <w:ind w:left="1886" w:hanging="446"/>
        <w:rPr>
          <w:color w:val="000000"/>
          <w:sz w:val="24"/>
          <w:szCs w:val="24"/>
        </w:rPr>
      </w:pPr>
    </w:p>
    <w:p w:rsidR="00AE7F40" w:rsidRPr="00416D31" w:rsidRDefault="00AE7F40" w:rsidP="00AE7F40">
      <w:pPr>
        <w:numPr>
          <w:ilvl w:val="0"/>
          <w:numId w:val="29"/>
        </w:numPr>
        <w:ind w:left="720" w:hanging="720"/>
        <w:rPr>
          <w:b/>
          <w:bCs/>
        </w:rPr>
      </w:pPr>
      <w:r w:rsidRPr="00416D31">
        <w:rPr>
          <w:b/>
          <w:bCs/>
        </w:rPr>
        <w:t>SPECIFICS OF A RESPONSIVE PROPOSAL</w:t>
      </w:r>
    </w:p>
    <w:p w:rsidR="00AE7F40" w:rsidRPr="00416D31" w:rsidRDefault="00AE7F40" w:rsidP="00AE7F40">
      <w:pPr>
        <w:keepNext/>
      </w:pPr>
    </w:p>
    <w:p w:rsidR="00AE7F40" w:rsidRPr="00416D31" w:rsidRDefault="00AE7F40" w:rsidP="00AE7F40">
      <w:pPr>
        <w:numPr>
          <w:ilvl w:val="1"/>
          <w:numId w:val="29"/>
        </w:numPr>
        <w:ind w:left="1440" w:hanging="720"/>
      </w:pPr>
      <w:r w:rsidRPr="00416D31">
        <w:t>Responsive proposals should provide straightforward, concise information that satisfies the requirements noted above.  Expensive bindings, color displays, and the like are not necessary or desired.  Emphasis should be placed on conformity to the state’s instructions, requirements of this RFP, and completeness and clarity of content.</w:t>
      </w:r>
    </w:p>
    <w:p w:rsidR="00AE7F40" w:rsidRPr="00416D31" w:rsidRDefault="00AE7F40" w:rsidP="00AE7F40">
      <w:pPr>
        <w:pStyle w:val="BodyTextIndent2"/>
        <w:keepNext/>
        <w:spacing w:after="0" w:line="240" w:lineRule="auto"/>
        <w:ind w:left="720"/>
      </w:pPr>
    </w:p>
    <w:p w:rsidR="00AE7F40" w:rsidRPr="00416D31" w:rsidRDefault="00AE7F40" w:rsidP="00AE7F40">
      <w:pPr>
        <w:numPr>
          <w:ilvl w:val="1"/>
          <w:numId w:val="29"/>
        </w:numPr>
        <w:ind w:left="1440" w:hanging="720"/>
      </w:pPr>
      <w:r w:rsidRPr="00416D31">
        <w:t>The following information shall be included as the technical portion of the proposal:</w:t>
      </w:r>
    </w:p>
    <w:p w:rsidR="00AE7F40" w:rsidRPr="00416D31" w:rsidRDefault="00AE7F40" w:rsidP="00AE7F40">
      <w:pPr>
        <w:keepNext/>
        <w:ind w:left="720"/>
      </w:pPr>
    </w:p>
    <w:p w:rsidR="00AE7F40" w:rsidRPr="00416D31" w:rsidRDefault="00AE7F40" w:rsidP="00AE7F40">
      <w:pPr>
        <w:numPr>
          <w:ilvl w:val="2"/>
          <w:numId w:val="29"/>
        </w:numPr>
      </w:pPr>
      <w:r w:rsidRPr="00416D31">
        <w:t>Name, address, telephone and fax numbers, and federal tax identification number.  Note that if a sole proprietorship using its social security number is awarded a contract, the social security number will be required prior to finalizing a contract.</w:t>
      </w:r>
    </w:p>
    <w:p w:rsidR="00AE7F40" w:rsidRPr="00347F45" w:rsidRDefault="00EC1BFD" w:rsidP="00EC1BFD">
      <w:pPr>
        <w:numPr>
          <w:ilvl w:val="2"/>
          <w:numId w:val="29"/>
        </w:numPr>
      </w:pPr>
      <w:r w:rsidRPr="00416D31">
        <w:t>Resum</w:t>
      </w:r>
      <w:r>
        <w:t>e</w:t>
      </w:r>
      <w:r w:rsidRPr="00416D31">
        <w:t xml:space="preserve">s </w:t>
      </w:r>
      <w:r w:rsidR="00AE7F40" w:rsidRPr="00416D31">
        <w:t xml:space="preserve">describing the background and experience of key staff, as well as each individual’s </w:t>
      </w:r>
      <w:r w:rsidR="00AE7F40" w:rsidRPr="00347F45">
        <w:t>ability and experience in conducting the proposed activities.</w:t>
      </w:r>
    </w:p>
    <w:p w:rsidR="00AE7F40" w:rsidRPr="00347F45" w:rsidRDefault="00AE7F40" w:rsidP="00AE7F40">
      <w:pPr>
        <w:numPr>
          <w:ilvl w:val="2"/>
          <w:numId w:val="29"/>
        </w:numPr>
      </w:pPr>
      <w:r w:rsidRPr="00347F45">
        <w:t>Description of key staff’s knowledge of the requirements necessary to complete this project.</w:t>
      </w:r>
    </w:p>
    <w:p w:rsidR="00AE7F40" w:rsidRPr="00347F45" w:rsidRDefault="00AE7F40" w:rsidP="00AE7F40">
      <w:pPr>
        <w:numPr>
          <w:ilvl w:val="2"/>
          <w:numId w:val="29"/>
        </w:numPr>
      </w:pPr>
      <w:r w:rsidRPr="00347F45">
        <w:t>Names, addresses, and telephone numbers of a minimum of five (5) clients for whom the consultant has conducted similar services.  The AOC may check references listed by the consultant.</w:t>
      </w:r>
    </w:p>
    <w:p w:rsidR="00AE7F40" w:rsidRPr="00347F45" w:rsidRDefault="00AE7F40" w:rsidP="00AE7F40">
      <w:pPr>
        <w:numPr>
          <w:ilvl w:val="2"/>
          <w:numId w:val="29"/>
        </w:numPr>
      </w:pPr>
      <w:r w:rsidRPr="00347F45">
        <w:t>Overall plan with time estimates for completion of all work required.</w:t>
      </w:r>
    </w:p>
    <w:p w:rsidR="00AE7F40" w:rsidRPr="00347F45" w:rsidRDefault="00AE7F40" w:rsidP="00AE7F40">
      <w:pPr>
        <w:numPr>
          <w:ilvl w:val="2"/>
          <w:numId w:val="29"/>
        </w:numPr>
      </w:pPr>
      <w:r w:rsidRPr="00347F45">
        <w:t>Method to complete the Project:</w:t>
      </w:r>
    </w:p>
    <w:p w:rsidR="00AE7F40" w:rsidRPr="00416D31" w:rsidRDefault="009E5B17" w:rsidP="00AE7F40">
      <w:pPr>
        <w:numPr>
          <w:ilvl w:val="3"/>
          <w:numId w:val="29"/>
        </w:numPr>
        <w:rPr>
          <w:color w:val="000000"/>
        </w:rPr>
      </w:pPr>
      <w:r w:rsidRPr="00347F45">
        <w:t>Proposed process</w:t>
      </w:r>
      <w:r>
        <w:rPr>
          <w:color w:val="000000"/>
        </w:rPr>
        <w:t xml:space="preserve"> necessary to address the project objectives;</w:t>
      </w:r>
    </w:p>
    <w:p w:rsidR="00AE7F40" w:rsidRPr="00416D31" w:rsidRDefault="009E5B17" w:rsidP="00AE7F40">
      <w:pPr>
        <w:numPr>
          <w:ilvl w:val="3"/>
          <w:numId w:val="29"/>
        </w:numPr>
        <w:rPr>
          <w:color w:val="000000"/>
        </w:rPr>
      </w:pPr>
      <w:r w:rsidRPr="00416D31">
        <w:rPr>
          <w:color w:val="000000"/>
        </w:rPr>
        <w:t xml:space="preserve">Proposed process </w:t>
      </w:r>
      <w:r>
        <w:rPr>
          <w:color w:val="000000"/>
        </w:rPr>
        <w:t xml:space="preserve">for utilizing national experts, </w:t>
      </w:r>
      <w:smartTag w:uri="urn:schemas-microsoft-com:office:smarttags" w:element="State">
        <w:smartTag w:uri="urn:schemas-microsoft-com:office:smarttags" w:element="place">
          <w:r>
            <w:rPr>
              <w:color w:val="000000"/>
            </w:rPr>
            <w:t>California</w:t>
          </w:r>
        </w:smartTag>
      </w:smartTag>
      <w:r>
        <w:rPr>
          <w:color w:val="000000"/>
        </w:rPr>
        <w:t xml:space="preserve"> stakeholders, and existing reports on performance measures and on best practices in juvenile delinquency;</w:t>
      </w:r>
    </w:p>
    <w:p w:rsidR="00AE7F40" w:rsidRPr="00416D31" w:rsidRDefault="00AE7F40" w:rsidP="00AE7F40">
      <w:pPr>
        <w:numPr>
          <w:ilvl w:val="3"/>
          <w:numId w:val="29"/>
        </w:numPr>
        <w:rPr>
          <w:color w:val="000000"/>
        </w:rPr>
      </w:pPr>
      <w:r w:rsidRPr="00416D31">
        <w:rPr>
          <w:color w:val="000000"/>
        </w:rPr>
        <w:t xml:space="preserve">Proposed </w:t>
      </w:r>
      <w:r w:rsidR="009E5B17">
        <w:rPr>
          <w:color w:val="000000"/>
        </w:rPr>
        <w:t>process and goals for co-authored guide; and,</w:t>
      </w:r>
    </w:p>
    <w:p w:rsidR="00AE7F40" w:rsidRPr="00416D31" w:rsidRDefault="00AE7F40" w:rsidP="00AE7F40">
      <w:pPr>
        <w:numPr>
          <w:ilvl w:val="3"/>
          <w:numId w:val="29"/>
        </w:numPr>
        <w:rPr>
          <w:color w:val="000000"/>
        </w:rPr>
      </w:pPr>
      <w:r w:rsidRPr="00416D31">
        <w:rPr>
          <w:color w:val="000000"/>
        </w:rPr>
        <w:t>Proposed project and team organization.</w:t>
      </w:r>
    </w:p>
    <w:p w:rsidR="00AE7F40" w:rsidRPr="00347F45" w:rsidRDefault="00AE7F40" w:rsidP="00AE7F40">
      <w:pPr>
        <w:ind w:left="2160" w:hanging="720"/>
      </w:pPr>
    </w:p>
    <w:p w:rsidR="00AE7F40" w:rsidRPr="00347F45" w:rsidRDefault="00AE7F40" w:rsidP="00AE7F40">
      <w:pPr>
        <w:numPr>
          <w:ilvl w:val="0"/>
          <w:numId w:val="29"/>
        </w:numPr>
        <w:ind w:left="720" w:hanging="720"/>
        <w:rPr>
          <w:b/>
          <w:bCs/>
          <w:smallCaps/>
        </w:rPr>
      </w:pPr>
      <w:r w:rsidRPr="00347F45">
        <w:rPr>
          <w:b/>
          <w:bCs/>
        </w:rPr>
        <w:t>COST PROPOSAL</w:t>
      </w:r>
    </w:p>
    <w:p w:rsidR="00AE7F40" w:rsidRPr="00347F45" w:rsidRDefault="00AE7F40" w:rsidP="00AE7F40">
      <w:pPr>
        <w:pStyle w:val="DocInit"/>
        <w:keepNext/>
        <w:rPr>
          <w:rFonts w:ascii="Times New Roman" w:hAnsi="Times New Roman" w:cs="Times New Roman"/>
        </w:rPr>
      </w:pPr>
    </w:p>
    <w:p w:rsidR="00AE7F40" w:rsidRPr="00416D31" w:rsidRDefault="00AE7F40" w:rsidP="00EC1BFD">
      <w:pPr>
        <w:numPr>
          <w:ilvl w:val="1"/>
          <w:numId w:val="29"/>
        </w:numPr>
        <w:ind w:left="1440" w:hanging="720"/>
        <w:rPr>
          <w:color w:val="000000"/>
        </w:rPr>
      </w:pPr>
      <w:r w:rsidRPr="00347F45">
        <w:t>The</w:t>
      </w:r>
      <w:r w:rsidRPr="00416D31">
        <w:rPr>
          <w:color w:val="000000"/>
        </w:rPr>
        <w:t xml:space="preserve"> total cost</w:t>
      </w:r>
      <w:r w:rsidR="00356D74">
        <w:rPr>
          <w:color w:val="000000"/>
        </w:rPr>
        <w:t xml:space="preserve"> or fees</w:t>
      </w:r>
      <w:r w:rsidRPr="00416D31">
        <w:rPr>
          <w:color w:val="000000"/>
        </w:rPr>
        <w:t xml:space="preserve"> for consultant services will not exceed </w:t>
      </w:r>
      <w:r w:rsidRPr="00416D31">
        <w:rPr>
          <w:b/>
          <w:color w:val="000000"/>
        </w:rPr>
        <w:t>$</w:t>
      </w:r>
      <w:r w:rsidR="00D5788D">
        <w:rPr>
          <w:b/>
          <w:color w:val="000000"/>
        </w:rPr>
        <w:t>7</w:t>
      </w:r>
      <w:r w:rsidR="00921ECA">
        <w:rPr>
          <w:b/>
          <w:color w:val="000000"/>
        </w:rPr>
        <w:t>0,</w:t>
      </w:r>
      <w:r w:rsidRPr="00416D31">
        <w:rPr>
          <w:b/>
          <w:color w:val="000000"/>
        </w:rPr>
        <w:t>000</w:t>
      </w:r>
      <w:r w:rsidRPr="00416D31">
        <w:rPr>
          <w:color w:val="000000"/>
        </w:rPr>
        <w:t xml:space="preserve"> inclusive of personnel, materials, computer support, travel, lodging, per diem, and overhead rates.</w:t>
      </w:r>
      <w:r w:rsidR="00356D74">
        <w:rPr>
          <w:color w:val="000000"/>
        </w:rPr>
        <w:t xml:space="preserve">  </w:t>
      </w:r>
    </w:p>
    <w:p w:rsidR="00AE7F40" w:rsidRPr="00416D31" w:rsidRDefault="00AE7F40" w:rsidP="00AE7F40">
      <w:pPr>
        <w:ind w:left="720"/>
      </w:pPr>
    </w:p>
    <w:p w:rsidR="00AE7F40" w:rsidRPr="00416D31" w:rsidRDefault="00AE7F40" w:rsidP="00936649">
      <w:pPr>
        <w:numPr>
          <w:ilvl w:val="1"/>
          <w:numId w:val="29"/>
        </w:numPr>
        <w:ind w:left="1440" w:hanging="720"/>
      </w:pPr>
      <w:r w:rsidRPr="00416D31">
        <w:t>As a separate document, submit a detailed line item budget showing total cost of the services.  Fully explain and justify all budget line items in a narrative entitled “Budget Justification.”</w:t>
      </w:r>
    </w:p>
    <w:p w:rsidR="00AE7F40" w:rsidRPr="00416D31" w:rsidRDefault="00AE7F40" w:rsidP="00AE7F40">
      <w:pPr>
        <w:ind w:left="1440" w:hanging="720"/>
      </w:pPr>
    </w:p>
    <w:p w:rsidR="00AE7F40" w:rsidRPr="00416D31" w:rsidRDefault="00AE7F40" w:rsidP="00936649">
      <w:pPr>
        <w:numPr>
          <w:ilvl w:val="1"/>
          <w:numId w:val="29"/>
        </w:numPr>
        <w:ind w:left="1440" w:hanging="720"/>
      </w:pPr>
      <w:r w:rsidRPr="00416D31">
        <w:rPr>
          <w:bCs/>
          <w:color w:val="000000"/>
        </w:rPr>
        <w:t xml:space="preserve">Proposers must provide a completed and signed DVBE Participation Form (blank form is included </w:t>
      </w:r>
      <w:r w:rsidRPr="00F33D68">
        <w:rPr>
          <w:bCs/>
          <w:color w:val="000000"/>
        </w:rPr>
        <w:t xml:space="preserve">as Attachment </w:t>
      </w:r>
      <w:r w:rsidR="00356D74" w:rsidRPr="00F33D68">
        <w:rPr>
          <w:bCs/>
          <w:color w:val="000000"/>
        </w:rPr>
        <w:t>5</w:t>
      </w:r>
      <w:r w:rsidRPr="00416D31">
        <w:rPr>
          <w:bCs/>
          <w:color w:val="000000"/>
        </w:rPr>
        <w:t xml:space="preserve"> to this RFP).</w:t>
      </w:r>
    </w:p>
    <w:p w:rsidR="00AE7F40" w:rsidRPr="00416D31" w:rsidRDefault="00AE7F40" w:rsidP="00AE7F40">
      <w:pPr>
        <w:ind w:left="720"/>
      </w:pPr>
    </w:p>
    <w:p w:rsidR="00AE7F40" w:rsidRPr="00416D31" w:rsidRDefault="00AE7F40" w:rsidP="00936649">
      <w:pPr>
        <w:numPr>
          <w:ilvl w:val="1"/>
          <w:numId w:val="29"/>
        </w:numPr>
        <w:ind w:left="1440" w:hanging="720"/>
      </w:pPr>
      <w:r w:rsidRPr="00416D31">
        <w:rPr>
          <w:b/>
          <w:bCs/>
          <w:color w:val="000000"/>
        </w:rPr>
        <w:t>THE STATE DOES NOT MAKE ANY ADVANCE PAYMENT FOR SERVICES.</w:t>
      </w:r>
      <w:r w:rsidRPr="00416D31">
        <w:rPr>
          <w:bCs/>
          <w:color w:val="000000"/>
        </w:rPr>
        <w:t xml:space="preserve">  The AOC’s method of payment to the selected consultant for the services specified in this RFP will be by cost reimbursement.</w:t>
      </w:r>
    </w:p>
    <w:p w:rsidR="00AE7F40" w:rsidRPr="00416D31" w:rsidRDefault="00AE7F40" w:rsidP="00AE7F40">
      <w:pPr>
        <w:ind w:left="720"/>
      </w:pPr>
    </w:p>
    <w:p w:rsidR="00AE7F40" w:rsidRPr="00416D31" w:rsidRDefault="00AE7F40" w:rsidP="00347F45">
      <w:pPr>
        <w:numPr>
          <w:ilvl w:val="0"/>
          <w:numId w:val="29"/>
        </w:numPr>
        <w:ind w:left="720" w:hanging="720"/>
        <w:rPr>
          <w:b/>
          <w:bCs/>
        </w:rPr>
      </w:pPr>
      <w:r w:rsidRPr="00416D31">
        <w:rPr>
          <w:b/>
          <w:bCs/>
        </w:rPr>
        <w:t>SUBMISSION OF PROPOSALS</w:t>
      </w:r>
    </w:p>
    <w:p w:rsidR="00AE7F40" w:rsidRPr="00416D31" w:rsidRDefault="00AE7F40" w:rsidP="00347F45"/>
    <w:p w:rsidR="00AE7F40" w:rsidRPr="00416D31" w:rsidRDefault="00AE7F40" w:rsidP="00347F45">
      <w:pPr>
        <w:numPr>
          <w:ilvl w:val="1"/>
          <w:numId w:val="29"/>
        </w:numPr>
        <w:ind w:left="1440" w:hanging="720"/>
        <w:rPr>
          <w:bCs/>
          <w:color w:val="000000"/>
        </w:rPr>
      </w:pPr>
      <w:bookmarkStart w:id="1" w:name="_Ref210104086"/>
      <w:r w:rsidRPr="00416D31">
        <w:rPr>
          <w:bCs/>
          <w:color w:val="000000"/>
        </w:rPr>
        <w:t xml:space="preserve">Provide an original and </w:t>
      </w:r>
      <w:r w:rsidR="00150658">
        <w:rPr>
          <w:bCs/>
          <w:color w:val="000000"/>
        </w:rPr>
        <w:t>five</w:t>
      </w:r>
      <w:r w:rsidRPr="00416D31">
        <w:rPr>
          <w:bCs/>
          <w:color w:val="000000"/>
        </w:rPr>
        <w:t xml:space="preserve"> (</w:t>
      </w:r>
      <w:r w:rsidR="00150658">
        <w:rPr>
          <w:bCs/>
          <w:color w:val="000000"/>
        </w:rPr>
        <w:t>5</w:t>
      </w:r>
      <w:r w:rsidRPr="00416D31">
        <w:rPr>
          <w:bCs/>
          <w:color w:val="000000"/>
        </w:rPr>
        <w:t>) hardcopies of the proposal signed by an authorized representative of the company, including name, title, address, email address, and telephone number of one individual who is the bidder’s designated representative and single point of contact.</w:t>
      </w:r>
    </w:p>
    <w:p w:rsidR="00AE7F40" w:rsidRPr="00416D31" w:rsidRDefault="00AE7F40" w:rsidP="00AE7F40">
      <w:pPr>
        <w:tabs>
          <w:tab w:val="num" w:pos="1440"/>
        </w:tabs>
        <w:ind w:left="1440" w:hanging="720"/>
        <w:rPr>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In addition to the original and hardcopies required by the previous subparagraph, provide one (1) non copy-protected electronic copy of the entire proposal in MS Word compatible format by submitting it on either a CD-ROM or DVD.</w:t>
      </w:r>
    </w:p>
    <w:p w:rsidR="00AE7F40" w:rsidRPr="00416D31" w:rsidRDefault="00AE7F40" w:rsidP="00AE7F40">
      <w:pPr>
        <w:tabs>
          <w:tab w:val="num" w:pos="1440"/>
        </w:tabs>
        <w:ind w:left="1440" w:hanging="720"/>
        <w:rPr>
          <w:bCs/>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 xml:space="preserve">A vendor's submitted proposal shall constitute an irrevocable offer for </w:t>
      </w:r>
      <w:r w:rsidRPr="00416D31">
        <w:rPr>
          <w:b/>
          <w:bCs/>
          <w:color w:val="000000"/>
        </w:rPr>
        <w:t>90 days</w:t>
      </w:r>
      <w:r w:rsidRPr="00416D31">
        <w:rPr>
          <w:bCs/>
          <w:color w:val="000000"/>
        </w:rPr>
        <w:t xml:space="preserve"> following the Proposal Due Date &amp; Time as set forth on the coversheet to this RFP.</w:t>
      </w:r>
    </w:p>
    <w:p w:rsidR="00AE7F40" w:rsidRPr="00416D31" w:rsidRDefault="00AE7F40" w:rsidP="00AE7F40">
      <w:pPr>
        <w:tabs>
          <w:tab w:val="num" w:pos="1440"/>
        </w:tabs>
        <w:ind w:left="1440" w:hanging="720"/>
        <w:rPr>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Proposals must be delivered to the individual listed in the Submission of Proposals section of the coversheet to this RFP and must be received no later than the Proposal Due Date &amp; Time as set forth on the coversheet to this RFP.</w:t>
      </w:r>
    </w:p>
    <w:p w:rsidR="00AE7F40" w:rsidRPr="00416D31" w:rsidRDefault="00AE7F40" w:rsidP="00AE7F40">
      <w:pPr>
        <w:tabs>
          <w:tab w:val="num" w:pos="1440"/>
        </w:tabs>
        <w:ind w:left="1440" w:hanging="720"/>
        <w:rPr>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All proposals must be delivered via U.S. Mail, common carrier, overnight delivery service (with proof of delivery), or hand delivery.  A receipt should be requested for hand delivered material.  Proposals received prior to the Proposal Due Date &amp; Time that are marked properly will be securely kept, unopened until the Proposal Due Date &amp; Time.  Proposals received after the Proposal Due Date &amp; Time will be deemed non-responsive and will not be considered.  The AOC shall not be responsible for any delays in mail or by common carriers or by delivery errors or delays or missed delivery.</w:t>
      </w:r>
    </w:p>
    <w:p w:rsidR="00AE7F40" w:rsidRPr="00416D31" w:rsidRDefault="00AE7F40" w:rsidP="00AE7F40">
      <w:pPr>
        <w:pStyle w:val="Heading3"/>
        <w:keepNext w:val="0"/>
        <w:numPr>
          <w:ilvl w:val="0"/>
          <w:numId w:val="0"/>
        </w:numPr>
        <w:spacing w:before="0" w:after="0"/>
        <w:ind w:left="720"/>
        <w:rPr>
          <w:rFonts w:ascii="Times New Roman" w:hAnsi="Times New Roman" w:cs="Times New Roman"/>
          <w:b w:val="0"/>
          <w:bCs w:val="0"/>
          <w:color w:val="000000"/>
          <w:sz w:val="24"/>
          <w:szCs w:val="24"/>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The proposer is solely responsible for ensuring that the full and complete proposal is received by the AOC in accordance with the solicitation requirements prior to the Proposal Due Date &amp; Time and at the place specified.</w:t>
      </w:r>
    </w:p>
    <w:p w:rsidR="00AE7F40" w:rsidRPr="00416D31" w:rsidRDefault="00AE7F40" w:rsidP="00AE7F40">
      <w:pPr>
        <w:pStyle w:val="NormalIndent"/>
        <w:tabs>
          <w:tab w:val="num" w:pos="1440"/>
        </w:tabs>
        <w:ind w:left="1440" w:hanging="720"/>
        <w:rPr>
          <w:color w:val="000000"/>
          <w:sz w:val="24"/>
          <w:szCs w:val="24"/>
        </w:rPr>
      </w:pPr>
    </w:p>
    <w:p w:rsidR="00AE7F40" w:rsidRPr="00416D31" w:rsidRDefault="00AE7F40" w:rsidP="00AE7F40">
      <w:pPr>
        <w:numPr>
          <w:ilvl w:val="1"/>
          <w:numId w:val="29"/>
        </w:numPr>
        <w:tabs>
          <w:tab w:val="num" w:pos="1440"/>
        </w:tabs>
        <w:ind w:left="1440" w:hanging="720"/>
        <w:rPr>
          <w:bCs/>
          <w:color w:val="000000"/>
        </w:rPr>
      </w:pPr>
      <w:r w:rsidRPr="00416D31">
        <w:rPr>
          <w:b/>
          <w:bCs/>
          <w:color w:val="000000"/>
        </w:rPr>
        <w:t>Submittal of proposals by facsimile or email transmission is not acceptable, and any proposal so transmitted will be rejected as non-responsive.</w:t>
      </w:r>
    </w:p>
    <w:p w:rsidR="00AE7F40" w:rsidRPr="00416D31" w:rsidRDefault="00AE7F40" w:rsidP="00AE7F40">
      <w:pPr>
        <w:rPr>
          <w:bCs/>
          <w:color w:val="000000"/>
        </w:rPr>
      </w:pPr>
    </w:p>
    <w:p w:rsidR="00AE7F40" w:rsidRPr="00416D31" w:rsidRDefault="00AE7F40" w:rsidP="00AE7F40">
      <w:pPr>
        <w:numPr>
          <w:ilvl w:val="1"/>
          <w:numId w:val="29"/>
        </w:numPr>
        <w:tabs>
          <w:tab w:val="num" w:pos="1440"/>
        </w:tabs>
        <w:ind w:left="1440" w:hanging="720"/>
        <w:rPr>
          <w:bCs/>
          <w:color w:val="000000"/>
        </w:rPr>
      </w:pPr>
      <w:smartTag w:uri="urn:schemas-microsoft-com:office:smarttags" w:element="City">
        <w:smartTag w:uri="urn:schemas-microsoft-com:office:smarttags" w:element="place">
          <w:r w:rsidRPr="00416D31">
            <w:rPr>
              <w:bCs/>
              <w:color w:val="000000"/>
            </w:rPr>
            <w:t>Independence</w:t>
          </w:r>
        </w:smartTag>
      </w:smartTag>
      <w:r w:rsidRPr="00416D31">
        <w:rPr>
          <w:bCs/>
          <w:color w:val="000000"/>
        </w:rPr>
        <w:t xml:space="preserve"> of Proposal and Joint Proposals:</w:t>
      </w:r>
    </w:p>
    <w:p w:rsidR="00AE7F40" w:rsidRPr="00416D31" w:rsidRDefault="00AE7F40" w:rsidP="00AE7F40">
      <w:pPr>
        <w:ind w:left="720"/>
        <w:rPr>
          <w:bCs/>
          <w:color w:val="000000"/>
        </w:rPr>
      </w:pPr>
    </w:p>
    <w:p w:rsidR="00AE7F40" w:rsidRPr="00416D31" w:rsidRDefault="00AE7F40" w:rsidP="00AE7F40">
      <w:pPr>
        <w:numPr>
          <w:ilvl w:val="2"/>
          <w:numId w:val="29"/>
        </w:numPr>
        <w:rPr>
          <w:bCs/>
          <w:color w:val="000000"/>
        </w:rPr>
      </w:pPr>
      <w:r w:rsidRPr="00416D31">
        <w:rPr>
          <w:bCs/>
          <w:color w:val="000000"/>
        </w:rPr>
        <w:t>Unless a proposer is submitting a joint proposal, the proposer represents and warrants that by submitting its proposal it did not conspire with any other vendor to set prices in violation of anti-trust laws.</w:t>
      </w:r>
    </w:p>
    <w:p w:rsidR="00AE7F40" w:rsidRPr="00416D31" w:rsidRDefault="00AE7F40" w:rsidP="00AE7F40">
      <w:pPr>
        <w:ind w:left="1440"/>
        <w:rPr>
          <w:bCs/>
          <w:color w:val="000000"/>
        </w:rPr>
      </w:pPr>
    </w:p>
    <w:p w:rsidR="00AE7F40" w:rsidRPr="00416D31" w:rsidRDefault="00AE7F40" w:rsidP="00AE7F40">
      <w:pPr>
        <w:numPr>
          <w:ilvl w:val="2"/>
          <w:numId w:val="29"/>
        </w:numPr>
        <w:rPr>
          <w:bCs/>
          <w:color w:val="000000"/>
        </w:rPr>
      </w:pPr>
      <w:r w:rsidRPr="00416D31">
        <w:rPr>
          <w:bCs/>
          <w:color w:val="000000"/>
        </w:rPr>
        <w:t xml:space="preserve">A proposal submitted by two or more vendors participating jointly in one proposal may be submitted, but one vendor must be identified as the prime contractor and the other as the subcontractor.  The AOC assumes no responsibility or obligation for the division of </w:t>
      </w:r>
      <w:r w:rsidRPr="00416D31">
        <w:rPr>
          <w:bCs/>
          <w:iCs/>
          <w:color w:val="000000"/>
        </w:rPr>
        <w:t>payments, authorized expenses if allowed by the subsequent contract, or responsibilities</w:t>
      </w:r>
      <w:r w:rsidRPr="00416D31">
        <w:rPr>
          <w:bCs/>
          <w:color w:val="000000"/>
        </w:rPr>
        <w:t xml:space="preserve"> among joint contractors.</w:t>
      </w:r>
    </w:p>
    <w:p w:rsidR="00AE7F40" w:rsidRPr="00416D31" w:rsidRDefault="00AE7F40" w:rsidP="00AE7F40">
      <w:pPr>
        <w:rPr>
          <w:color w:val="000000"/>
        </w:rPr>
      </w:pPr>
    </w:p>
    <w:p w:rsidR="00AE7F40" w:rsidRPr="00416D31" w:rsidRDefault="00AE7F40" w:rsidP="00347F45">
      <w:pPr>
        <w:keepNext/>
        <w:keepLines/>
        <w:numPr>
          <w:ilvl w:val="0"/>
          <w:numId w:val="29"/>
        </w:numPr>
        <w:ind w:left="720" w:hanging="720"/>
        <w:rPr>
          <w:b/>
          <w:bCs/>
        </w:rPr>
      </w:pPr>
      <w:r w:rsidRPr="00416D31">
        <w:rPr>
          <w:rFonts w:eastAsia="Times"/>
          <w:b/>
        </w:rPr>
        <w:lastRenderedPageBreak/>
        <w:t>RFP SCHEDULE AND GENERAL INSTRUCTIONS</w:t>
      </w:r>
      <w:bookmarkEnd w:id="1"/>
    </w:p>
    <w:p w:rsidR="00AE7F40" w:rsidRPr="00416D31" w:rsidRDefault="00AE7F40" w:rsidP="00347F45">
      <w:pPr>
        <w:keepNext/>
        <w:keepLines/>
        <w:rPr>
          <w:b/>
          <w:bCs/>
        </w:rPr>
      </w:pPr>
    </w:p>
    <w:p w:rsidR="00AE7F40" w:rsidRPr="00164F40" w:rsidRDefault="00AE7F40" w:rsidP="00347F45">
      <w:pPr>
        <w:keepNext/>
        <w:keepLines/>
        <w:ind w:left="1440" w:hanging="720"/>
        <w:rPr>
          <w:rFonts w:eastAsia="Times"/>
          <w:b/>
        </w:rPr>
      </w:pPr>
      <w:bookmarkStart w:id="2" w:name="_Ref210110124"/>
      <w:r w:rsidRPr="00416D31">
        <w:rPr>
          <w:rFonts w:eastAsia="Times"/>
        </w:rPr>
        <w:t>8.1</w:t>
      </w:r>
      <w:r w:rsidRPr="00416D31">
        <w:rPr>
          <w:rFonts w:eastAsia="Times"/>
        </w:rPr>
        <w:tab/>
        <w:t>The AOC has developed the following list of key events and dates from issuances of this RFP through commencement of contracted services.  All key events and dates are subject to change at the AOC’s sole discretion.</w:t>
      </w:r>
      <w:bookmarkEnd w:id="2"/>
      <w:r w:rsidR="00164F40">
        <w:rPr>
          <w:rFonts w:eastAsia="Times"/>
        </w:rPr>
        <w:t xml:space="preserve"> </w:t>
      </w:r>
    </w:p>
    <w:p w:rsidR="00AE7F40" w:rsidRPr="00416D31" w:rsidRDefault="00AE7F40" w:rsidP="00347F45"/>
    <w:tbl>
      <w:tblPr>
        <w:tblW w:w="84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8"/>
        <w:gridCol w:w="2970"/>
      </w:tblGrid>
      <w:tr w:rsidR="00AE7F40" w:rsidRPr="00416D31">
        <w:tblPrEx>
          <w:tblCellMar>
            <w:top w:w="0" w:type="dxa"/>
            <w:bottom w:w="0" w:type="dxa"/>
          </w:tblCellMar>
        </w:tblPrEx>
        <w:trPr>
          <w:trHeight w:val="647"/>
          <w:tblHeader/>
        </w:trPr>
        <w:tc>
          <w:tcPr>
            <w:tcW w:w="5508" w:type="dxa"/>
            <w:tcBorders>
              <w:top w:val="single" w:sz="4" w:space="0" w:color="auto"/>
              <w:left w:val="single" w:sz="4" w:space="0" w:color="auto"/>
              <w:bottom w:val="single" w:sz="4" w:space="0" w:color="auto"/>
              <w:right w:val="single" w:sz="4" w:space="0" w:color="auto"/>
            </w:tcBorders>
            <w:shd w:val="clear" w:color="auto" w:fill="E6E6E6"/>
            <w:vAlign w:val="center"/>
          </w:tcPr>
          <w:p w:rsidR="00AE7F40" w:rsidRPr="00416D31" w:rsidRDefault="00AE7F40" w:rsidP="00AE7F40">
            <w:pPr>
              <w:pStyle w:val="NormalIndent"/>
              <w:ind w:left="0"/>
              <w:jc w:val="center"/>
              <w:rPr>
                <w:b/>
                <w:bCs/>
                <w:i/>
                <w:sz w:val="24"/>
                <w:szCs w:val="24"/>
              </w:rPr>
            </w:pPr>
            <w:r w:rsidRPr="00416D31">
              <w:rPr>
                <w:b/>
                <w:bCs/>
                <w:i/>
                <w:sz w:val="24"/>
                <w:szCs w:val="24"/>
              </w:rPr>
              <w:t>Event Description</w:t>
            </w:r>
          </w:p>
        </w:tc>
        <w:tc>
          <w:tcPr>
            <w:tcW w:w="2970" w:type="dxa"/>
            <w:tcBorders>
              <w:top w:val="single" w:sz="4" w:space="0" w:color="auto"/>
              <w:left w:val="single" w:sz="4" w:space="0" w:color="auto"/>
              <w:bottom w:val="single" w:sz="4" w:space="0" w:color="auto"/>
              <w:right w:val="single" w:sz="4" w:space="0" w:color="auto"/>
            </w:tcBorders>
            <w:shd w:val="clear" w:color="auto" w:fill="E6E6E6"/>
            <w:vAlign w:val="center"/>
          </w:tcPr>
          <w:p w:rsidR="00AE7F40" w:rsidRPr="00416D31" w:rsidRDefault="00AE7F40" w:rsidP="00AE7F40">
            <w:pPr>
              <w:pStyle w:val="NormalIndent"/>
              <w:ind w:left="0"/>
              <w:jc w:val="center"/>
              <w:rPr>
                <w:b/>
                <w:bCs/>
                <w:i/>
                <w:sz w:val="24"/>
                <w:szCs w:val="24"/>
              </w:rPr>
            </w:pPr>
            <w:r w:rsidRPr="00416D31">
              <w:rPr>
                <w:b/>
                <w:bCs/>
                <w:i/>
                <w:sz w:val="24"/>
                <w:szCs w:val="24"/>
              </w:rPr>
              <w:t>Key Dates</w:t>
            </w: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NormalIndent"/>
              <w:spacing w:before="60" w:after="60"/>
              <w:ind w:left="0"/>
              <w:rPr>
                <w:sz w:val="24"/>
                <w:szCs w:val="24"/>
              </w:rPr>
            </w:pPr>
            <w:r w:rsidRPr="00416D31">
              <w:rPr>
                <w:sz w:val="24"/>
                <w:szCs w:val="24"/>
              </w:rPr>
              <w:t>RFP Posted</w:t>
            </w:r>
          </w:p>
        </w:tc>
        <w:tc>
          <w:tcPr>
            <w:tcW w:w="2970" w:type="dxa"/>
            <w:tcBorders>
              <w:top w:val="single" w:sz="4" w:space="0" w:color="auto"/>
              <w:left w:val="single" w:sz="4" w:space="0" w:color="auto"/>
              <w:bottom w:val="single" w:sz="4" w:space="0" w:color="auto"/>
              <w:right w:val="single" w:sz="4" w:space="0" w:color="auto"/>
            </w:tcBorders>
          </w:tcPr>
          <w:p w:rsidR="00AE7F40" w:rsidRPr="00416D31" w:rsidRDefault="008D1F44" w:rsidP="00974B04">
            <w:pPr>
              <w:pStyle w:val="NormalIndent"/>
              <w:spacing w:before="60" w:after="60"/>
              <w:ind w:left="0"/>
              <w:jc w:val="center"/>
              <w:rPr>
                <w:sz w:val="24"/>
                <w:szCs w:val="24"/>
              </w:rPr>
            </w:pPr>
            <w:r>
              <w:rPr>
                <w:sz w:val="24"/>
                <w:szCs w:val="24"/>
              </w:rPr>
              <w:t>April 2</w:t>
            </w:r>
            <w:r w:rsidR="00974B04">
              <w:rPr>
                <w:sz w:val="24"/>
                <w:szCs w:val="24"/>
              </w:rPr>
              <w:t>3</w:t>
            </w:r>
            <w:r>
              <w:rPr>
                <w:sz w:val="24"/>
                <w:szCs w:val="24"/>
              </w:rPr>
              <w:t>, 2009</w:t>
            </w: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CommentText"/>
              <w:spacing w:before="60" w:after="60"/>
              <w:rPr>
                <w:sz w:val="24"/>
                <w:szCs w:val="24"/>
              </w:rPr>
            </w:pPr>
            <w:r w:rsidRPr="00416D31">
              <w:rPr>
                <w:sz w:val="24"/>
                <w:szCs w:val="24"/>
              </w:rPr>
              <w:t>Deadline for Proposers Questions</w:t>
            </w:r>
          </w:p>
        </w:tc>
        <w:tc>
          <w:tcPr>
            <w:tcW w:w="2970"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CommentText"/>
              <w:spacing w:before="60" w:after="60"/>
              <w:jc w:val="center"/>
              <w:rPr>
                <w:b/>
                <w:sz w:val="24"/>
                <w:szCs w:val="24"/>
              </w:rPr>
            </w:pPr>
            <w:r w:rsidRPr="00416D31">
              <w:rPr>
                <w:b/>
                <w:sz w:val="24"/>
                <w:szCs w:val="24"/>
              </w:rPr>
              <w:t>1:00 p.m. (Pacific Time)</w:t>
            </w:r>
            <w:r w:rsidR="003943A5" w:rsidRPr="00416D31">
              <w:rPr>
                <w:b/>
                <w:sz w:val="24"/>
                <w:szCs w:val="24"/>
              </w:rPr>
              <w:t xml:space="preserve"> on </w:t>
            </w:r>
            <w:r w:rsidR="00974B04">
              <w:rPr>
                <w:b/>
                <w:sz w:val="24"/>
                <w:szCs w:val="24"/>
              </w:rPr>
              <w:t>April 30</w:t>
            </w:r>
            <w:r w:rsidR="008D1F44" w:rsidRPr="00416D31">
              <w:rPr>
                <w:b/>
                <w:sz w:val="24"/>
                <w:szCs w:val="24"/>
              </w:rPr>
              <w:t xml:space="preserve">, </w:t>
            </w:r>
            <w:r w:rsidR="003943A5" w:rsidRPr="00416D31">
              <w:rPr>
                <w:b/>
                <w:sz w:val="24"/>
                <w:szCs w:val="24"/>
              </w:rPr>
              <w:t>2009</w:t>
            </w:r>
          </w:p>
          <w:p w:rsidR="00AE7F40" w:rsidRPr="00416D31" w:rsidRDefault="00AE7F40" w:rsidP="00AE7F40">
            <w:pPr>
              <w:pStyle w:val="CommentText"/>
              <w:spacing w:before="60" w:after="60"/>
              <w:jc w:val="center"/>
              <w:rPr>
                <w:b/>
                <w:sz w:val="24"/>
                <w:szCs w:val="24"/>
              </w:rPr>
            </w:pP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NormalIndent"/>
              <w:spacing w:before="60" w:after="60"/>
              <w:ind w:left="0"/>
              <w:rPr>
                <w:sz w:val="24"/>
                <w:szCs w:val="24"/>
              </w:rPr>
            </w:pPr>
            <w:r w:rsidRPr="00416D31">
              <w:rPr>
                <w:sz w:val="24"/>
                <w:szCs w:val="24"/>
              </w:rPr>
              <w:t>AOC Posts Clarification / Response to Proposers Questions (estimated)</w:t>
            </w:r>
          </w:p>
        </w:tc>
        <w:tc>
          <w:tcPr>
            <w:tcW w:w="2970" w:type="dxa"/>
            <w:tcBorders>
              <w:top w:val="single" w:sz="4" w:space="0" w:color="auto"/>
              <w:left w:val="single" w:sz="4" w:space="0" w:color="auto"/>
              <w:bottom w:val="single" w:sz="4" w:space="0" w:color="auto"/>
              <w:right w:val="single" w:sz="4" w:space="0" w:color="auto"/>
            </w:tcBorders>
          </w:tcPr>
          <w:p w:rsidR="00AE7F40" w:rsidRPr="00416D31" w:rsidRDefault="008D1F44" w:rsidP="00974B04">
            <w:pPr>
              <w:pStyle w:val="NormalIndent"/>
              <w:spacing w:before="60" w:after="60"/>
              <w:ind w:left="0"/>
              <w:jc w:val="center"/>
              <w:rPr>
                <w:sz w:val="24"/>
                <w:szCs w:val="24"/>
              </w:rPr>
            </w:pPr>
            <w:r>
              <w:rPr>
                <w:sz w:val="24"/>
                <w:szCs w:val="24"/>
              </w:rPr>
              <w:t xml:space="preserve">May </w:t>
            </w:r>
            <w:r w:rsidR="00974B04">
              <w:rPr>
                <w:sz w:val="24"/>
                <w:szCs w:val="24"/>
              </w:rPr>
              <w:t>4</w:t>
            </w:r>
            <w:r>
              <w:rPr>
                <w:sz w:val="24"/>
                <w:szCs w:val="24"/>
              </w:rPr>
              <w:t>, 2009</w:t>
            </w: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NormalIndent"/>
              <w:spacing w:before="60" w:after="60"/>
              <w:ind w:left="0"/>
              <w:rPr>
                <w:sz w:val="24"/>
                <w:szCs w:val="24"/>
              </w:rPr>
            </w:pPr>
            <w:r w:rsidRPr="00416D31">
              <w:rPr>
                <w:sz w:val="24"/>
                <w:szCs w:val="24"/>
              </w:rPr>
              <w:t xml:space="preserve">Proposal Due Date &amp; Time </w:t>
            </w:r>
          </w:p>
        </w:tc>
        <w:tc>
          <w:tcPr>
            <w:tcW w:w="2970"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NormalIndent"/>
              <w:spacing w:before="60" w:after="60"/>
              <w:ind w:left="0"/>
              <w:jc w:val="center"/>
              <w:rPr>
                <w:b/>
                <w:sz w:val="24"/>
                <w:szCs w:val="24"/>
              </w:rPr>
            </w:pPr>
            <w:r w:rsidRPr="00416D31">
              <w:rPr>
                <w:b/>
                <w:sz w:val="24"/>
                <w:szCs w:val="24"/>
              </w:rPr>
              <w:t>3:00 p.m. (Pacific Time)</w:t>
            </w:r>
            <w:r w:rsidR="003943A5" w:rsidRPr="00416D31">
              <w:rPr>
                <w:b/>
                <w:sz w:val="24"/>
                <w:szCs w:val="24"/>
              </w:rPr>
              <w:t xml:space="preserve"> on </w:t>
            </w:r>
            <w:r w:rsidR="008D1F44">
              <w:rPr>
                <w:b/>
                <w:sz w:val="24"/>
                <w:szCs w:val="24"/>
              </w:rPr>
              <w:t>May 11, 2009</w:t>
            </w:r>
            <w:r w:rsidR="008D1F44" w:rsidRPr="00416D31">
              <w:rPr>
                <w:b/>
                <w:sz w:val="24"/>
                <w:szCs w:val="24"/>
              </w:rPr>
              <w:t xml:space="preserve">, </w:t>
            </w:r>
            <w:r w:rsidR="003943A5" w:rsidRPr="00416D31">
              <w:rPr>
                <w:b/>
                <w:sz w:val="24"/>
                <w:szCs w:val="24"/>
              </w:rPr>
              <w:t>2009</w:t>
            </w:r>
          </w:p>
          <w:p w:rsidR="00AE7F40" w:rsidRPr="00416D31" w:rsidRDefault="00AE7F40" w:rsidP="00AE7F40">
            <w:pPr>
              <w:pStyle w:val="NormalIndent"/>
              <w:spacing w:before="60" w:after="60"/>
              <w:ind w:left="0"/>
              <w:jc w:val="center"/>
              <w:rPr>
                <w:b/>
                <w:sz w:val="24"/>
                <w:szCs w:val="24"/>
              </w:rPr>
            </w:pP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NormalIndent"/>
              <w:spacing w:before="60" w:after="60"/>
              <w:ind w:left="0"/>
              <w:rPr>
                <w:sz w:val="24"/>
                <w:szCs w:val="24"/>
              </w:rPr>
            </w:pPr>
            <w:r w:rsidRPr="00416D31">
              <w:rPr>
                <w:sz w:val="24"/>
                <w:szCs w:val="24"/>
              </w:rPr>
              <w:t>Notice of Intent to Award Contract (estimated)</w:t>
            </w:r>
          </w:p>
        </w:tc>
        <w:tc>
          <w:tcPr>
            <w:tcW w:w="2970" w:type="dxa"/>
            <w:tcBorders>
              <w:top w:val="single" w:sz="4" w:space="0" w:color="auto"/>
              <w:left w:val="single" w:sz="4" w:space="0" w:color="auto"/>
              <w:bottom w:val="single" w:sz="4" w:space="0" w:color="auto"/>
              <w:right w:val="single" w:sz="4" w:space="0" w:color="auto"/>
            </w:tcBorders>
          </w:tcPr>
          <w:p w:rsidR="00AE7F40" w:rsidRPr="00416D31" w:rsidRDefault="008D1F44" w:rsidP="008D2697">
            <w:pPr>
              <w:pStyle w:val="NormalIndent"/>
              <w:spacing w:before="60" w:after="60"/>
              <w:ind w:left="0"/>
              <w:jc w:val="center"/>
              <w:rPr>
                <w:sz w:val="24"/>
                <w:szCs w:val="24"/>
              </w:rPr>
            </w:pPr>
            <w:r>
              <w:rPr>
                <w:sz w:val="24"/>
                <w:szCs w:val="24"/>
              </w:rPr>
              <w:t>May 15, 2009</w:t>
            </w:r>
          </w:p>
        </w:tc>
      </w:tr>
      <w:tr w:rsidR="00AE7F40" w:rsidRPr="00416D31">
        <w:tblPrEx>
          <w:tblCellMar>
            <w:top w:w="0" w:type="dxa"/>
            <w:bottom w:w="0" w:type="dxa"/>
          </w:tblCellMar>
        </w:tblPrEx>
        <w:tc>
          <w:tcPr>
            <w:tcW w:w="5508" w:type="dxa"/>
            <w:tcBorders>
              <w:top w:val="single" w:sz="4" w:space="0" w:color="auto"/>
              <w:left w:val="single" w:sz="4" w:space="0" w:color="auto"/>
              <w:bottom w:val="single" w:sz="4" w:space="0" w:color="auto"/>
              <w:right w:val="single" w:sz="4" w:space="0" w:color="auto"/>
            </w:tcBorders>
          </w:tcPr>
          <w:p w:rsidR="00AE7F40" w:rsidRPr="00416D31" w:rsidRDefault="00AE7F40" w:rsidP="00AE7F40">
            <w:pPr>
              <w:pStyle w:val="NormalIndent"/>
              <w:spacing w:before="60" w:after="60"/>
              <w:ind w:left="0"/>
              <w:rPr>
                <w:sz w:val="24"/>
                <w:szCs w:val="24"/>
              </w:rPr>
            </w:pPr>
            <w:r w:rsidRPr="00416D31">
              <w:rPr>
                <w:sz w:val="24"/>
                <w:szCs w:val="24"/>
              </w:rPr>
              <w:t xml:space="preserve">Commencement of Contracted Services </w:t>
            </w:r>
          </w:p>
        </w:tc>
        <w:tc>
          <w:tcPr>
            <w:tcW w:w="2970" w:type="dxa"/>
            <w:tcBorders>
              <w:top w:val="single" w:sz="4" w:space="0" w:color="auto"/>
              <w:left w:val="single" w:sz="4" w:space="0" w:color="auto"/>
              <w:bottom w:val="single" w:sz="4" w:space="0" w:color="auto"/>
              <w:right w:val="single" w:sz="4" w:space="0" w:color="auto"/>
            </w:tcBorders>
          </w:tcPr>
          <w:p w:rsidR="00AE7F40" w:rsidRPr="00416D31" w:rsidRDefault="008D1F44" w:rsidP="00AE7F40">
            <w:pPr>
              <w:pStyle w:val="NormalIndent"/>
              <w:spacing w:before="60" w:after="60"/>
              <w:ind w:left="0"/>
              <w:jc w:val="center"/>
              <w:rPr>
                <w:sz w:val="24"/>
                <w:szCs w:val="24"/>
              </w:rPr>
            </w:pPr>
            <w:r>
              <w:rPr>
                <w:sz w:val="24"/>
                <w:szCs w:val="24"/>
              </w:rPr>
              <w:t>June 20, 2009</w:t>
            </w:r>
          </w:p>
        </w:tc>
      </w:tr>
    </w:tbl>
    <w:p w:rsidR="00AE7F40" w:rsidRPr="00416D31" w:rsidRDefault="00AE7F40" w:rsidP="00AE7F40"/>
    <w:p w:rsidR="00AE7F40" w:rsidRPr="00416D31" w:rsidRDefault="00AE7F40" w:rsidP="00AE7F40">
      <w:pPr>
        <w:numPr>
          <w:ilvl w:val="1"/>
          <w:numId w:val="28"/>
        </w:numPr>
        <w:ind w:left="1440" w:hanging="720"/>
        <w:rPr>
          <w:rFonts w:eastAsia="Times"/>
        </w:rPr>
      </w:pPr>
      <w:r w:rsidRPr="00416D31">
        <w:rPr>
          <w:rFonts w:eastAsia="Times"/>
        </w:rPr>
        <w:t>The RFP and any addenda that may be issued, including responses to proposers’ requests for clarification or modification, will be made available on the following website:</w:t>
      </w:r>
    </w:p>
    <w:p w:rsidR="00AE7F40" w:rsidRPr="00416D31" w:rsidRDefault="00AE7F40" w:rsidP="00AE7F40"/>
    <w:p w:rsidR="00AE7F40" w:rsidRPr="00416D31" w:rsidRDefault="00AE7F40" w:rsidP="00AE7F40">
      <w:pPr>
        <w:pStyle w:val="BodyTextIndent3"/>
        <w:ind w:left="720"/>
        <w:jc w:val="both"/>
        <w:rPr>
          <w:sz w:val="24"/>
          <w:szCs w:val="24"/>
        </w:rPr>
      </w:pPr>
      <w:r w:rsidRPr="00416D31">
        <w:rPr>
          <w:sz w:val="24"/>
          <w:szCs w:val="24"/>
        </w:rPr>
        <w:tab/>
      </w:r>
      <w:hyperlink r:id="rId11" w:history="1">
        <w:r w:rsidRPr="00416D31">
          <w:rPr>
            <w:rStyle w:val="Hyperlink"/>
            <w:color w:val="auto"/>
            <w:sz w:val="24"/>
            <w:szCs w:val="24"/>
          </w:rPr>
          <w:t>http://www.courtinfo.ca.gov/reference/rfp</w:t>
        </w:r>
      </w:hyperlink>
      <w:r w:rsidRPr="00416D31">
        <w:rPr>
          <w:sz w:val="24"/>
          <w:szCs w:val="24"/>
        </w:rPr>
        <w:t xml:space="preserve">   (CourtInfo web site)</w:t>
      </w:r>
    </w:p>
    <w:p w:rsidR="00AE7F40" w:rsidRPr="00416D31" w:rsidRDefault="00AE7F40" w:rsidP="00AE7F40">
      <w:bookmarkStart w:id="3" w:name="_Ref116901289"/>
      <w:bookmarkStart w:id="4" w:name="_Toc119208865"/>
    </w:p>
    <w:p w:rsidR="00AE7F40" w:rsidRPr="00416D31" w:rsidRDefault="00AE7F40" w:rsidP="00AE7F40">
      <w:pPr>
        <w:numPr>
          <w:ilvl w:val="1"/>
          <w:numId w:val="28"/>
        </w:numPr>
        <w:ind w:left="1440" w:hanging="720"/>
        <w:rPr>
          <w:rFonts w:eastAsia="Times"/>
        </w:rPr>
      </w:pPr>
      <w:r w:rsidRPr="00416D31">
        <w:rPr>
          <w:rFonts w:eastAsia="Times"/>
        </w:rPr>
        <w:t>Request for Clarifications or Modifications</w:t>
      </w:r>
      <w:bookmarkEnd w:id="3"/>
      <w:bookmarkEnd w:id="4"/>
    </w:p>
    <w:p w:rsidR="00AE7F40" w:rsidRPr="00416D31" w:rsidRDefault="00AE7F40" w:rsidP="00AE7F40"/>
    <w:p w:rsidR="00AE7F40" w:rsidRPr="00416D31" w:rsidRDefault="00AE7F40" w:rsidP="00AE7F40">
      <w:pPr>
        <w:numPr>
          <w:ilvl w:val="2"/>
          <w:numId w:val="28"/>
        </w:numPr>
        <w:rPr>
          <w:rFonts w:eastAsia="Times"/>
        </w:rPr>
      </w:pPr>
      <w:r w:rsidRPr="00416D31">
        <w:rPr>
          <w:rFonts w:eastAsia="Times"/>
        </w:rPr>
        <w:t>Vendors interested in responding to the solicitation may submit questions by e-mail only on procedural matters related to the RFP or requests for clarification or modification of this solicitation document, including questions regarding the Terms and Conditions in Attachment B, to the Solicitations mailbox referenced below.  If the vendor is requesting a change, the request must state the recommended change and the vendor’s reasons for proposing the change.</w:t>
      </w:r>
    </w:p>
    <w:p w:rsidR="00AE7F40" w:rsidRPr="00416D31" w:rsidRDefault="00AE7F40" w:rsidP="00AE7F40"/>
    <w:p w:rsidR="00AE7F40" w:rsidRPr="00416D31" w:rsidRDefault="00AE7F40" w:rsidP="00AE7F40">
      <w:pPr>
        <w:spacing w:after="240"/>
        <w:ind w:left="2160"/>
      </w:pPr>
      <w:r w:rsidRPr="00416D31">
        <w:rPr>
          <w:b/>
        </w:rPr>
        <w:t>Solicitations mailbox:</w:t>
      </w:r>
      <w:r w:rsidRPr="00416D31">
        <w:tab/>
      </w:r>
      <w:hyperlink r:id="rId12" w:history="1">
        <w:r w:rsidRPr="00416D31">
          <w:rPr>
            <w:rStyle w:val="Hyperlink"/>
            <w:color w:val="auto"/>
          </w:rPr>
          <w:t>solicitations@jud.ca.gov</w:t>
        </w:r>
      </w:hyperlink>
    </w:p>
    <w:p w:rsidR="00AE7F40" w:rsidRPr="00416D31" w:rsidRDefault="00AE7F40" w:rsidP="00AE7F40">
      <w:pPr>
        <w:numPr>
          <w:ilvl w:val="2"/>
          <w:numId w:val="28"/>
        </w:numPr>
        <w:rPr>
          <w:rFonts w:eastAsia="Times"/>
        </w:rPr>
      </w:pPr>
      <w:r w:rsidRPr="00416D31">
        <w:rPr>
          <w:rFonts w:eastAsia="Times"/>
        </w:rPr>
        <w:t xml:space="preserve">All questions and requests must be submitted by e-mail to the Solicitations mailbox and received no later than the date and time specified in </w:t>
      </w:r>
      <w:r w:rsidRPr="00416D31">
        <w:rPr>
          <w:rFonts w:eastAsia="Times"/>
          <w:u w:val="single"/>
        </w:rPr>
        <w:t xml:space="preserve">Section </w:t>
      </w:r>
      <w:r w:rsidRPr="00416D31">
        <w:rPr>
          <w:rFonts w:eastAsia="Times"/>
          <w:u w:val="single"/>
        </w:rPr>
        <w:lastRenderedPageBreak/>
        <w:t>8.1</w:t>
      </w:r>
      <w:r w:rsidRPr="00416D31">
        <w:rPr>
          <w:rFonts w:eastAsia="Times"/>
        </w:rPr>
        <w:t xml:space="preserve"> above.  Questions or requests submitted after the due date will not be answered.</w:t>
      </w:r>
    </w:p>
    <w:p w:rsidR="00AE7F40" w:rsidRPr="00416D31" w:rsidRDefault="00AE7F40" w:rsidP="00AE7F40"/>
    <w:p w:rsidR="00AE7F40" w:rsidRPr="00416D31" w:rsidRDefault="00AE7F40" w:rsidP="00AE7F40">
      <w:pPr>
        <w:numPr>
          <w:ilvl w:val="2"/>
          <w:numId w:val="28"/>
        </w:numPr>
        <w:rPr>
          <w:rFonts w:eastAsia="Times"/>
        </w:rPr>
      </w:pPr>
      <w:r w:rsidRPr="00416D31">
        <w:rPr>
          <w:rFonts w:eastAsia="Times"/>
        </w:rPr>
        <w:t>All e-mail correspondence sent to the Solicitations mailbox MUST contain the RFP number and other appropriate identifying information in the e-mail subject line.  In the body of the e-mail message, always include paragraph numbers whenever references are made to content of this RFP.  Failure to include the RFP number as well as other sufficient identifying information in the e-mail subject line may result in the AOC’s taking no action on a vendor’s e-mail submission.</w:t>
      </w:r>
    </w:p>
    <w:p w:rsidR="00AE7F40" w:rsidRPr="00416D31" w:rsidRDefault="00AE7F40" w:rsidP="00AE7F40"/>
    <w:p w:rsidR="00AE7F40" w:rsidRPr="00416D31" w:rsidRDefault="00AE7F40" w:rsidP="00AE7F40">
      <w:pPr>
        <w:numPr>
          <w:ilvl w:val="2"/>
          <w:numId w:val="28"/>
        </w:numPr>
        <w:rPr>
          <w:rFonts w:eastAsia="Times"/>
        </w:rPr>
      </w:pPr>
      <w:r w:rsidRPr="00416D31">
        <w:rPr>
          <w:rFonts w:eastAsia="Times"/>
        </w:rPr>
        <w:t>Without disclosing the source of the question or request, the AOC Contracting Officer will post a copy of both the questions and the AOC’s responses on the Courtinfo Web site.</w:t>
      </w:r>
    </w:p>
    <w:p w:rsidR="00AE7F40" w:rsidRPr="00416D31" w:rsidRDefault="00AE7F40" w:rsidP="00AE7F40"/>
    <w:p w:rsidR="00AE7F40" w:rsidRPr="00416D31" w:rsidRDefault="00AE7F40" w:rsidP="00AE7F40">
      <w:pPr>
        <w:numPr>
          <w:ilvl w:val="2"/>
          <w:numId w:val="28"/>
        </w:numPr>
        <w:rPr>
          <w:rFonts w:eastAsia="Times"/>
        </w:rPr>
      </w:pPr>
      <w:r w:rsidRPr="00416D31">
        <w:rPr>
          <w:rFonts w:eastAsia="Times"/>
        </w:rPr>
        <w:t>If a vendor’s question relates to a proprietary aspect of its proposal and the question would expose proprietary information if disclosed to competitors, the vendor may submit the question in writing,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so notified.</w:t>
      </w:r>
    </w:p>
    <w:p w:rsidR="00AE7F40" w:rsidRPr="00416D31" w:rsidRDefault="00AE7F40" w:rsidP="00AE7F40"/>
    <w:p w:rsidR="00AE7F40" w:rsidRPr="00416D31" w:rsidRDefault="00AE7F40" w:rsidP="00AE7F40">
      <w:pPr>
        <w:numPr>
          <w:ilvl w:val="0"/>
          <w:numId w:val="29"/>
        </w:numPr>
        <w:ind w:left="720" w:hanging="720"/>
        <w:rPr>
          <w:rFonts w:eastAsia="Times"/>
          <w:b/>
        </w:rPr>
      </w:pPr>
      <w:bookmarkStart w:id="5" w:name="_Ref205718014"/>
      <w:r w:rsidRPr="00416D31">
        <w:rPr>
          <w:rFonts w:eastAsia="Times"/>
          <w:b/>
        </w:rPr>
        <w:t>RFP ATTACHMENTS</w:t>
      </w:r>
      <w:bookmarkEnd w:id="5"/>
      <w:r w:rsidR="00F33D68">
        <w:rPr>
          <w:rFonts w:eastAsia="Times"/>
          <w:b/>
        </w:rPr>
        <w:t xml:space="preserve"> AND APPENDICES</w:t>
      </w:r>
    </w:p>
    <w:p w:rsidR="00AE7F40" w:rsidRPr="00416D31" w:rsidRDefault="00AE7F40" w:rsidP="00AE7F40"/>
    <w:p w:rsidR="00AE7F40" w:rsidRPr="00416D31" w:rsidRDefault="00AE7F40" w:rsidP="00AE7F40">
      <w:pPr>
        <w:numPr>
          <w:ilvl w:val="1"/>
          <w:numId w:val="29"/>
        </w:numPr>
        <w:ind w:left="1440" w:hanging="720"/>
        <w:rPr>
          <w:rFonts w:eastAsia="Times"/>
        </w:rPr>
      </w:pPr>
      <w:r w:rsidRPr="00416D31">
        <w:rPr>
          <w:rFonts w:eastAsia="Times"/>
        </w:rPr>
        <w:t>The following Attachments are incorporated into this Request For Proposals (RFP) by reference:</w:t>
      </w:r>
    </w:p>
    <w:p w:rsidR="00AE7F40" w:rsidRPr="00416D31" w:rsidRDefault="00AE7F40" w:rsidP="00AE7F40"/>
    <w:p w:rsidR="00AE7F40" w:rsidRPr="00416D31" w:rsidRDefault="00AE7F40" w:rsidP="00AE7F40">
      <w:pPr>
        <w:pStyle w:val="BodyTextIndent"/>
        <w:widowControl w:val="0"/>
        <w:autoSpaceDE w:val="0"/>
        <w:autoSpaceDN w:val="0"/>
        <w:adjustRightInd w:val="0"/>
        <w:spacing w:after="0"/>
        <w:ind w:left="4320" w:hanging="2160"/>
      </w:pPr>
      <w:r w:rsidRPr="00416D31">
        <w:t xml:space="preserve">Attachment </w:t>
      </w:r>
      <w:r w:rsidR="00356D74">
        <w:t>1</w:t>
      </w:r>
      <w:r w:rsidRPr="00416D31">
        <w:t xml:space="preserve"> - Administrative Rules Governing Request For Proposals</w:t>
      </w:r>
    </w:p>
    <w:p w:rsidR="00AE7F40" w:rsidRPr="00416D31" w:rsidRDefault="00AE7F40" w:rsidP="00AE7F40">
      <w:pPr>
        <w:pStyle w:val="BodyTextIndent"/>
        <w:widowControl w:val="0"/>
        <w:autoSpaceDE w:val="0"/>
        <w:autoSpaceDN w:val="0"/>
        <w:adjustRightInd w:val="0"/>
        <w:spacing w:after="0"/>
        <w:ind w:left="4320" w:hanging="2160"/>
      </w:pPr>
      <w:r w:rsidRPr="00416D31">
        <w:t xml:space="preserve">Attachment </w:t>
      </w:r>
      <w:r w:rsidR="00356D74">
        <w:t>2</w:t>
      </w:r>
      <w:r w:rsidRPr="00416D31">
        <w:t xml:space="preserve"> </w:t>
      </w:r>
      <w:r w:rsidR="00150658">
        <w:t>–</w:t>
      </w:r>
      <w:r w:rsidRPr="00416D31">
        <w:t xml:space="preserve"> </w:t>
      </w:r>
      <w:r w:rsidR="00150658">
        <w:t xml:space="preserve">Minimum </w:t>
      </w:r>
      <w:r w:rsidRPr="00416D31">
        <w:t>Terms and Conditions</w:t>
      </w:r>
    </w:p>
    <w:p w:rsidR="00AE7F40" w:rsidRPr="00416D31" w:rsidRDefault="00AE7F40" w:rsidP="00497B69">
      <w:pPr>
        <w:pStyle w:val="BodyTextIndent"/>
        <w:widowControl w:val="0"/>
        <w:autoSpaceDE w:val="0"/>
        <w:autoSpaceDN w:val="0"/>
        <w:adjustRightInd w:val="0"/>
        <w:spacing w:after="0"/>
        <w:ind w:left="3690" w:hanging="1530"/>
      </w:pPr>
      <w:r w:rsidRPr="00416D31">
        <w:t xml:space="preserve">Attachment </w:t>
      </w:r>
      <w:r w:rsidR="00356D74">
        <w:t>3</w:t>
      </w:r>
      <w:r w:rsidRPr="00416D31">
        <w:t xml:space="preserve"> </w:t>
      </w:r>
      <w:r w:rsidR="00356D74">
        <w:t>–</w:t>
      </w:r>
      <w:r w:rsidRPr="00416D31">
        <w:t xml:space="preserve"> </w:t>
      </w:r>
      <w:r w:rsidR="00497B69">
        <w:t xml:space="preserve">Vendor Acceptance of Minimum Contract Terms and Conditions </w:t>
      </w:r>
      <w:r w:rsidRPr="00416D31">
        <w:t>Form</w:t>
      </w:r>
    </w:p>
    <w:p w:rsidR="00AE7F40" w:rsidRPr="00416D31" w:rsidRDefault="00AE7F40" w:rsidP="00AE7F40">
      <w:pPr>
        <w:pStyle w:val="BodyTextIndent"/>
        <w:widowControl w:val="0"/>
        <w:autoSpaceDE w:val="0"/>
        <w:autoSpaceDN w:val="0"/>
        <w:adjustRightInd w:val="0"/>
        <w:spacing w:after="0"/>
        <w:ind w:left="4320" w:hanging="2160"/>
      </w:pPr>
      <w:r w:rsidRPr="00416D31">
        <w:t xml:space="preserve">Attachment </w:t>
      </w:r>
      <w:r w:rsidR="00356D74">
        <w:t>4</w:t>
      </w:r>
      <w:r w:rsidRPr="00416D31">
        <w:t xml:space="preserve"> </w:t>
      </w:r>
      <w:r w:rsidR="00356D74">
        <w:t xml:space="preserve">– </w:t>
      </w:r>
      <w:r w:rsidRPr="00416D31">
        <w:t>Payee Data Record</w:t>
      </w:r>
    </w:p>
    <w:p w:rsidR="00AE7F40" w:rsidRPr="00416D31" w:rsidRDefault="00AE7F40" w:rsidP="00AE7F40">
      <w:pPr>
        <w:pStyle w:val="BodyTextIndent"/>
        <w:widowControl w:val="0"/>
        <w:autoSpaceDE w:val="0"/>
        <w:autoSpaceDN w:val="0"/>
        <w:adjustRightInd w:val="0"/>
        <w:spacing w:after="0"/>
        <w:ind w:left="4320" w:hanging="2160"/>
      </w:pPr>
      <w:r w:rsidRPr="00416D31">
        <w:t xml:space="preserve">Attachment </w:t>
      </w:r>
      <w:r w:rsidR="00356D74">
        <w:t>5</w:t>
      </w:r>
      <w:r w:rsidRPr="00416D31">
        <w:t xml:space="preserve"> – DVBE Participation Form</w:t>
      </w:r>
    </w:p>
    <w:p w:rsidR="00AE7F40" w:rsidRPr="00416D31" w:rsidRDefault="00AE7F40" w:rsidP="00AE7F40"/>
    <w:p w:rsidR="00AE7F40" w:rsidRPr="00416D31" w:rsidRDefault="00AE7F40" w:rsidP="00F33D68">
      <w:pPr>
        <w:numPr>
          <w:ilvl w:val="2"/>
          <w:numId w:val="29"/>
        </w:numPr>
        <w:rPr>
          <w:rFonts w:eastAsia="Times"/>
        </w:rPr>
      </w:pPr>
      <w:r w:rsidRPr="00416D31">
        <w:rPr>
          <w:rFonts w:eastAsia="Times"/>
          <w:u w:val="single"/>
        </w:rPr>
        <w:t xml:space="preserve">Attachment </w:t>
      </w:r>
      <w:r w:rsidR="00F33D68">
        <w:rPr>
          <w:rFonts w:eastAsia="Times"/>
          <w:u w:val="single"/>
        </w:rPr>
        <w:t>1</w:t>
      </w:r>
      <w:r w:rsidRPr="00416D31">
        <w:rPr>
          <w:rFonts w:eastAsia="Times"/>
          <w:u w:val="single"/>
        </w:rPr>
        <w:t>, Administrative Rules Governing Request for Proposals</w:t>
      </w:r>
      <w:r w:rsidRPr="00416D31">
        <w:rPr>
          <w:rFonts w:eastAsia="Times"/>
        </w:rPr>
        <w:t xml:space="preserve">.  Proposers shall follow and be bound by the rules, set forth in Attachment </w:t>
      </w:r>
      <w:r w:rsidR="00497B69">
        <w:rPr>
          <w:rFonts w:eastAsia="Times"/>
        </w:rPr>
        <w:t>1</w:t>
      </w:r>
      <w:r w:rsidRPr="00416D31">
        <w:rPr>
          <w:rFonts w:eastAsia="Times"/>
        </w:rPr>
        <w:t xml:space="preserve"> in preparing their proposal.</w:t>
      </w:r>
    </w:p>
    <w:p w:rsidR="00AE7F40" w:rsidRPr="00416D31" w:rsidRDefault="00AE7F40" w:rsidP="00AE7F40"/>
    <w:p w:rsidR="00AE7F40" w:rsidRPr="00416D31" w:rsidRDefault="00AE7F40" w:rsidP="00F33D68">
      <w:pPr>
        <w:numPr>
          <w:ilvl w:val="2"/>
          <w:numId w:val="29"/>
        </w:numPr>
        <w:rPr>
          <w:rFonts w:eastAsia="Times"/>
        </w:rPr>
      </w:pPr>
      <w:r w:rsidRPr="00416D31">
        <w:rPr>
          <w:rFonts w:eastAsia="Times"/>
          <w:u w:val="single"/>
        </w:rPr>
        <w:t xml:space="preserve">Attachment </w:t>
      </w:r>
      <w:r w:rsidR="00F33D68">
        <w:rPr>
          <w:rFonts w:eastAsia="Times"/>
          <w:u w:val="single"/>
        </w:rPr>
        <w:t>2</w:t>
      </w:r>
      <w:r w:rsidRPr="00416D31">
        <w:rPr>
          <w:rFonts w:eastAsia="Times"/>
          <w:u w:val="single"/>
        </w:rPr>
        <w:t>, Minimum Terms and Conditions</w:t>
      </w:r>
      <w:r w:rsidRPr="00416D31">
        <w:rPr>
          <w:rFonts w:eastAsia="Times"/>
        </w:rPr>
        <w:t xml:space="preserve">.  </w:t>
      </w:r>
      <w:r w:rsidR="00DA34BF" w:rsidRPr="00DA34BF">
        <w:rPr>
          <w:rFonts w:eastAsia="Times"/>
        </w:rPr>
        <w:t xml:space="preserve">The Contract resulting from this RFP will be funded by a grant award from the U. S. Department of Health and Human Services, Administration for Children and Families </w:t>
      </w:r>
      <w:r w:rsidR="00DA34BF" w:rsidRPr="00DA34BF">
        <w:rPr>
          <w:rFonts w:eastAsia="Times"/>
        </w:rPr>
        <w:lastRenderedPageBreak/>
        <w:t>that provides the State’s Appropriation Year allocation for the State Court Improvement Data Sharing Program.  The Contract</w:t>
      </w:r>
      <w:r w:rsidR="00DA34BF" w:rsidRPr="00DA34BF">
        <w:rPr>
          <w:rFonts w:eastAsia="Times"/>
          <w:b/>
        </w:rPr>
        <w:t xml:space="preserve"> </w:t>
      </w:r>
      <w:r w:rsidR="00DA34BF" w:rsidRPr="00DA34BF">
        <w:rPr>
          <w:rFonts w:eastAsia="Times"/>
        </w:rPr>
        <w:t>with the successful firm will be signed by the parties on a Judicial Council of California, Administrative Office of the Courts Standard Agreement that contains the minimum terms and conditions for such Agreement and which are set forth in Attachment 2.</w:t>
      </w:r>
    </w:p>
    <w:p w:rsidR="00AE7F40" w:rsidRPr="00416D31" w:rsidRDefault="00AE7F40" w:rsidP="00AE7F40"/>
    <w:p w:rsidR="00AE7F40" w:rsidRPr="00416D31" w:rsidRDefault="00DA34BF" w:rsidP="00F33D68">
      <w:pPr>
        <w:numPr>
          <w:ilvl w:val="2"/>
          <w:numId w:val="29"/>
        </w:numPr>
        <w:rPr>
          <w:rFonts w:eastAsia="Times"/>
        </w:rPr>
      </w:pPr>
      <w:r w:rsidRPr="00DA34BF">
        <w:rPr>
          <w:rFonts w:eastAsia="Times"/>
          <w:u w:val="single"/>
        </w:rPr>
        <w:t xml:space="preserve">Attachment 3, Vendor Acceptance of Minimum Contract Terms Form.  </w:t>
      </w:r>
      <w:r w:rsidRPr="00DA34BF">
        <w:rPr>
          <w:rFonts w:eastAsia="Times"/>
        </w:rPr>
        <w:t>Exceptions to the Minimum Terms and Conditions for these grant-funded services will not be allowed.  Proposers must indicate acceptance of the Minimum Terms and Conditions as set forth in Attachment 2 by signing the Vendor Acceptance of Minimum Contract Terms and Conditions Form, and including the signed form in vendor’s proposal.</w:t>
      </w:r>
    </w:p>
    <w:p w:rsidR="00AE7F40" w:rsidRPr="00416D31" w:rsidRDefault="00AE7F40" w:rsidP="00AE7F40"/>
    <w:p w:rsidR="00AE7F40" w:rsidRPr="00416D31" w:rsidRDefault="00AE7F40" w:rsidP="00F33D68">
      <w:pPr>
        <w:numPr>
          <w:ilvl w:val="2"/>
          <w:numId w:val="29"/>
        </w:numPr>
        <w:rPr>
          <w:rFonts w:eastAsia="Times"/>
        </w:rPr>
      </w:pPr>
      <w:r w:rsidRPr="00416D31">
        <w:rPr>
          <w:rFonts w:eastAsia="Times"/>
          <w:u w:val="single"/>
        </w:rPr>
        <w:t xml:space="preserve">Attachment </w:t>
      </w:r>
      <w:r w:rsidR="00F33D68">
        <w:rPr>
          <w:rFonts w:eastAsia="Times"/>
          <w:u w:val="single"/>
        </w:rPr>
        <w:t>4</w:t>
      </w:r>
      <w:r w:rsidRPr="00416D31">
        <w:rPr>
          <w:rFonts w:eastAsia="Times"/>
          <w:u w:val="single"/>
        </w:rPr>
        <w:t>, Payee Data Record Form</w:t>
      </w:r>
      <w:r w:rsidRPr="00416D31">
        <w:rPr>
          <w:rFonts w:eastAsia="Times"/>
        </w:rPr>
        <w:t xml:space="preserve">. The AOC is required to obtain and keep on file, a completed Payee Data Record for each vendor prior to entering into a contract with that vendor.  Therefore, proposer’s proposal must include a completed and signed Payee Data Record Form, set forth as Attachment </w:t>
      </w:r>
      <w:r w:rsidR="00436308">
        <w:rPr>
          <w:rFonts w:eastAsia="Times"/>
        </w:rPr>
        <w:t>4</w:t>
      </w:r>
      <w:r w:rsidRPr="00416D31">
        <w:rPr>
          <w:rFonts w:eastAsia="Times"/>
        </w:rPr>
        <w:t>.</w:t>
      </w:r>
    </w:p>
    <w:p w:rsidR="00AE7F40" w:rsidRPr="00416D31" w:rsidRDefault="00AE7F40" w:rsidP="00AE7F40">
      <w:pPr>
        <w:rPr>
          <w:rFonts w:eastAsia="Times"/>
        </w:rPr>
      </w:pPr>
    </w:p>
    <w:p w:rsidR="00AE7F40" w:rsidRPr="00416D31" w:rsidRDefault="00AE7F40" w:rsidP="00F33D68">
      <w:pPr>
        <w:numPr>
          <w:ilvl w:val="2"/>
          <w:numId w:val="29"/>
        </w:numPr>
        <w:rPr>
          <w:rFonts w:eastAsia="Times"/>
        </w:rPr>
      </w:pPr>
      <w:r w:rsidRPr="00416D31">
        <w:rPr>
          <w:color w:val="000000"/>
          <w:u w:val="single"/>
        </w:rPr>
        <w:t xml:space="preserve">Attachment </w:t>
      </w:r>
      <w:r w:rsidR="00F33D68">
        <w:rPr>
          <w:color w:val="000000"/>
          <w:u w:val="single"/>
        </w:rPr>
        <w:t>5</w:t>
      </w:r>
      <w:r w:rsidRPr="00416D31">
        <w:rPr>
          <w:color w:val="000000"/>
          <w:u w:val="single"/>
        </w:rPr>
        <w:t>, DVBE Participation Form</w:t>
      </w:r>
      <w:r w:rsidRPr="00416D31">
        <w:rPr>
          <w:color w:val="000000"/>
        </w:rPr>
        <w:t>.  Proposers must demonstrate either (i) DVBE compliance with minimum participation goals, or (ii) written evidence of a "good faith effort” explaining why compliance with DVBE goals cannot be achieved.</w:t>
      </w:r>
      <w:r w:rsidR="00436308">
        <w:rPr>
          <w:color w:val="000000"/>
        </w:rPr>
        <w:t xml:space="preserve">  </w:t>
      </w:r>
      <w:r w:rsidR="00436308" w:rsidRPr="00416D31">
        <w:rPr>
          <w:rFonts w:eastAsia="Times"/>
        </w:rPr>
        <w:t xml:space="preserve">Therefore, proposer’s proposal must include a completed and signed </w:t>
      </w:r>
      <w:r w:rsidR="00436308">
        <w:rPr>
          <w:rFonts w:eastAsia="Times"/>
        </w:rPr>
        <w:t>DVBE Participation</w:t>
      </w:r>
      <w:r w:rsidR="00436308" w:rsidRPr="00416D31">
        <w:rPr>
          <w:rFonts w:eastAsia="Times"/>
        </w:rPr>
        <w:t xml:space="preserve"> Form, set forth as Attachment </w:t>
      </w:r>
      <w:r w:rsidR="00436308">
        <w:rPr>
          <w:rFonts w:eastAsia="Times"/>
        </w:rPr>
        <w:t>5</w:t>
      </w:r>
      <w:r w:rsidR="00436308" w:rsidRPr="00416D31">
        <w:rPr>
          <w:rFonts w:eastAsia="Times"/>
        </w:rPr>
        <w:t>.</w:t>
      </w:r>
    </w:p>
    <w:p w:rsidR="00AE7F40" w:rsidRDefault="00AE7F40" w:rsidP="00AE7F40">
      <w:pPr>
        <w:rPr>
          <w:rFonts w:eastAsia="Times"/>
        </w:rPr>
      </w:pPr>
    </w:p>
    <w:p w:rsidR="00EA0D83" w:rsidRDefault="00EA0D83" w:rsidP="00EA0D83">
      <w:pPr>
        <w:numPr>
          <w:ilvl w:val="1"/>
          <w:numId w:val="29"/>
        </w:numPr>
        <w:ind w:left="1440" w:hanging="720"/>
        <w:rPr>
          <w:rFonts w:eastAsia="Times"/>
        </w:rPr>
      </w:pPr>
      <w:r w:rsidRPr="00416D31">
        <w:rPr>
          <w:rFonts w:eastAsia="Times"/>
        </w:rPr>
        <w:t xml:space="preserve">The following </w:t>
      </w:r>
      <w:r>
        <w:rPr>
          <w:rFonts w:eastAsia="Times"/>
        </w:rPr>
        <w:t>Appendi</w:t>
      </w:r>
      <w:r w:rsidR="008D1F44">
        <w:rPr>
          <w:rFonts w:eastAsia="Times"/>
        </w:rPr>
        <w:t xml:space="preserve">x is </w:t>
      </w:r>
      <w:r w:rsidRPr="00416D31">
        <w:rPr>
          <w:rFonts w:eastAsia="Times"/>
        </w:rPr>
        <w:t>incorporated into this Request For Proposals (RFP) by reference:</w:t>
      </w:r>
    </w:p>
    <w:p w:rsidR="00EA0D83" w:rsidRDefault="00EA0D83" w:rsidP="00AE7F40">
      <w:pPr>
        <w:rPr>
          <w:rFonts w:eastAsia="Times"/>
        </w:rPr>
      </w:pPr>
    </w:p>
    <w:p w:rsidR="00EA0D83" w:rsidRDefault="00EA0D83" w:rsidP="00EA0D83">
      <w:pPr>
        <w:ind w:left="2160"/>
        <w:rPr>
          <w:rFonts w:eastAsia="Times"/>
        </w:rPr>
      </w:pPr>
      <w:r>
        <w:rPr>
          <w:rFonts w:eastAsia="Times"/>
        </w:rPr>
        <w:t xml:space="preserve">Appendix A - </w:t>
      </w:r>
      <w:r w:rsidRPr="00EA0D83">
        <w:rPr>
          <w:rFonts w:eastAsia="Times"/>
        </w:rPr>
        <w:t>Draft AOC Performance Measures in Juvenile Delinquency</w:t>
      </w:r>
    </w:p>
    <w:p w:rsidR="00EA0D83" w:rsidRPr="00416D31" w:rsidRDefault="00EA0D83" w:rsidP="00AE7F40">
      <w:pPr>
        <w:rPr>
          <w:rFonts w:eastAsia="Times"/>
        </w:rPr>
      </w:pPr>
    </w:p>
    <w:p w:rsidR="00AE7F40" w:rsidRPr="00416D31" w:rsidRDefault="00AE7F40" w:rsidP="00AE7F40">
      <w:pPr>
        <w:numPr>
          <w:ilvl w:val="0"/>
          <w:numId w:val="29"/>
        </w:numPr>
        <w:ind w:left="720" w:hanging="720"/>
        <w:rPr>
          <w:b/>
          <w:bCs/>
        </w:rPr>
      </w:pPr>
      <w:r w:rsidRPr="00416D31">
        <w:rPr>
          <w:b/>
          <w:bCs/>
        </w:rPr>
        <w:t>RIGHTS</w:t>
      </w:r>
    </w:p>
    <w:p w:rsidR="00AE7F40" w:rsidRPr="00416D31" w:rsidRDefault="00AE7F40" w:rsidP="00AE7F40">
      <w:pPr>
        <w:keepNext/>
      </w:pPr>
    </w:p>
    <w:p w:rsidR="00AE7F40" w:rsidRPr="00416D31" w:rsidRDefault="00AE7F40" w:rsidP="00AE7F40">
      <w:pPr>
        <w:pStyle w:val="BodyTextIndent2"/>
        <w:spacing w:after="0" w:line="240" w:lineRule="auto"/>
        <w:ind w:left="720"/>
      </w:pPr>
      <w:r w:rsidRPr="00416D31">
        <w:t xml:space="preserve">The AOC reserves the right to reject any and all proposals, in whole or in part, as well as the right to issue similar RFPs in the future.  This RFP is in no way an agreement, obligation, or contract and in no way is the AOC or the State of </w:t>
      </w:r>
      <w:smartTag w:uri="urn:schemas-microsoft-com:office:smarttags" w:element="State">
        <w:smartTag w:uri="urn:schemas-microsoft-com:office:smarttags" w:element="place">
          <w:r w:rsidRPr="00416D31">
            <w:t>California</w:t>
          </w:r>
        </w:smartTag>
      </w:smartTag>
      <w:r w:rsidRPr="00416D31">
        <w:t xml:space="preserve"> responsible for the cost of preparing the proposal.  One copy of a submitted proposal will be retained for official files and becomes a public record.</w:t>
      </w:r>
    </w:p>
    <w:p w:rsidR="00AE7F40" w:rsidRPr="00416D31" w:rsidRDefault="00AE7F40" w:rsidP="00AE7F40">
      <w:pPr>
        <w:ind w:left="720"/>
      </w:pPr>
    </w:p>
    <w:p w:rsidR="00AE7F40" w:rsidRPr="00416D31" w:rsidRDefault="00AE7F40" w:rsidP="00AE7F40">
      <w:pPr>
        <w:numPr>
          <w:ilvl w:val="0"/>
          <w:numId w:val="29"/>
        </w:numPr>
        <w:ind w:left="720" w:hanging="720"/>
        <w:rPr>
          <w:b/>
          <w:bCs/>
          <w:color w:val="000000"/>
        </w:rPr>
      </w:pPr>
      <w:r w:rsidRPr="00416D31">
        <w:rPr>
          <w:b/>
          <w:bCs/>
          <w:color w:val="000000"/>
        </w:rPr>
        <w:t>CONTACT WITH THE AOC</w:t>
      </w:r>
    </w:p>
    <w:p w:rsidR="00AE7F40" w:rsidRPr="00416D31" w:rsidRDefault="00AE7F40" w:rsidP="00AE7F40">
      <w:pPr>
        <w:rPr>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 xml:space="preserve">Prospective service providers are specifically directed NOT to contact any AOC personnel or its consultants for meetings, conferences, or discussions that are specifically related to this RFP at any time prior to any notice of intent to award a </w:t>
      </w:r>
      <w:r w:rsidRPr="00416D31">
        <w:rPr>
          <w:bCs/>
          <w:color w:val="000000"/>
        </w:rPr>
        <w:lastRenderedPageBreak/>
        <w:t>contract.  Unauthorized contact with any AOC personnel or its consultants may be cause for rejection of the vendor’s proposal.</w:t>
      </w:r>
    </w:p>
    <w:p w:rsidR="00AE7F40" w:rsidRPr="00416D31" w:rsidRDefault="00AE7F40" w:rsidP="00AE7F40">
      <w:pPr>
        <w:tabs>
          <w:tab w:val="num" w:pos="1440"/>
        </w:tabs>
        <w:ind w:left="1440" w:hanging="720"/>
        <w:rPr>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All communications with the AOC regarding this RFP, including submittal of questions pertaining to these solicitation documents, shall be made through the AOC’s Solicitation Mailbox (</w:t>
      </w:r>
      <w:hyperlink r:id="rId13" w:history="1">
        <w:r w:rsidRPr="00416D31">
          <w:rPr>
            <w:bCs/>
            <w:color w:val="0000FF"/>
          </w:rPr>
          <w:t>solicitations@jud.ca.gov</w:t>
        </w:r>
      </w:hyperlink>
      <w:r w:rsidRPr="00416D31">
        <w:rPr>
          <w:bCs/>
          <w:color w:val="000000"/>
        </w:rPr>
        <w:t>).</w:t>
      </w:r>
    </w:p>
    <w:p w:rsidR="00AE7F40" w:rsidRPr="00416D31" w:rsidRDefault="00AE7F40" w:rsidP="00AE7F40">
      <w:pPr>
        <w:ind w:left="720"/>
        <w:rPr>
          <w:color w:val="000000"/>
        </w:rPr>
      </w:pPr>
    </w:p>
    <w:p w:rsidR="00AE7F40" w:rsidRPr="00416D31" w:rsidRDefault="00AE7F40" w:rsidP="00AE7F40">
      <w:pPr>
        <w:numPr>
          <w:ilvl w:val="0"/>
          <w:numId w:val="29"/>
        </w:numPr>
        <w:ind w:left="720" w:hanging="720"/>
        <w:rPr>
          <w:b/>
          <w:bCs/>
        </w:rPr>
      </w:pPr>
      <w:r w:rsidRPr="00416D31">
        <w:rPr>
          <w:b/>
          <w:bCs/>
        </w:rPr>
        <w:t>ADDITIONAL REQUIREMENTS</w:t>
      </w:r>
    </w:p>
    <w:p w:rsidR="00AE7F40" w:rsidRPr="00416D31" w:rsidRDefault="00AE7F40" w:rsidP="00AE7F40">
      <w:pPr>
        <w:keepNext/>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It may be necessary to interview prospective service providers to clarify aspects of their submittal.  If conducted, interviews may be conducted by phone or by in-person presentations, at the AOC’s discretion.  The AOC will notify prospective service providers regarding the interview arrangements.</w:t>
      </w:r>
    </w:p>
    <w:p w:rsidR="00AE7F40" w:rsidRPr="00416D31" w:rsidRDefault="00AE7F40" w:rsidP="00AE7F40">
      <w:pPr>
        <w:ind w:left="720"/>
        <w:rPr>
          <w:bCs/>
          <w:color w:val="000000"/>
        </w:rPr>
      </w:pPr>
    </w:p>
    <w:p w:rsidR="00AE7F40" w:rsidRPr="00416D31" w:rsidRDefault="00AE7F40" w:rsidP="00AE7F40">
      <w:pPr>
        <w:numPr>
          <w:ilvl w:val="1"/>
          <w:numId w:val="29"/>
        </w:numPr>
        <w:tabs>
          <w:tab w:val="num" w:pos="1440"/>
        </w:tabs>
        <w:ind w:left="1440" w:hanging="720"/>
        <w:rPr>
          <w:bCs/>
          <w:color w:val="000000"/>
        </w:rPr>
      </w:pPr>
      <w:r w:rsidRPr="00416D31">
        <w:rPr>
          <w:bCs/>
          <w:color w:val="000000"/>
        </w:rPr>
        <w:t>It may also be necessary for the AOC to request additional documentation or information in order to clarify aspects of a proposal or a vendor’s ability to perform the required services.  Should the AOC request such documentation or information, proposer shall provide the requested documentation or information no later than the date specified by such request.</w:t>
      </w:r>
    </w:p>
    <w:p w:rsidR="00AE7F40" w:rsidRPr="00416D31" w:rsidRDefault="00AE7F40" w:rsidP="00AE7F40">
      <w:pPr>
        <w:rPr>
          <w:bCs/>
          <w:color w:val="000000"/>
        </w:rPr>
      </w:pPr>
    </w:p>
    <w:p w:rsidR="00AE7F40" w:rsidRPr="00416D31" w:rsidRDefault="00AE7F40" w:rsidP="00AE7F40">
      <w:pPr>
        <w:numPr>
          <w:ilvl w:val="1"/>
          <w:numId w:val="29"/>
        </w:numPr>
        <w:tabs>
          <w:tab w:val="num" w:pos="1440"/>
        </w:tabs>
        <w:ind w:left="1440" w:hanging="720"/>
      </w:pPr>
      <w:r w:rsidRPr="00416D31">
        <w:rPr>
          <w:bCs/>
          <w:color w:val="000000"/>
        </w:rPr>
        <w:t>Failure of a proposer to participate in an interview, or provide requested documentation or information by the AOC’s specified date may result in the vendor’s proposal being disqualified for further evaluation.</w:t>
      </w:r>
    </w:p>
    <w:p w:rsidR="00AE7F40" w:rsidRPr="00416D31" w:rsidRDefault="00AE7F40" w:rsidP="00AE7F40">
      <w:pPr>
        <w:ind w:left="720"/>
      </w:pPr>
    </w:p>
    <w:p w:rsidR="00AE7F40" w:rsidRPr="00416D31" w:rsidRDefault="00AE7F40" w:rsidP="00AE7F40">
      <w:pPr>
        <w:numPr>
          <w:ilvl w:val="0"/>
          <w:numId w:val="29"/>
        </w:numPr>
        <w:ind w:left="720" w:hanging="720"/>
        <w:rPr>
          <w:b/>
          <w:bCs/>
        </w:rPr>
      </w:pPr>
      <w:r w:rsidRPr="00416D31">
        <w:rPr>
          <w:b/>
          <w:bCs/>
        </w:rPr>
        <w:t>CONFIDENTIAL OR PROPRIETARY INFORMATION</w:t>
      </w:r>
    </w:p>
    <w:p w:rsidR="00AE7F40" w:rsidRPr="00416D31" w:rsidRDefault="00AE7F40" w:rsidP="00AE7F40">
      <w:pPr>
        <w:pStyle w:val="RFPA"/>
        <w:keepNext/>
        <w:numPr>
          <w:ilvl w:val="0"/>
          <w:numId w:val="0"/>
        </w:numPr>
        <w:ind w:left="720" w:hanging="720"/>
      </w:pPr>
    </w:p>
    <w:p w:rsidR="00AE7F40" w:rsidRPr="00416D31" w:rsidRDefault="00AE7F40" w:rsidP="00AE7F40">
      <w:pPr>
        <w:pStyle w:val="BodyText2"/>
        <w:spacing w:line="240" w:lineRule="auto"/>
        <w:ind w:left="720"/>
      </w:pPr>
      <w:r w:rsidRPr="00416D31">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AE7F40" w:rsidRPr="00416D31" w:rsidRDefault="00AE7F40" w:rsidP="00AE7F40">
      <w:pPr>
        <w:pStyle w:val="BodyText2"/>
        <w:spacing w:after="0" w:line="240" w:lineRule="auto"/>
      </w:pPr>
    </w:p>
    <w:p w:rsidR="00AE7F40" w:rsidRPr="00416D31" w:rsidRDefault="00AE7F40" w:rsidP="00AE7F40">
      <w:pPr>
        <w:numPr>
          <w:ilvl w:val="0"/>
          <w:numId w:val="29"/>
        </w:numPr>
        <w:ind w:left="720" w:hanging="720"/>
        <w:rPr>
          <w:b/>
          <w:bCs/>
        </w:rPr>
      </w:pPr>
      <w:r w:rsidRPr="00416D31">
        <w:rPr>
          <w:b/>
          <w:bCs/>
        </w:rPr>
        <w:t>DISABLED VETERAN BUSINESS EENTERPRISE PARTICIPATION GOALS</w:t>
      </w:r>
    </w:p>
    <w:p w:rsidR="00AE7F40" w:rsidRPr="00416D31" w:rsidRDefault="00AE7F40" w:rsidP="00AE7F40">
      <w:pPr>
        <w:pStyle w:val="DocInit"/>
        <w:keepNext/>
        <w:rPr>
          <w:rFonts w:ascii="Times New Roman" w:hAnsi="Times New Roman" w:cs="Times New Roman"/>
        </w:rPr>
      </w:pPr>
    </w:p>
    <w:p w:rsidR="00AE7F40" w:rsidRPr="00416D31" w:rsidRDefault="00AE7F40" w:rsidP="00AE7F40">
      <w:pPr>
        <w:numPr>
          <w:ilvl w:val="1"/>
          <w:numId w:val="29"/>
        </w:numPr>
        <w:tabs>
          <w:tab w:val="num" w:pos="1440"/>
        </w:tabs>
        <w:ind w:left="1440" w:hanging="720"/>
      </w:pPr>
      <w:r w:rsidRPr="00416D31">
        <w:t xml:space="preserve">The State of </w:t>
      </w:r>
      <w:smartTag w:uri="urn:schemas-microsoft-com:office:smarttags" w:element="State">
        <w:smartTag w:uri="urn:schemas-microsoft-com:office:smarttags" w:element="place">
          <w:r w:rsidRPr="00416D31">
            <w:t>California Executive Branch</w:t>
          </w:r>
        </w:smartTag>
      </w:smartTag>
      <w:r w:rsidRPr="00416D31">
        <w:t xml:space="preserve"> requires contract participation goals of a minimum of three percent (3%) for disabled veteran business enterprises (DVBEs).  The AOC, as a policy, follows the intent of the Executive Branch program.  Therefore, your proposal should demonstrate DVBE compliance; otherwise, if it is impossible for your company to comply, please explain why, and demonstrate written evidence of a “good faith effort” to achieve participation.  For further information regarding DVBE resources, please contact the Office of </w:t>
      </w:r>
      <w:r w:rsidRPr="00416D31">
        <w:lastRenderedPageBreak/>
        <w:t>Small Business and DVBE Certification, at 916-375-4940 or access DVBE information on the Executive Branch’s Office of Small Business and DVBE Internet web site at:  http://www.dgs.ca.gov/default.htm.</w:t>
      </w:r>
    </w:p>
    <w:p w:rsidR="00AE7F40" w:rsidRPr="00416D31" w:rsidRDefault="00AE7F40" w:rsidP="00AE7F40">
      <w:pPr>
        <w:tabs>
          <w:tab w:val="num" w:pos="1440"/>
        </w:tabs>
        <w:ind w:left="1440" w:hanging="720"/>
      </w:pPr>
    </w:p>
    <w:p w:rsidR="00AE7F40" w:rsidRPr="00416D31" w:rsidRDefault="00AE7F40" w:rsidP="00AE7F40">
      <w:pPr>
        <w:numPr>
          <w:ilvl w:val="1"/>
          <w:numId w:val="29"/>
        </w:numPr>
        <w:tabs>
          <w:tab w:val="num" w:pos="1440"/>
        </w:tabs>
        <w:ind w:left="1440" w:hanging="720"/>
      </w:pPr>
      <w:r w:rsidRPr="00416D31">
        <w:t>Prospective consultants/service providers must complete the DVBE Participation Form, included as Attachment E to this RFP, and include the signed form with the proposer’s Cost/Fee Proposal.</w:t>
      </w:r>
    </w:p>
    <w:p w:rsidR="00AE7F40" w:rsidRPr="00416D31" w:rsidRDefault="00AE7F40" w:rsidP="00AE7F40">
      <w:pPr>
        <w:tabs>
          <w:tab w:val="num" w:pos="1440"/>
        </w:tabs>
        <w:ind w:left="1440" w:hanging="720"/>
      </w:pPr>
    </w:p>
    <w:p w:rsidR="00AE7F40" w:rsidRPr="00416D31" w:rsidRDefault="00AE7F40" w:rsidP="00AE7F40">
      <w:pPr>
        <w:tabs>
          <w:tab w:val="num" w:pos="1440"/>
        </w:tabs>
        <w:ind w:left="1440" w:hanging="720"/>
      </w:pPr>
    </w:p>
    <w:p w:rsidR="00AE7F40" w:rsidRPr="00416D31" w:rsidRDefault="00AE7F40" w:rsidP="00AE7F40">
      <w:pPr>
        <w:tabs>
          <w:tab w:val="num" w:pos="1440"/>
        </w:tabs>
        <w:ind w:left="1440" w:hanging="720"/>
        <w:jc w:val="center"/>
        <w:rPr>
          <w:i/>
        </w:rPr>
      </w:pPr>
      <w:r w:rsidRPr="00416D31">
        <w:rPr>
          <w:i/>
        </w:rPr>
        <w:t xml:space="preserve">END OF </w:t>
      </w:r>
      <w:r w:rsidR="00347F45">
        <w:rPr>
          <w:i/>
        </w:rPr>
        <w:t xml:space="preserve">BASE </w:t>
      </w:r>
      <w:r w:rsidRPr="00416D31">
        <w:rPr>
          <w:i/>
        </w:rPr>
        <w:t>RFP</w:t>
      </w:r>
    </w:p>
    <w:sectPr w:rsidR="00AE7F40" w:rsidRPr="00416D31" w:rsidSect="00AE7F40">
      <w:headerReference w:type="default" r:id="rId14"/>
      <w:footerReference w:type="default" r:id="rId15"/>
      <w:pgSz w:w="12240" w:h="15840" w:code="1"/>
      <w:pgMar w:top="72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BE1" w:rsidRDefault="00241BE1">
      <w:r>
        <w:separator/>
      </w:r>
    </w:p>
  </w:endnote>
  <w:endnote w:type="continuationSeparator" w:id="1">
    <w:p w:rsidR="00241BE1" w:rsidRDefault="00241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79" w:rsidRPr="006A65CC" w:rsidRDefault="00FF7C79" w:rsidP="00AE7F40">
    <w:pPr>
      <w:pStyle w:val="Footer"/>
      <w:rPr>
        <w:snapToGrid w:val="0"/>
        <w:sz w:val="20"/>
        <w:szCs w:val="20"/>
      </w:rPr>
    </w:pPr>
  </w:p>
  <w:p w:rsidR="00FF7C79" w:rsidRDefault="00FF7C79" w:rsidP="00AE7F40">
    <w:pPr>
      <w:pStyle w:val="Footer"/>
      <w:jc w:val="center"/>
      <w:rPr>
        <w:sz w:val="20"/>
        <w:szCs w:val="20"/>
      </w:rPr>
    </w:pPr>
    <w:r w:rsidRPr="00997B85">
      <w:rPr>
        <w:snapToGrid w:val="0"/>
        <w:sz w:val="22"/>
        <w:szCs w:val="20"/>
      </w:rPr>
      <w:t xml:space="preserve">Page </w:t>
    </w:r>
    <w:r w:rsidRPr="00997B85">
      <w:rPr>
        <w:snapToGrid w:val="0"/>
        <w:sz w:val="22"/>
        <w:szCs w:val="20"/>
      </w:rPr>
      <w:fldChar w:fldCharType="begin"/>
    </w:r>
    <w:r w:rsidRPr="00997B85">
      <w:rPr>
        <w:snapToGrid w:val="0"/>
        <w:sz w:val="22"/>
        <w:szCs w:val="20"/>
      </w:rPr>
      <w:instrText xml:space="preserve"> PAGE </w:instrText>
    </w:r>
    <w:r w:rsidRPr="00997B85">
      <w:rPr>
        <w:snapToGrid w:val="0"/>
        <w:sz w:val="22"/>
        <w:szCs w:val="20"/>
      </w:rPr>
      <w:fldChar w:fldCharType="separate"/>
    </w:r>
    <w:r w:rsidR="00884432">
      <w:rPr>
        <w:noProof/>
        <w:snapToGrid w:val="0"/>
        <w:sz w:val="22"/>
        <w:szCs w:val="20"/>
      </w:rPr>
      <w:t>12</w:t>
    </w:r>
    <w:r w:rsidRPr="00997B85">
      <w:rPr>
        <w:snapToGrid w:val="0"/>
        <w:sz w:val="22"/>
        <w:szCs w:val="20"/>
      </w:rPr>
      <w:fldChar w:fldCharType="end"/>
    </w:r>
    <w:r w:rsidRPr="00997B85">
      <w:rPr>
        <w:snapToGrid w:val="0"/>
        <w:sz w:val="22"/>
        <w:szCs w:val="20"/>
      </w:rPr>
      <w:t xml:space="preserve"> of 1</w:t>
    </w:r>
    <w:r>
      <w:rPr>
        <w:snapToGrid w:val="0"/>
        <w:sz w:val="22"/>
        <w:szCs w:val="20"/>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BE1" w:rsidRDefault="00241BE1">
      <w:r>
        <w:separator/>
      </w:r>
    </w:p>
  </w:footnote>
  <w:footnote w:type="continuationSeparator" w:id="1">
    <w:p w:rsidR="00241BE1" w:rsidRDefault="00241BE1">
      <w:r>
        <w:continuationSeparator/>
      </w:r>
    </w:p>
  </w:footnote>
  <w:footnote w:id="2">
    <w:p w:rsidR="00FF7C79" w:rsidRPr="00E71C3D" w:rsidRDefault="00FF7C79" w:rsidP="00A92090">
      <w:pPr>
        <w:pStyle w:val="FootnoteText"/>
        <w:rPr>
          <w:szCs w:val="20"/>
        </w:rPr>
      </w:pPr>
      <w:r w:rsidRPr="00093507">
        <w:rPr>
          <w:rStyle w:val="FootnoteReference"/>
          <w:sz w:val="16"/>
          <w:szCs w:val="16"/>
        </w:rPr>
        <w:footnoteRef/>
      </w:r>
      <w:r>
        <w:t xml:space="preserve">National Council of Juvenile and Family Court Judges, </w:t>
      </w:r>
      <w:r>
        <w:rPr>
          <w:i/>
        </w:rPr>
        <w:t>Juvenile Delinquency Guidelines: Improving Court Practice in Juvenile Delinquency Cases</w:t>
      </w:r>
      <w:r>
        <w:t xml:space="preserve"> (2005). Available at:</w:t>
      </w:r>
      <w:r w:rsidRPr="00E71C3D">
        <w:rPr>
          <w:szCs w:val="20"/>
        </w:rPr>
        <w:t xml:space="preserve">  </w:t>
      </w:r>
      <w:hyperlink r:id="rId1" w:history="1">
        <w:r w:rsidRPr="00E71C3D">
          <w:rPr>
            <w:rStyle w:val="Hyperlink"/>
            <w:szCs w:val="20"/>
          </w:rPr>
          <w:t>http://www.ncjfcj.org/content/view/411/411/</w:t>
        </w:r>
      </w:hyperlink>
    </w:p>
    <w:p w:rsidR="00FF7C79" w:rsidRPr="00093507" w:rsidRDefault="00FF7C79">
      <w:pPr>
        <w:pStyle w:val="FootnoteText"/>
        <w:rPr>
          <w:sz w:val="16"/>
          <w:szCs w:val="16"/>
        </w:rPr>
      </w:pPr>
    </w:p>
  </w:footnote>
  <w:footnote w:id="3">
    <w:p w:rsidR="00FF7C79" w:rsidRPr="00E71C3D" w:rsidRDefault="00FF7C79" w:rsidP="00A92090">
      <w:pPr>
        <w:pStyle w:val="FootnoteText"/>
        <w:rPr>
          <w:szCs w:val="20"/>
        </w:rPr>
      </w:pPr>
      <w:r w:rsidRPr="00093507">
        <w:rPr>
          <w:rStyle w:val="FootnoteReference"/>
          <w:sz w:val="16"/>
          <w:szCs w:val="16"/>
        </w:rPr>
        <w:footnoteRef/>
      </w:r>
      <w:r w:rsidRPr="00093507">
        <w:rPr>
          <w:sz w:val="16"/>
          <w:szCs w:val="16"/>
        </w:rPr>
        <w:t xml:space="preserve"> </w:t>
      </w:r>
      <w:r>
        <w:t xml:space="preserve">National Council of Juvenile and Family court Judges,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State Courts, and American Bar Association Center for Children and the Law, </w:t>
      </w:r>
      <w:r>
        <w:rPr>
          <w:i/>
        </w:rPr>
        <w:t>Building a Better Court: Measuring and Improving Court Performance and Judicial Workload in Child Abuse and Neglect Cases</w:t>
      </w:r>
      <w:r>
        <w:t xml:space="preserve"> (2004). Available at: </w:t>
      </w:r>
      <w:r>
        <w:rPr>
          <w:sz w:val="16"/>
          <w:szCs w:val="16"/>
        </w:rPr>
        <w:t xml:space="preserve"> </w:t>
      </w:r>
      <w:hyperlink r:id="rId2" w:history="1">
        <w:r w:rsidRPr="00E71C3D">
          <w:rPr>
            <w:rStyle w:val="Hyperlink"/>
            <w:szCs w:val="20"/>
          </w:rPr>
          <w:t>http://www.ncjfcj.org/content/view/603/427/</w:t>
        </w:r>
      </w:hyperlink>
    </w:p>
    <w:p w:rsidR="00FF7C79" w:rsidRPr="00093507" w:rsidRDefault="00FF7C79">
      <w:pPr>
        <w:pStyle w:val="FootnoteText"/>
        <w:rPr>
          <w:sz w:val="16"/>
          <w:szCs w:val="16"/>
        </w:rPr>
      </w:pPr>
    </w:p>
  </w:footnote>
  <w:footnote w:id="4">
    <w:p w:rsidR="00FF7C79" w:rsidRDefault="00FF7C79" w:rsidP="00A92090">
      <w:pPr>
        <w:pStyle w:val="FootnoteText"/>
      </w:pPr>
      <w:r w:rsidRPr="00093507">
        <w:rPr>
          <w:rStyle w:val="FootnoteReference"/>
          <w:sz w:val="16"/>
          <w:szCs w:val="16"/>
        </w:rPr>
        <w:footnoteRef/>
      </w:r>
      <w:r>
        <w:t xml:space="preserve">American Prosecutors Research Institute, </w:t>
      </w:r>
      <w:r>
        <w:rPr>
          <w:i/>
        </w:rPr>
        <w:t>Guide to Developing and Implementing Performance Measures for the Juvenile Justice System</w:t>
      </w:r>
      <w:r>
        <w:t xml:space="preserve"> (2006). Available at:</w:t>
      </w:r>
      <w:r w:rsidRPr="00E71C3D">
        <w:rPr>
          <w:szCs w:val="20"/>
        </w:rPr>
        <w:t xml:space="preserve">   </w:t>
      </w:r>
      <w:hyperlink r:id="rId3" w:history="1">
        <w:r w:rsidRPr="00E71C3D">
          <w:rPr>
            <w:rStyle w:val="Hyperlink"/>
            <w:szCs w:val="20"/>
          </w:rPr>
          <w:t>http://www.ndaa.org/pdf/performance_measures_jj_system_06.pdf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79" w:rsidRDefault="00FF7C79" w:rsidP="00AE7F40">
    <w:pPr>
      <w:pStyle w:val="Header"/>
    </w:pPr>
    <w:r>
      <w:t>@Project</w:t>
    </w:r>
  </w:p>
  <w:p w:rsidR="00FF7C79" w:rsidRDefault="00FF7C79" w:rsidP="00AE7F40">
    <w:pPr>
      <w:pStyle w:val="Header"/>
    </w:pPr>
    <w:fldSimple w:instr=" TIME \@ &quot;MMMM d, yyyy&quot; ">
      <w:r w:rsidR="00884432">
        <w:rPr>
          <w:noProof/>
        </w:rPr>
        <w:t>August 27, 2010</w:t>
      </w:r>
    </w:fldSimple>
  </w:p>
  <w:p w:rsidR="00FF7C79" w:rsidRDefault="00FF7C79" w:rsidP="00AE7F40">
    <w:pPr>
      <w:pStyle w:val="HeaderPageNumber"/>
      <w:spacing w:after="240"/>
    </w:pPr>
    <w:r>
      <w:t xml:space="preserve">Page </w:t>
    </w:r>
    <w:fldSimple w:instr=" PAGE  \* MERGEFORMAT ">
      <w:r>
        <w:rPr>
          <w:noProof/>
        </w:rPr>
        <w:t>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79" w:rsidRDefault="00FF7C79">
    <w:r>
      <w:rPr>
        <w:noProof/>
        <w:sz w:val="20"/>
      </w:rPr>
      <w:pict>
        <v:shapetype id="_x0000_t202" coordsize="21600,21600" o:spt="202" path="m,l,21600r21600,l21600,xe">
          <v:stroke joinstyle="miter"/>
          <v:path gradientshapeok="t" o:connecttype="rect"/>
        </v:shapetype>
        <v:shape id="_x0000_s2051" type="#_x0000_t202" style="position:absolute;margin-left:373.05pt;margin-top:153.2pt;width:2in;height:99pt;z-index:-251657728;mso-wrap-edited:f" wrapcoords="-112 0 -112 21436 21600 21436 21600 0 -112 0" stroked="f">
          <v:textbox style="mso-next-textbox:#_x0000_s2051" inset=",7.2pt">
            <w:txbxContent>
              <w:p w:rsidR="00FF7C79" w:rsidRDefault="00FF7C79">
                <w:pPr>
                  <w:pStyle w:val="JCCName"/>
                  <w:jc w:val="center"/>
                </w:pPr>
                <w:r>
                  <w:t>WILLIAM C. VICKREY</w:t>
                </w:r>
              </w:p>
              <w:p w:rsidR="00FF7C79" w:rsidRDefault="00FF7C79">
                <w:pPr>
                  <w:pStyle w:val="JCCTitle"/>
                  <w:spacing w:after="300"/>
                  <w:jc w:val="center"/>
                </w:pPr>
                <w:r>
                  <w:t>Administrative Director of the Courts</w:t>
                </w:r>
              </w:p>
              <w:p w:rsidR="00FF7C79" w:rsidRDefault="00FF7C79">
                <w:pPr>
                  <w:pStyle w:val="JCCName"/>
                  <w:jc w:val="center"/>
                </w:pPr>
                <w:r>
                  <w:t>RONALD G. OVERHOLT</w:t>
                </w:r>
              </w:p>
              <w:p w:rsidR="00FF7C79" w:rsidRDefault="00FF7C79">
                <w:pPr>
                  <w:pStyle w:val="JCCTitle"/>
                  <w:spacing w:after="300"/>
                  <w:jc w:val="center"/>
                </w:pPr>
                <w:r>
                  <w:t>Chief Deputy Director</w:t>
                </w:r>
              </w:p>
              <w:p w:rsidR="00FF7C79" w:rsidRDefault="00FF7C79">
                <w:pPr>
                  <w:pStyle w:val="JCCName"/>
                  <w:jc w:val="center"/>
                </w:pPr>
                <w:r>
                  <w:t>STEPHEN NASH</w:t>
                </w:r>
              </w:p>
              <w:p w:rsidR="00FF7C79" w:rsidRDefault="00FF7C79">
                <w:pPr>
                  <w:pStyle w:val="JCCTitle"/>
                  <w:spacing w:after="300"/>
                  <w:jc w:val="center"/>
                </w:pPr>
                <w:r>
                  <w:t>Director, Finance Division</w:t>
                </w:r>
              </w:p>
            </w:txbxContent>
          </v:textbox>
          <w10:wrap type="tight"/>
        </v:shape>
      </w:pict>
    </w:r>
    <w:r>
      <w:rPr>
        <w:noProof/>
        <w:sz w:val="20"/>
      </w:rPr>
      <w:pict>
        <v:shape id="_x0000_s2050" type="#_x0000_t202" style="position:absolute;margin-left:-58.95pt;margin-top:153.2pt;width:153pt;height:1in;z-index:-251658752;mso-wrap-edited:f" wrapcoords="-106 0 -106 21240 21600 21240 21600 0 -106 0" stroked="f">
          <v:textbox style="mso-next-textbox:#_x0000_s2050" inset=",7.2pt">
            <w:txbxContent>
              <w:p w:rsidR="00FF7C79" w:rsidRDefault="00FF7C79">
                <w:pPr>
                  <w:pStyle w:val="JCCName"/>
                  <w:jc w:val="center"/>
                </w:pPr>
                <w:r>
                  <w:t>RONALD M. GEORGE</w:t>
                </w:r>
              </w:p>
              <w:p w:rsidR="00FF7C79" w:rsidRDefault="00FF7C79">
                <w:pPr>
                  <w:pStyle w:val="JCCTitle"/>
                  <w:jc w:val="center"/>
                </w:pPr>
                <w:r>
                  <w:t xml:space="preserve">Chief Justice of </w:t>
                </w:r>
                <w:smartTag w:uri="urn:schemas-microsoft-com:office:smarttags" w:element="place">
                  <w:smartTag w:uri="urn:schemas-microsoft-com:office:smarttags" w:element="State">
                    <w:r>
                      <w:t>California</w:t>
                    </w:r>
                  </w:smartTag>
                </w:smartTag>
              </w:p>
              <w:p w:rsidR="00FF7C79" w:rsidRDefault="00FF7C79">
                <w:pPr>
                  <w:pStyle w:val="JCCTitle"/>
                  <w:jc w:val="center"/>
                </w:pPr>
                <w:r>
                  <w:t>Chair of the Judicial Council</w:t>
                </w:r>
              </w:p>
            </w:txbxContent>
          </v:textbox>
          <w10:wrap type="tight"/>
        </v:shape>
      </w:pict>
    </w:r>
    <w:r>
      <w:rPr>
        <w:noProof/>
        <w:sz w:val="20"/>
      </w:rPr>
      <w:pict>
        <v:shape id="_x0000_s2049" type="#_x0000_t202" style="position:absolute;margin-left:-1in;margin-top:-16.75pt;width:612pt;height:178.95pt;z-index:-251659776;mso-wrap-edited:f" wrapcoords="-129 0 -129 21578 21600 21578 21600 0 -129 0" stroked="f">
          <o:lock v:ext="edit" aspectratio="t"/>
          <v:textbox style="mso-next-textbox:#_x0000_s2049">
            <w:txbxContent>
              <w:p w:rsidR="00FF7C79" w:rsidRDefault="00884432">
                <w:pPr>
                  <w:jc w:val="center"/>
                </w:pPr>
                <w:r>
                  <w:rPr>
                    <w:rFonts w:ascii="Arial" w:hAnsi="Arial"/>
                    <w:noProof/>
                    <w:sz w:val="20"/>
                  </w:rPr>
                  <w:drawing>
                    <wp:inline distT="0" distB="0" distL="0" distR="0">
                      <wp:extent cx="2590800" cy="1295400"/>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FF7C79" w:rsidRDefault="00FF7C79">
                <w:pPr>
                  <w:pStyle w:val="JCCAddressblock"/>
                </w:pPr>
                <w:r>
                  <w:t>FINANCE DIVISION</w:t>
                </w:r>
              </w:p>
              <w:p w:rsidR="00FF7C79" w:rsidRDefault="00FF7C79">
                <w:pPr>
                  <w:pStyle w:val="JCCAddress1stline"/>
                </w:pPr>
                <w:smartTag w:uri="urn:schemas-microsoft-com:office:smarttags" w:element="Street">
                  <w:smartTag w:uri="urn:schemas-microsoft-com:office:smarttags" w:element="address">
                    <w:r>
                      <w:t>455 Golden Gate Avenue</w:t>
                    </w:r>
                  </w:smartTag>
                </w:smartTag>
                <w:r>
                  <w:t xml:space="preserv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FF7C79" w:rsidRDefault="00FF7C79">
                <w:pPr>
                  <w:pStyle w:val="JCCAddress2ndline"/>
                </w:pPr>
                <w:r>
                  <w:t xml:space="preserve">Telephone 415-865-7960 </w:t>
                </w:r>
                <w:r>
                  <w:rPr>
                    <w:position w:val="4"/>
                    <w:sz w:val="40"/>
                  </w:rPr>
                  <w:t>.</w:t>
                </w:r>
                <w:r>
                  <w:t xml:space="preserve"> Fax 415-865-4325 </w:t>
                </w:r>
                <w:r>
                  <w:rPr>
                    <w:position w:val="4"/>
                    <w:sz w:val="40"/>
                  </w:rPr>
                  <w:t>.</w:t>
                </w:r>
                <w:r>
                  <w:t xml:space="preserve"> TDD 415-865-4272</w:t>
                </w:r>
              </w:p>
            </w:txbxContent>
          </v:textbox>
          <w10:wrap type="tigh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79" w:rsidRPr="0043216E" w:rsidRDefault="00FF7C79" w:rsidP="00AE7F40">
    <w:pPr>
      <w:pStyle w:val="Header"/>
      <w:jc w:val="right"/>
      <w:rPr>
        <w:sz w:val="22"/>
      </w:rPr>
    </w:pPr>
    <w:r>
      <w:rPr>
        <w:sz w:val="22"/>
      </w:rPr>
      <w:t xml:space="preserve">Developing the Guide to </w:t>
    </w:r>
    <w:smartTag w:uri="urn:schemas-microsoft-com:office:smarttags" w:element="Street">
      <w:smartTag w:uri="urn:schemas-microsoft-com:office:smarttags" w:element="address">
        <w:r>
          <w:rPr>
            <w:sz w:val="22"/>
          </w:rPr>
          <w:t>Juvenile Delinquency Court</w:t>
        </w:r>
      </w:smartTag>
    </w:smartTag>
    <w:r>
      <w:rPr>
        <w:sz w:val="22"/>
      </w:rPr>
      <w:t xml:space="preserve"> Performance Measures</w:t>
    </w:r>
  </w:p>
  <w:p w:rsidR="00FF7C79" w:rsidRPr="0043216E" w:rsidRDefault="00FF7C79" w:rsidP="00AE7F40">
    <w:pPr>
      <w:pStyle w:val="Header"/>
      <w:jc w:val="right"/>
      <w:rPr>
        <w:sz w:val="22"/>
      </w:rPr>
    </w:pPr>
    <w:r w:rsidRPr="0043216E">
      <w:rPr>
        <w:sz w:val="22"/>
      </w:rPr>
      <w:t xml:space="preserve">RFP # </w:t>
    </w:r>
    <w:r>
      <w:rPr>
        <w:sz w:val="22"/>
      </w:rPr>
      <w:t>CFCC-09-09</w:t>
    </w:r>
    <w:r w:rsidRPr="0043216E">
      <w:rPr>
        <w:sz w:val="22"/>
      </w:rPr>
      <w:t>-CT</w:t>
    </w:r>
  </w:p>
  <w:p w:rsidR="00FF7C79" w:rsidRPr="0043216E" w:rsidRDefault="00FF7C79" w:rsidP="00AE7F40">
    <w:pPr>
      <w:pStyle w:val="HeaderPageNumber"/>
      <w:spacing w:after="240"/>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59BF"/>
    <w:multiLevelType w:val="multilevel"/>
    <w:tmpl w:val="D8B09112"/>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078F2AB9"/>
    <w:multiLevelType w:val="singleLevel"/>
    <w:tmpl w:val="467A45B8"/>
    <w:lvl w:ilvl="0">
      <w:start w:val="1"/>
      <w:numFmt w:val="decimal"/>
      <w:lvlText w:val="%1. "/>
      <w:legacy w:legacy="1" w:legacySpace="0" w:legacyIndent="360"/>
      <w:lvlJc w:val="left"/>
      <w:pPr>
        <w:ind w:left="1530" w:hanging="360"/>
      </w:pPr>
      <w:rPr>
        <w:rFonts w:ascii="Tms Rmn" w:hAnsi="Tms Rmn" w:cs="Courier New" w:hint="default"/>
        <w:b w:val="0"/>
        <w:bCs w:val="0"/>
        <w:i w:val="0"/>
        <w:iCs w:val="0"/>
        <w:sz w:val="24"/>
        <w:szCs w:val="24"/>
        <w:u w:val="none"/>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89E501E"/>
    <w:multiLevelType w:val="hybridMultilevel"/>
    <w:tmpl w:val="CF60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53F79"/>
    <w:multiLevelType w:val="hybridMultilevel"/>
    <w:tmpl w:val="913048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3">
      <w:start w:val="1"/>
      <w:numFmt w:val="bullet"/>
      <w:lvlText w:val="o"/>
      <w:lvlJc w:val="left"/>
      <w:pPr>
        <w:ind w:left="4680" w:hanging="360"/>
      </w:pPr>
      <w:rPr>
        <w:rFonts w:ascii="Courier New" w:hAnsi="Courier New" w:cs="Courier New"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9">
    <w:nsid w:val="223168F5"/>
    <w:multiLevelType w:val="multilevel"/>
    <w:tmpl w:val="4FAAA5FA"/>
    <w:lvl w:ilvl="0">
      <w:start w:val="4"/>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454FE0"/>
    <w:multiLevelType w:val="multilevel"/>
    <w:tmpl w:val="7EB207A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D5B2635"/>
    <w:multiLevelType w:val="hybridMultilevel"/>
    <w:tmpl w:val="7E24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8312C"/>
    <w:multiLevelType w:val="hybridMultilevel"/>
    <w:tmpl w:val="8B584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78507B"/>
    <w:multiLevelType w:val="multilevel"/>
    <w:tmpl w:val="D4381CF4"/>
    <w:lvl w:ilvl="0">
      <w:start w:val="3"/>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93B39AD"/>
    <w:multiLevelType w:val="hybridMultilevel"/>
    <w:tmpl w:val="D5A23A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EEC1603"/>
    <w:multiLevelType w:val="multilevel"/>
    <w:tmpl w:val="9AF074C2"/>
    <w:lvl w:ilvl="0">
      <w:start w:val="2"/>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D3B15FA"/>
    <w:multiLevelType w:val="multilevel"/>
    <w:tmpl w:val="88824E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DB96C34"/>
    <w:multiLevelType w:val="multilevel"/>
    <w:tmpl w:val="C71AEC7A"/>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35070D9"/>
    <w:multiLevelType w:val="multilevel"/>
    <w:tmpl w:val="626E89E6"/>
    <w:lvl w:ilvl="0">
      <w:start w:val="3"/>
      <w:numFmt w:val="decimal"/>
      <w:lvlText w:val="%1.0"/>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58C306E6"/>
    <w:multiLevelType w:val="multilevel"/>
    <w:tmpl w:val="BF50FC3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1">
    <w:nsid w:val="5D3F02B4"/>
    <w:multiLevelType w:val="multilevel"/>
    <w:tmpl w:val="79F2A7D0"/>
    <w:lvl w:ilvl="0">
      <w:start w:val="3"/>
      <w:numFmt w:val="decimal"/>
      <w:lvlText w:val="%1"/>
      <w:lvlJc w:val="left"/>
      <w:pPr>
        <w:ind w:left="480" w:hanging="480"/>
      </w:pPr>
      <w:rPr>
        <w:rFonts w:hint="default"/>
        <w:color w:val="auto"/>
      </w:rPr>
    </w:lvl>
    <w:lvl w:ilvl="1">
      <w:start w:val="2"/>
      <w:numFmt w:val="decimal"/>
      <w:lvlText w:val="%1.%2"/>
      <w:lvlJc w:val="left"/>
      <w:pPr>
        <w:ind w:left="1200" w:hanging="480"/>
      </w:pPr>
      <w:rPr>
        <w:rFonts w:hint="default"/>
        <w:b w:val="0"/>
        <w:i w:val="0"/>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2">
    <w:nsid w:val="60A723E7"/>
    <w:multiLevelType w:val="multilevel"/>
    <w:tmpl w:val="C19615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1054EBD"/>
    <w:multiLevelType w:val="multilevel"/>
    <w:tmpl w:val="C19615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5820A1B"/>
    <w:multiLevelType w:val="hybridMultilevel"/>
    <w:tmpl w:val="E0420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3">
      <w:start w:val="1"/>
      <w:numFmt w:val="bullet"/>
      <w:lvlText w:val="o"/>
      <w:lvlJc w:val="left"/>
      <w:pPr>
        <w:ind w:left="4680" w:hanging="360"/>
      </w:pPr>
      <w:rPr>
        <w:rFonts w:ascii="Courier New" w:hAnsi="Courier New" w:cs="Courier New" w:hint="default"/>
      </w:rPr>
    </w:lvl>
    <w:lvl w:ilvl="7" w:tplc="0409000D">
      <w:start w:val="1"/>
      <w:numFmt w:val="bullet"/>
      <w:lvlText w:val=""/>
      <w:lvlJc w:val="left"/>
      <w:pPr>
        <w:ind w:left="5400" w:hanging="360"/>
      </w:pPr>
      <w:rPr>
        <w:rFonts w:ascii="Wingdings" w:hAnsi="Wingdings"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Courier New"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6">
    <w:nsid w:val="72742D09"/>
    <w:multiLevelType w:val="multilevel"/>
    <w:tmpl w:val="E0A0164C"/>
    <w:lvl w:ilvl="0">
      <w:start w:val="3"/>
      <w:numFmt w:val="decimal"/>
      <w:lvlText w:val="%1"/>
      <w:lvlJc w:val="left"/>
      <w:pPr>
        <w:ind w:left="480" w:hanging="480"/>
      </w:pPr>
      <w:rPr>
        <w:rFonts w:hint="default"/>
        <w:color w:val="auto"/>
      </w:rPr>
    </w:lvl>
    <w:lvl w:ilvl="1">
      <w:start w:val="2"/>
      <w:numFmt w:val="none"/>
      <w:lvlText w:val="3.5"/>
      <w:lvlJc w:val="left"/>
      <w:pPr>
        <w:ind w:left="1200" w:hanging="480"/>
      </w:pPr>
      <w:rPr>
        <w:rFonts w:hint="default"/>
        <w:color w:val="auto"/>
      </w:rPr>
    </w:lvl>
    <w:lvl w:ilvl="2">
      <w:start w:val="1"/>
      <w:numFmt w:val="decimal"/>
      <w:lvlText w:val="%1.4.%3"/>
      <w:lvlJc w:val="left"/>
      <w:pPr>
        <w:ind w:left="2160" w:hanging="720"/>
      </w:pPr>
      <w:rPr>
        <w:rFonts w:hint="default"/>
        <w:color w:val="auto"/>
      </w:rPr>
    </w:lvl>
    <w:lvl w:ilvl="3">
      <w:start w:val="1"/>
      <w:numFmt w:val="decimal"/>
      <w:lvlText w:val="%1.4.%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7">
    <w:nsid w:val="7BB94805"/>
    <w:multiLevelType w:val="multilevel"/>
    <w:tmpl w:val="50E83DF6"/>
    <w:lvl w:ilvl="0">
      <w:start w:val="3"/>
      <w:numFmt w:val="decimal"/>
      <w:lvlText w:val="%1"/>
      <w:lvlJc w:val="left"/>
      <w:pPr>
        <w:ind w:left="480" w:hanging="480"/>
      </w:pPr>
      <w:rPr>
        <w:rFonts w:hint="default"/>
        <w:color w:val="auto"/>
      </w:rPr>
    </w:lvl>
    <w:lvl w:ilvl="1">
      <w:start w:val="2"/>
      <w:numFmt w:val="decimal"/>
      <w:lvlText w:val="%1.4"/>
      <w:lvlJc w:val="left"/>
      <w:pPr>
        <w:ind w:left="1200" w:hanging="480"/>
      </w:pPr>
      <w:rPr>
        <w:rFonts w:hint="default"/>
        <w:color w:val="auto"/>
      </w:rPr>
    </w:lvl>
    <w:lvl w:ilvl="2">
      <w:start w:val="1"/>
      <w:numFmt w:val="decimal"/>
      <w:lvlText w:val="%1.4.%3"/>
      <w:lvlJc w:val="left"/>
      <w:pPr>
        <w:ind w:left="2160" w:hanging="720"/>
      </w:pPr>
      <w:rPr>
        <w:rFonts w:hint="default"/>
        <w:color w:val="auto"/>
      </w:rPr>
    </w:lvl>
    <w:lvl w:ilvl="3">
      <w:start w:val="1"/>
      <w:numFmt w:val="decimal"/>
      <w:lvlText w:val="%1.4.%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8">
    <w:nsid w:val="7BF245A0"/>
    <w:multiLevelType w:val="multilevel"/>
    <w:tmpl w:val="C19615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FF813D3"/>
    <w:multiLevelType w:val="hybridMultilevel"/>
    <w:tmpl w:val="4E54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3">
      <w:start w:val="1"/>
      <w:numFmt w:val="bullet"/>
      <w:lvlText w:val="o"/>
      <w:lvlJc w:val="left"/>
      <w:pPr>
        <w:ind w:left="4680" w:hanging="360"/>
      </w:pPr>
      <w:rPr>
        <w:rFonts w:ascii="Courier New" w:hAnsi="Courier New" w:cs="Courier New" w:hint="default"/>
      </w:rPr>
    </w:lvl>
    <w:lvl w:ilvl="7" w:tplc="0409000D">
      <w:start w:val="1"/>
      <w:numFmt w:val="bullet"/>
      <w:lvlText w:val=""/>
      <w:lvlJc w:val="left"/>
      <w:pPr>
        <w:ind w:left="5400" w:hanging="360"/>
      </w:pPr>
      <w:rPr>
        <w:rFonts w:ascii="Wingdings" w:hAnsi="Wingdings"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6"/>
  </w:num>
  <w:num w:numId="4">
    <w:abstractNumId w:val="1"/>
  </w:num>
  <w:num w:numId="5">
    <w:abstractNumId w:val="5"/>
  </w:num>
  <w:num w:numId="6">
    <w:abstractNumId w:val="25"/>
  </w:num>
  <w:num w:numId="7">
    <w:abstractNumId w:val="8"/>
  </w:num>
  <w:num w:numId="8">
    <w:abstractNumId w:val="7"/>
  </w:num>
  <w:num w:numId="9">
    <w:abstractNumId w:val="12"/>
  </w:num>
  <w:num w:numId="10">
    <w:abstractNumId w:val="27"/>
  </w:num>
  <w:num w:numId="11">
    <w:abstractNumId w:val="4"/>
  </w:num>
  <w:num w:numId="12">
    <w:abstractNumId w:val="24"/>
  </w:num>
  <w:num w:numId="13">
    <w:abstractNumId w:val="29"/>
  </w:num>
  <w:num w:numId="14">
    <w:abstractNumId w:val="21"/>
  </w:num>
  <w:num w:numId="15">
    <w:abstractNumId w:val="26"/>
  </w:num>
  <w:num w:numId="16">
    <w:abstractNumId w:val="23"/>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3"/>
  </w:num>
  <w:num w:numId="25">
    <w:abstractNumId w:val="18"/>
  </w:num>
  <w:num w:numId="26">
    <w:abstractNumId w:val="9"/>
  </w:num>
  <w:num w:numId="27">
    <w:abstractNumId w:val="15"/>
  </w:num>
  <w:num w:numId="28">
    <w:abstractNumId w:val="17"/>
  </w:num>
  <w:num w:numId="29">
    <w:abstractNumId w:val="16"/>
  </w:num>
  <w:num w:numId="30">
    <w:abstractNumId w:val="19"/>
  </w:num>
  <w:num w:numId="31">
    <w:abstractNumId w:val="10"/>
  </w:num>
  <w:num w:numId="32">
    <w:abstractNumId w:val="22"/>
  </w:num>
  <w:num w:numId="33">
    <w:abstractNumId w:val="28"/>
  </w:num>
  <w:num w:numId="34">
    <w:abstractNumId w:val="14"/>
  </w:num>
  <w:num w:numId="35">
    <w:abstractNumId w:val="11"/>
  </w:num>
  <w:num w:numId="36">
    <w:abstractNumId w:val="3"/>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132DB"/>
    <w:rsid w:val="00020AB6"/>
    <w:rsid w:val="00070CC1"/>
    <w:rsid w:val="00093507"/>
    <w:rsid w:val="00093D4F"/>
    <w:rsid w:val="00095D31"/>
    <w:rsid w:val="000B0D76"/>
    <w:rsid w:val="000E0208"/>
    <w:rsid w:val="00103BFB"/>
    <w:rsid w:val="00145D32"/>
    <w:rsid w:val="00150658"/>
    <w:rsid w:val="00164F40"/>
    <w:rsid w:val="001805AB"/>
    <w:rsid w:val="00192AB3"/>
    <w:rsid w:val="001A7C4D"/>
    <w:rsid w:val="001F631E"/>
    <w:rsid w:val="00241BE1"/>
    <w:rsid w:val="00242943"/>
    <w:rsid w:val="00251C09"/>
    <w:rsid w:val="00275A58"/>
    <w:rsid w:val="00282E36"/>
    <w:rsid w:val="002924A3"/>
    <w:rsid w:val="00303104"/>
    <w:rsid w:val="00305DBE"/>
    <w:rsid w:val="00347F45"/>
    <w:rsid w:val="00356D74"/>
    <w:rsid w:val="003943A5"/>
    <w:rsid w:val="00404615"/>
    <w:rsid w:val="00416D31"/>
    <w:rsid w:val="00436308"/>
    <w:rsid w:val="004521E6"/>
    <w:rsid w:val="00452F60"/>
    <w:rsid w:val="00497B69"/>
    <w:rsid w:val="004B5E9E"/>
    <w:rsid w:val="004C2025"/>
    <w:rsid w:val="004F2F7E"/>
    <w:rsid w:val="00561437"/>
    <w:rsid w:val="00580DDF"/>
    <w:rsid w:val="005C3E7F"/>
    <w:rsid w:val="00695575"/>
    <w:rsid w:val="00705B8C"/>
    <w:rsid w:val="00716B9F"/>
    <w:rsid w:val="00745E59"/>
    <w:rsid w:val="007562AB"/>
    <w:rsid w:val="007B248E"/>
    <w:rsid w:val="007D049D"/>
    <w:rsid w:val="008270A7"/>
    <w:rsid w:val="00830D70"/>
    <w:rsid w:val="00884432"/>
    <w:rsid w:val="008D1F44"/>
    <w:rsid w:val="008D2697"/>
    <w:rsid w:val="00902800"/>
    <w:rsid w:val="00921ECA"/>
    <w:rsid w:val="00931C17"/>
    <w:rsid w:val="00936649"/>
    <w:rsid w:val="00963EA9"/>
    <w:rsid w:val="00974B04"/>
    <w:rsid w:val="009A4827"/>
    <w:rsid w:val="009D7AD3"/>
    <w:rsid w:val="009E5B17"/>
    <w:rsid w:val="00A1145B"/>
    <w:rsid w:val="00A17835"/>
    <w:rsid w:val="00A56313"/>
    <w:rsid w:val="00A92090"/>
    <w:rsid w:val="00AA3A95"/>
    <w:rsid w:val="00AA579B"/>
    <w:rsid w:val="00AB4345"/>
    <w:rsid w:val="00AD7968"/>
    <w:rsid w:val="00AE7F40"/>
    <w:rsid w:val="00B04AEA"/>
    <w:rsid w:val="00B423E9"/>
    <w:rsid w:val="00B50817"/>
    <w:rsid w:val="00B66300"/>
    <w:rsid w:val="00BA1BD1"/>
    <w:rsid w:val="00C03877"/>
    <w:rsid w:val="00C422CE"/>
    <w:rsid w:val="00C943AA"/>
    <w:rsid w:val="00CD7BFF"/>
    <w:rsid w:val="00CF3556"/>
    <w:rsid w:val="00D54358"/>
    <w:rsid w:val="00D5788D"/>
    <w:rsid w:val="00DA34BF"/>
    <w:rsid w:val="00DF6152"/>
    <w:rsid w:val="00E04541"/>
    <w:rsid w:val="00E10D2C"/>
    <w:rsid w:val="00E50E0C"/>
    <w:rsid w:val="00E71C3D"/>
    <w:rsid w:val="00EA0D83"/>
    <w:rsid w:val="00EC02A9"/>
    <w:rsid w:val="00EC1BFD"/>
    <w:rsid w:val="00EC3772"/>
    <w:rsid w:val="00F33D68"/>
    <w:rsid w:val="00F76260"/>
    <w:rsid w:val="00FB2317"/>
    <w:rsid w:val="00FF7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numPr>
        <w:numId w:val="17"/>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numPr>
        <w:ilvl w:val="1"/>
        <w:numId w:val="17"/>
      </w:numPr>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numPr>
        <w:ilvl w:val="2"/>
        <w:numId w:val="17"/>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44EE1"/>
    <w:pPr>
      <w:keepNext/>
      <w:numPr>
        <w:ilvl w:val="3"/>
        <w:numId w:val="17"/>
      </w:numPr>
      <w:spacing w:before="240" w:after="60"/>
      <w:outlineLvl w:val="3"/>
    </w:pPr>
    <w:rPr>
      <w:rFonts w:ascii="Cambria" w:hAnsi="Cambria"/>
      <w:b/>
      <w:bCs/>
      <w:sz w:val="28"/>
      <w:szCs w:val="28"/>
    </w:rPr>
  </w:style>
  <w:style w:type="paragraph" w:styleId="Heading5">
    <w:name w:val="heading 5"/>
    <w:basedOn w:val="Normal"/>
    <w:next w:val="Normal"/>
    <w:qFormat/>
    <w:rsid w:val="00EF2821"/>
    <w:pPr>
      <w:keepNext/>
      <w:numPr>
        <w:ilvl w:val="4"/>
        <w:numId w:val="17"/>
      </w:numPr>
      <w:tabs>
        <w:tab w:val="left" w:pos="720"/>
        <w:tab w:val="left" w:pos="1296"/>
        <w:tab w:val="left" w:pos="2016"/>
        <w:tab w:val="left" w:pos="2592"/>
        <w:tab w:val="left" w:pos="4176"/>
        <w:tab w:val="left" w:pos="10710"/>
      </w:tabs>
      <w:ind w:right="180"/>
      <w:outlineLvl w:val="4"/>
    </w:pPr>
  </w:style>
  <w:style w:type="paragraph" w:styleId="Heading6">
    <w:name w:val="heading 6"/>
    <w:basedOn w:val="Normal"/>
    <w:next w:val="Normal"/>
    <w:link w:val="Heading6Char"/>
    <w:qFormat/>
    <w:rsid w:val="00444EE1"/>
    <w:pPr>
      <w:numPr>
        <w:ilvl w:val="5"/>
        <w:numId w:val="17"/>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444EE1"/>
    <w:pPr>
      <w:numPr>
        <w:ilvl w:val="6"/>
        <w:numId w:val="17"/>
      </w:numPr>
      <w:spacing w:before="240" w:after="60"/>
      <w:outlineLvl w:val="6"/>
    </w:pPr>
    <w:rPr>
      <w:rFonts w:ascii="Cambria" w:hAnsi="Cambria"/>
    </w:rPr>
  </w:style>
  <w:style w:type="paragraph" w:styleId="Heading8">
    <w:name w:val="heading 8"/>
    <w:basedOn w:val="Normal"/>
    <w:next w:val="Normal"/>
    <w:link w:val="Heading8Char"/>
    <w:qFormat/>
    <w:rsid w:val="00444EE1"/>
    <w:pPr>
      <w:numPr>
        <w:ilvl w:val="7"/>
        <w:numId w:val="17"/>
      </w:numPr>
      <w:spacing w:before="240" w:after="60"/>
      <w:outlineLvl w:val="7"/>
    </w:pPr>
    <w:rPr>
      <w:rFonts w:ascii="Cambria" w:hAnsi="Cambria"/>
      <w:i/>
      <w:iCs/>
    </w:rPr>
  </w:style>
  <w:style w:type="paragraph" w:styleId="Heading9">
    <w:name w:val="heading 9"/>
    <w:basedOn w:val="Normal"/>
    <w:next w:val="Normal"/>
    <w:qFormat/>
    <w:rsid w:val="00EF2821"/>
    <w:pPr>
      <w:numPr>
        <w:ilvl w:val="8"/>
        <w:numId w:val="17"/>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link w:val="FooterChar"/>
    <w:uiPriority w:val="99"/>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5"/>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character" w:styleId="CommentReference">
    <w:name w:val="annotation reference"/>
    <w:basedOn w:val="DefaultParagraphFont"/>
    <w:semiHidden/>
    <w:rsid w:val="003B5F73"/>
    <w:rPr>
      <w:sz w:val="16"/>
      <w:szCs w:val="16"/>
    </w:rPr>
  </w:style>
  <w:style w:type="paragraph" w:styleId="CommentSubject">
    <w:name w:val="annotation subject"/>
    <w:basedOn w:val="CommentText"/>
    <w:next w:val="CommentText"/>
    <w:semiHidden/>
    <w:rsid w:val="003B5F73"/>
    <w:rPr>
      <w:b/>
      <w:bCs/>
    </w:rPr>
  </w:style>
  <w:style w:type="paragraph" w:styleId="BalloonText">
    <w:name w:val="Balloon Text"/>
    <w:basedOn w:val="Normal"/>
    <w:semiHidden/>
    <w:rsid w:val="003B5F73"/>
    <w:rPr>
      <w:rFonts w:ascii="Tahoma" w:hAnsi="Tahoma" w:cs="Tahoma"/>
      <w:sz w:val="16"/>
      <w:szCs w:val="16"/>
    </w:rPr>
  </w:style>
  <w:style w:type="character" w:customStyle="1" w:styleId="CommentTextChar">
    <w:name w:val="Comment Text Char"/>
    <w:basedOn w:val="DefaultParagraphFont"/>
    <w:link w:val="CommentText"/>
    <w:semiHidden/>
    <w:rsid w:val="005C0694"/>
    <w:rPr>
      <w:rFonts w:ascii="Times New Roman" w:eastAsia="Times New Roman" w:hAnsi="Times New Roman"/>
    </w:rPr>
  </w:style>
  <w:style w:type="paragraph" w:customStyle="1" w:styleId="ColorfulList-Accent11">
    <w:name w:val="Colorful List - Accent 11"/>
    <w:basedOn w:val="Normal"/>
    <w:uiPriority w:val="34"/>
    <w:qFormat/>
    <w:rsid w:val="009300E9"/>
    <w:pPr>
      <w:ind w:left="720"/>
      <w:contextualSpacing/>
    </w:pPr>
  </w:style>
  <w:style w:type="character" w:customStyle="1" w:styleId="FooterChar">
    <w:name w:val="Footer Char"/>
    <w:basedOn w:val="DefaultParagraphFont"/>
    <w:link w:val="Footer"/>
    <w:uiPriority w:val="99"/>
    <w:rsid w:val="007208D5"/>
    <w:rPr>
      <w:rFonts w:ascii="Times New Roman" w:eastAsia="Times New Roman" w:hAnsi="Times New Roman"/>
      <w:sz w:val="16"/>
      <w:szCs w:val="24"/>
    </w:rPr>
  </w:style>
  <w:style w:type="character" w:customStyle="1" w:styleId="Heading4Char">
    <w:name w:val="Heading 4 Char"/>
    <w:basedOn w:val="DefaultParagraphFont"/>
    <w:link w:val="Heading4"/>
    <w:rsid w:val="00444EE1"/>
    <w:rPr>
      <w:rFonts w:ascii="Cambria" w:eastAsia="Times New Roman" w:hAnsi="Cambria" w:cs="Times New Roman"/>
      <w:b/>
      <w:bCs/>
      <w:sz w:val="28"/>
      <w:szCs w:val="28"/>
    </w:rPr>
  </w:style>
  <w:style w:type="character" w:customStyle="1" w:styleId="Heading6Char">
    <w:name w:val="Heading 6 Char"/>
    <w:basedOn w:val="DefaultParagraphFont"/>
    <w:link w:val="Heading6"/>
    <w:rsid w:val="00444EE1"/>
    <w:rPr>
      <w:rFonts w:ascii="Cambria" w:eastAsia="Times New Roman" w:hAnsi="Cambria" w:cs="Times New Roman"/>
      <w:b/>
      <w:bCs/>
      <w:sz w:val="22"/>
      <w:szCs w:val="22"/>
    </w:rPr>
  </w:style>
  <w:style w:type="character" w:customStyle="1" w:styleId="Heading7Char">
    <w:name w:val="Heading 7 Char"/>
    <w:basedOn w:val="DefaultParagraphFont"/>
    <w:link w:val="Heading7"/>
    <w:rsid w:val="00444EE1"/>
    <w:rPr>
      <w:rFonts w:ascii="Cambria" w:eastAsia="Times New Roman" w:hAnsi="Cambria" w:cs="Times New Roman"/>
      <w:sz w:val="24"/>
      <w:szCs w:val="24"/>
    </w:rPr>
  </w:style>
  <w:style w:type="character" w:customStyle="1" w:styleId="Heading8Char">
    <w:name w:val="Heading 8 Char"/>
    <w:basedOn w:val="DefaultParagraphFont"/>
    <w:link w:val="Heading8"/>
    <w:rsid w:val="00444EE1"/>
    <w:rPr>
      <w:rFonts w:ascii="Cambria" w:eastAsia="Times New Roman" w:hAnsi="Cambria" w:cs="Times New Roman"/>
      <w:i/>
      <w:iCs/>
      <w:sz w:val="24"/>
      <w:szCs w:val="24"/>
    </w:rPr>
  </w:style>
  <w:style w:type="paragraph" w:styleId="BodyTextIndent">
    <w:name w:val="Body Text Indent"/>
    <w:basedOn w:val="Normal"/>
    <w:link w:val="BodyTextIndentChar"/>
    <w:rsid w:val="00C069FD"/>
    <w:pPr>
      <w:spacing w:after="120"/>
      <w:ind w:left="360"/>
    </w:pPr>
  </w:style>
  <w:style w:type="character" w:customStyle="1" w:styleId="BodyTextIndentChar">
    <w:name w:val="Body Text Indent Char"/>
    <w:basedOn w:val="DefaultParagraphFont"/>
    <w:link w:val="BodyTextIndent"/>
    <w:rsid w:val="00C069FD"/>
    <w:rPr>
      <w:rFonts w:ascii="Times New Roman" w:eastAsia="Times New Roman" w:hAnsi="Times New Roman"/>
      <w:sz w:val="24"/>
      <w:szCs w:val="24"/>
    </w:rPr>
  </w:style>
  <w:style w:type="character" w:styleId="FootnoteReference">
    <w:name w:val="footnote reference"/>
    <w:basedOn w:val="DefaultParagraphFont"/>
    <w:rsid w:val="00416D31"/>
    <w:rPr>
      <w:vertAlign w:val="superscript"/>
    </w:rPr>
  </w:style>
  <w:style w:type="paragraph" w:styleId="ListParagraph">
    <w:name w:val="List Paragraph"/>
    <w:basedOn w:val="Normal"/>
    <w:uiPriority w:val="34"/>
    <w:qFormat/>
    <w:rsid w:val="00705B8C"/>
    <w:pPr>
      <w:ind w:left="720"/>
    </w:pPr>
  </w:style>
  <w:style w:type="table" w:styleId="TableGrid">
    <w:name w:val="Table Grid"/>
    <w:basedOn w:val="TableNormal"/>
    <w:rsid w:val="00AA57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6733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olicitations@jud.ca.gov"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yperlink" Target="mailto:solicitations@jud.c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info.ca.gov/reference/rf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ourtinfo.ca.gov/programs/cfcc/program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ndaa.org/pdf/performance_measures_jj_system_06.pdf" TargetMode="External"/><Relationship Id="rId2" Type="http://schemas.openxmlformats.org/officeDocument/2006/relationships/hyperlink" Target="http://www.ncjfcj.org/content/view/603/427/" TargetMode="External"/><Relationship Id="rId1" Type="http://schemas.openxmlformats.org/officeDocument/2006/relationships/hyperlink" Target="http://www.ncjfcj.org/content/view/411/4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13</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25575</CharactersWithSpaces>
  <SharedDoc>false</SharedDoc>
  <HLinks>
    <vt:vector size="48" baseType="variant">
      <vt:variant>
        <vt:i4>3014750</vt:i4>
      </vt:variant>
      <vt:variant>
        <vt:i4>12</vt:i4>
      </vt:variant>
      <vt:variant>
        <vt:i4>0</vt:i4>
      </vt:variant>
      <vt:variant>
        <vt:i4>5</vt:i4>
      </vt:variant>
      <vt:variant>
        <vt:lpwstr>mailto:solicitations@jud.ca.gov</vt:lpwstr>
      </vt:variant>
      <vt:variant>
        <vt:lpwstr/>
      </vt:variant>
      <vt:variant>
        <vt:i4>3014750</vt:i4>
      </vt:variant>
      <vt:variant>
        <vt:i4>9</vt:i4>
      </vt:variant>
      <vt:variant>
        <vt:i4>0</vt:i4>
      </vt:variant>
      <vt:variant>
        <vt:i4>5</vt:i4>
      </vt:variant>
      <vt:variant>
        <vt:lpwstr>mailto:solicitations@jud.ca.gov</vt:lpwstr>
      </vt:variant>
      <vt:variant>
        <vt:lpwstr/>
      </vt:variant>
      <vt:variant>
        <vt:i4>655363</vt:i4>
      </vt:variant>
      <vt:variant>
        <vt:i4>6</vt:i4>
      </vt:variant>
      <vt:variant>
        <vt:i4>0</vt:i4>
      </vt:variant>
      <vt:variant>
        <vt:i4>5</vt:i4>
      </vt:variant>
      <vt:variant>
        <vt:lpwstr>http://www.courtinfo.ca.gov/reference/rfp</vt:lpwstr>
      </vt:variant>
      <vt:variant>
        <vt:lpwstr/>
      </vt:variant>
      <vt:variant>
        <vt:i4>6946870</vt:i4>
      </vt:variant>
      <vt:variant>
        <vt:i4>3</vt:i4>
      </vt:variant>
      <vt:variant>
        <vt:i4>0</vt:i4>
      </vt:variant>
      <vt:variant>
        <vt:i4>5</vt:i4>
      </vt:variant>
      <vt:variant>
        <vt:lpwstr>http://www.courtinfo.ca.gov/programs/cfcc/programs</vt:lpwstr>
      </vt:variant>
      <vt:variant>
        <vt:lpwstr/>
      </vt:variant>
      <vt:variant>
        <vt:i4>3014750</vt:i4>
      </vt:variant>
      <vt:variant>
        <vt:i4>0</vt:i4>
      </vt:variant>
      <vt:variant>
        <vt:i4>0</vt:i4>
      </vt:variant>
      <vt:variant>
        <vt:i4>5</vt:i4>
      </vt:variant>
      <vt:variant>
        <vt:lpwstr>mailto:solicitations@jud.ca.gov</vt:lpwstr>
      </vt:variant>
      <vt:variant>
        <vt:lpwstr/>
      </vt:variant>
      <vt:variant>
        <vt:i4>524309</vt:i4>
      </vt:variant>
      <vt:variant>
        <vt:i4>6</vt:i4>
      </vt:variant>
      <vt:variant>
        <vt:i4>0</vt:i4>
      </vt:variant>
      <vt:variant>
        <vt:i4>5</vt:i4>
      </vt:variant>
      <vt:variant>
        <vt:lpwstr>http://www.ndaa.org/pdf/performance_measures_jj_system_06.pdf</vt:lpwstr>
      </vt:variant>
      <vt:variant>
        <vt:lpwstr/>
      </vt:variant>
      <vt:variant>
        <vt:i4>8192058</vt:i4>
      </vt:variant>
      <vt:variant>
        <vt:i4>3</vt:i4>
      </vt:variant>
      <vt:variant>
        <vt:i4>0</vt:i4>
      </vt:variant>
      <vt:variant>
        <vt:i4>5</vt:i4>
      </vt:variant>
      <vt:variant>
        <vt:lpwstr>http://www.ncjfcj.org/content/view/603/427/</vt:lpwstr>
      </vt:variant>
      <vt:variant>
        <vt:lpwstr/>
      </vt:variant>
      <vt:variant>
        <vt:i4>8060984</vt:i4>
      </vt:variant>
      <vt:variant>
        <vt:i4>0</vt:i4>
      </vt:variant>
      <vt:variant>
        <vt:i4>0</vt:i4>
      </vt:variant>
      <vt:variant>
        <vt:i4>5</vt:i4>
      </vt:variant>
      <vt:variant>
        <vt:lpwstr>http://www.ncjfcj.org/content/view/411/411/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2009-04-23T15:37:00Z</cp:lastPrinted>
  <dcterms:created xsi:type="dcterms:W3CDTF">2010-08-27T22:26:00Z</dcterms:created>
  <dcterms:modified xsi:type="dcterms:W3CDTF">2010-08-27T22:26:00Z</dcterms:modified>
</cp:coreProperties>
</file>