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6B15" w14:textId="77777777" w:rsidR="00295470" w:rsidRDefault="00295470" w:rsidP="002E5EEF">
      <w:pPr>
        <w:contextualSpacing/>
        <w:rPr>
          <w:spacing w:val="-1"/>
          <w:sz w:val="22"/>
          <w:szCs w:val="22"/>
        </w:rPr>
      </w:pPr>
    </w:p>
    <w:p w14:paraId="3679998C" w14:textId="77777777" w:rsidR="00295470" w:rsidRDefault="00295470" w:rsidP="002E5EEF">
      <w:pPr>
        <w:contextualSpacing/>
        <w:rPr>
          <w:spacing w:val="-1"/>
          <w:sz w:val="22"/>
          <w:szCs w:val="22"/>
        </w:rPr>
      </w:pPr>
    </w:p>
    <w:p w14:paraId="2D1B97ED" w14:textId="77777777" w:rsidR="00295470" w:rsidRDefault="00295470" w:rsidP="002E5EEF">
      <w:pPr>
        <w:contextualSpacing/>
        <w:rPr>
          <w:spacing w:val="-1"/>
          <w:sz w:val="22"/>
          <w:szCs w:val="22"/>
        </w:rPr>
      </w:pPr>
    </w:p>
    <w:p w14:paraId="36ECA766" w14:textId="72046174" w:rsidR="00E7501C" w:rsidRPr="00A71EA7" w:rsidRDefault="00A32636" w:rsidP="002E5EEF">
      <w:pPr>
        <w:contextualSpacing/>
      </w:pPr>
      <w:r>
        <w:rPr>
          <w:spacing w:val="-1"/>
          <w:sz w:val="22"/>
          <w:szCs w:val="22"/>
        </w:rPr>
        <w:tab/>
      </w:r>
    </w:p>
    <w:p w14:paraId="2FDEC61A" w14:textId="77777777" w:rsidR="00E7501C" w:rsidRPr="00A71EA7" w:rsidRDefault="00E7501C" w:rsidP="002E5EEF">
      <w:pPr>
        <w:contextualSpacing/>
      </w:pPr>
    </w:p>
    <w:p w14:paraId="1062A951" w14:textId="77777777" w:rsidR="00E7501C" w:rsidRPr="00A71EA7" w:rsidRDefault="00E7501C" w:rsidP="002E5EEF">
      <w:pPr>
        <w:contextualSpacing/>
      </w:pPr>
    </w:p>
    <w:p w14:paraId="3406420C" w14:textId="77777777" w:rsidR="00E7501C" w:rsidRPr="00A71EA7" w:rsidRDefault="00E7501C" w:rsidP="002E5EEF">
      <w:pPr>
        <w:contextualSpacing/>
      </w:pPr>
    </w:p>
    <w:p w14:paraId="6F2093FC" w14:textId="77777777" w:rsidR="00E7501C" w:rsidRPr="00A71EA7" w:rsidRDefault="00E7501C" w:rsidP="002E5EEF">
      <w:pPr>
        <w:contextualSpacing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20"/>
      </w:tblGrid>
      <w:tr w:rsidR="00E7501C" w:rsidRPr="00A71EA7" w14:paraId="5190D782" w14:textId="77777777" w:rsidTr="004E7DB6">
        <w:trPr>
          <w:cantSplit/>
          <w:trHeight w:val="3917"/>
          <w:jc w:val="center"/>
        </w:trPr>
        <w:tc>
          <w:tcPr>
            <w:tcW w:w="6620" w:type="dxa"/>
            <w:shd w:val="pct15" w:color="000000" w:fill="FFFFFF"/>
            <w:vAlign w:val="center"/>
          </w:tcPr>
          <w:p w14:paraId="7EF280F8" w14:textId="02D30E44" w:rsidR="007B7839" w:rsidRPr="00F06339" w:rsidRDefault="00E7501C" w:rsidP="002E5EEF">
            <w:pPr>
              <w:pStyle w:val="CoverTitle-center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 xml:space="preserve">Exhibit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AEF8FCF" w14:textId="3BAFB926" w:rsidR="00E7501C" w:rsidRPr="00A71EA7" w:rsidRDefault="00E7501C" w:rsidP="002E5EEF">
            <w:pPr>
              <w:pStyle w:val="CoverName-center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  <w:p w14:paraId="536D036A" w14:textId="77777777" w:rsidR="00E7501C" w:rsidRPr="00A71EA7" w:rsidRDefault="00E7501C" w:rsidP="002E5EEF">
            <w:pPr>
              <w:pStyle w:val="CoverDetail"/>
              <w:spacing w:after="0"/>
              <w:contextualSpacing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mallCaps/>
                <w:sz w:val="24"/>
                <w:szCs w:val="24"/>
              </w:rPr>
              <w:t>For</w:t>
            </w:r>
          </w:p>
          <w:p w14:paraId="1828E63B" w14:textId="77777777" w:rsidR="00E7501C" w:rsidRPr="00A71EA7" w:rsidRDefault="00E7501C" w:rsidP="002E5EEF">
            <w:pPr>
              <w:contextualSpacing/>
              <w:rPr>
                <w:sz w:val="24"/>
                <w:szCs w:val="24"/>
              </w:rPr>
            </w:pPr>
          </w:p>
          <w:p w14:paraId="74152E69" w14:textId="77777777" w:rsidR="00E7501C" w:rsidRDefault="00E7501C" w:rsidP="002E5EEF">
            <w:pPr>
              <w:pStyle w:val="CoverClient-center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1EA7">
              <w:rPr>
                <w:rFonts w:ascii="Times New Roman" w:hAnsi="Times New Roman" w:cs="Times New Roman"/>
                <w:sz w:val="24"/>
                <w:szCs w:val="24"/>
              </w:rPr>
              <w:t>Judicial Council of California</w:t>
            </w:r>
          </w:p>
          <w:p w14:paraId="6BA26F33" w14:textId="77777777" w:rsidR="00E7501C" w:rsidRPr="00657B58" w:rsidRDefault="00E7501C" w:rsidP="002E5EEF">
            <w:pPr>
              <w:pStyle w:val="CoverClient-center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(Judicial Council)</w:t>
            </w:r>
          </w:p>
        </w:tc>
      </w:tr>
    </w:tbl>
    <w:p w14:paraId="7D14C4E1" w14:textId="77777777" w:rsidR="00E7501C" w:rsidRDefault="00E7501C" w:rsidP="002E5EEF">
      <w:pPr>
        <w:adjustRightInd/>
        <w:spacing w:line="276" w:lineRule="auto"/>
        <w:contextualSpacing/>
      </w:pPr>
    </w:p>
    <w:p w14:paraId="1AEE7C93" w14:textId="77777777" w:rsidR="00E7501C" w:rsidRDefault="00E7501C" w:rsidP="002E5EEF">
      <w:pPr>
        <w:adjustRightInd/>
        <w:spacing w:line="276" w:lineRule="auto"/>
        <w:contextualSpacing/>
      </w:pPr>
    </w:p>
    <w:p w14:paraId="25D06A7D" w14:textId="77777777" w:rsidR="00E7501C" w:rsidRDefault="00E7501C" w:rsidP="002E5EEF">
      <w:pPr>
        <w:adjustRightInd/>
        <w:spacing w:line="276" w:lineRule="auto"/>
        <w:contextualSpacing/>
      </w:pPr>
    </w:p>
    <w:p w14:paraId="5A20EBB1" w14:textId="77777777" w:rsidR="00E7501C" w:rsidRDefault="00E7501C" w:rsidP="002E5EEF">
      <w:pPr>
        <w:adjustRightInd/>
        <w:spacing w:line="276" w:lineRule="auto"/>
        <w:contextualSpacing/>
      </w:pPr>
    </w:p>
    <w:p w14:paraId="411BD75A" w14:textId="77777777" w:rsidR="00E7501C" w:rsidRDefault="00E7501C" w:rsidP="002E5EEF">
      <w:pPr>
        <w:adjustRightInd/>
        <w:spacing w:line="276" w:lineRule="auto"/>
        <w:contextualSpacing/>
      </w:pPr>
    </w:p>
    <w:p w14:paraId="23A8AC6C" w14:textId="77777777" w:rsidR="00E7501C" w:rsidRDefault="00E7501C" w:rsidP="002E5EEF">
      <w:pPr>
        <w:adjustRightInd/>
        <w:spacing w:line="276" w:lineRule="auto"/>
        <w:contextualSpacing/>
      </w:pPr>
    </w:p>
    <w:p w14:paraId="3BB94D82" w14:textId="77777777" w:rsidR="00E7501C" w:rsidRDefault="00E7501C" w:rsidP="002E5EEF">
      <w:pPr>
        <w:adjustRightInd/>
        <w:spacing w:line="276" w:lineRule="auto"/>
        <w:contextualSpacing/>
      </w:pPr>
    </w:p>
    <w:p w14:paraId="7B2A2170" w14:textId="77777777" w:rsidR="00E7501C" w:rsidRDefault="00E7501C" w:rsidP="002E5EEF">
      <w:pPr>
        <w:adjustRightInd/>
        <w:spacing w:line="276" w:lineRule="auto"/>
        <w:contextualSpacing/>
      </w:pPr>
    </w:p>
    <w:p w14:paraId="19F7BC4A" w14:textId="77777777" w:rsidR="00E7501C" w:rsidRDefault="00E7501C" w:rsidP="002E5EEF">
      <w:pPr>
        <w:adjustRightInd/>
        <w:spacing w:line="276" w:lineRule="auto"/>
        <w:contextualSpacing/>
      </w:pPr>
    </w:p>
    <w:p w14:paraId="1A3D53FA" w14:textId="77777777" w:rsidR="00E7501C" w:rsidRDefault="00E7501C" w:rsidP="002E5EEF">
      <w:pPr>
        <w:adjustRightInd/>
        <w:spacing w:line="276" w:lineRule="auto"/>
        <w:contextualSpacing/>
      </w:pPr>
    </w:p>
    <w:p w14:paraId="68622CCA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25573AF5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511A1577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1D0535E5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2443A930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6D483816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3F34C7DD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5E20D219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3884DEAC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4E840B0A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676B0AB9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2F66AF62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22388D5F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47FA80CB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5AD1D6F5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3A5C1101" w14:textId="77777777" w:rsidR="002E5EEF" w:rsidRDefault="002E5EEF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7B8A7950" w14:textId="77777777" w:rsidR="00CF160A" w:rsidRDefault="00CF160A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2BA7225D" w14:textId="77777777" w:rsidR="00CF160A" w:rsidRDefault="00CF160A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74D5F0A2" w14:textId="77777777" w:rsidR="00CF160A" w:rsidRDefault="00CF160A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1EBB4CED" w14:textId="77777777" w:rsidR="00CF160A" w:rsidRDefault="00CF160A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</w:p>
    <w:p w14:paraId="679C5628" w14:textId="09D07F96" w:rsidR="00397098" w:rsidRDefault="00397098" w:rsidP="002E5EEF">
      <w:pPr>
        <w:adjustRightInd/>
        <w:spacing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1.0 Introduction</w:t>
      </w:r>
    </w:p>
    <w:p w14:paraId="73A22DF8" w14:textId="474AF17B" w:rsidR="00397098" w:rsidRDefault="00397098" w:rsidP="002E5EEF">
      <w:pPr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Pr="0052600A">
        <w:rPr>
          <w:sz w:val="24"/>
          <w:szCs w:val="24"/>
          <w:u w:val="single"/>
        </w:rPr>
        <w:t>Exhibit</w:t>
      </w:r>
      <w:r w:rsidR="00ED6C44" w:rsidRPr="0052600A">
        <w:rPr>
          <w:sz w:val="24"/>
          <w:szCs w:val="24"/>
          <w:u w:val="single"/>
        </w:rPr>
        <w:t xml:space="preserve"> </w:t>
      </w:r>
      <w:r w:rsidR="004941F1" w:rsidRPr="0052600A">
        <w:rPr>
          <w:sz w:val="24"/>
          <w:szCs w:val="24"/>
          <w:u w:val="single"/>
        </w:rPr>
        <w:t>E</w:t>
      </w:r>
      <w:r w:rsidR="004941F1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provides the basis for determining the Fees applicable to the Services under the </w:t>
      </w:r>
      <w:r w:rsidR="00CB64B0">
        <w:rPr>
          <w:spacing w:val="8"/>
          <w:sz w:val="24"/>
          <w:szCs w:val="24"/>
        </w:rPr>
        <w:t>Agreement and</w:t>
      </w:r>
      <w:r>
        <w:rPr>
          <w:spacing w:val="8"/>
          <w:sz w:val="24"/>
          <w:szCs w:val="24"/>
        </w:rPr>
        <w:t xml:space="preserve"> describes the processes and methodologies as to how the Fees shall be </w:t>
      </w:r>
      <w:r>
        <w:rPr>
          <w:sz w:val="24"/>
          <w:szCs w:val="24"/>
        </w:rPr>
        <w:t>calculated.</w:t>
      </w:r>
    </w:p>
    <w:p w14:paraId="3FDBE17F" w14:textId="77777777" w:rsidR="00CF160A" w:rsidRDefault="00CF160A" w:rsidP="002E5EEF">
      <w:pPr>
        <w:adjustRightInd/>
        <w:contextualSpacing/>
        <w:jc w:val="both"/>
        <w:rPr>
          <w:sz w:val="24"/>
          <w:szCs w:val="24"/>
        </w:rPr>
      </w:pPr>
    </w:p>
    <w:p w14:paraId="2FCA8372" w14:textId="77777777" w:rsidR="00397098" w:rsidRDefault="00397098" w:rsidP="002E5EEF">
      <w:pPr>
        <w:adjustRightInd/>
        <w:spacing w:line="305" w:lineRule="auto"/>
        <w:contextualSpacing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2.0 Resource Units, Baseline and Measurement</w:t>
      </w:r>
    </w:p>
    <w:p w14:paraId="07218C1A" w14:textId="77777777" w:rsidR="00397098" w:rsidRDefault="00397098" w:rsidP="002E5EEF">
      <w:pPr>
        <w:adjustRightInd/>
        <w:spacing w:line="276" w:lineRule="auto"/>
        <w:ind w:left="720"/>
        <w:contextualSpacing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2.1 Resource Units</w:t>
      </w:r>
      <w:r w:rsidR="00F84C63">
        <w:rPr>
          <w:b/>
          <w:bCs/>
          <w:spacing w:val="8"/>
          <w:sz w:val="24"/>
          <w:szCs w:val="24"/>
        </w:rPr>
        <w:t>`</w:t>
      </w:r>
    </w:p>
    <w:p w14:paraId="2D087333" w14:textId="266C56D3" w:rsidR="00397098" w:rsidRDefault="00397098" w:rsidP="002E5EEF">
      <w:pPr>
        <w:adjustRightInd/>
        <w:ind w:left="72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Resource Unit(s) </w:t>
      </w:r>
      <w:r>
        <w:rPr>
          <w:sz w:val="24"/>
          <w:szCs w:val="24"/>
          <w:u w:val="single"/>
        </w:rPr>
        <w:t>(“RU(s)”)</w:t>
      </w:r>
      <w:r>
        <w:rPr>
          <w:sz w:val="24"/>
          <w:szCs w:val="24"/>
        </w:rPr>
        <w:t xml:space="preserve"> for each Service Area are the components of the Service Area to be priced as contained in </w:t>
      </w:r>
      <w:r w:rsidRPr="0052600A">
        <w:rPr>
          <w:sz w:val="24"/>
          <w:szCs w:val="24"/>
          <w:u w:val="single"/>
        </w:rPr>
        <w:t>Appendix E.1.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 RU is a unit of resource (</w:t>
      </w:r>
      <w:r w:rsidR="0052600A">
        <w:rPr>
          <w:sz w:val="24"/>
          <w:szCs w:val="24"/>
        </w:rPr>
        <w:t>e.g., virtual</w:t>
      </w:r>
      <w:r w:rsidR="0043561E">
        <w:rPr>
          <w:sz w:val="24"/>
          <w:szCs w:val="24"/>
        </w:rPr>
        <w:t xml:space="preserve"> Machines for Data Center Services</w:t>
      </w:r>
      <w:r>
        <w:rPr>
          <w:sz w:val="24"/>
          <w:szCs w:val="24"/>
        </w:rPr>
        <w:t xml:space="preserve">) for which the </w:t>
      </w:r>
      <w:r w:rsidR="008F7B0A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 and the Vendor have established a monthly </w:t>
      </w:r>
      <w:r w:rsidR="0043561E">
        <w:rPr>
          <w:sz w:val="24"/>
          <w:szCs w:val="24"/>
        </w:rPr>
        <w:t>b</w:t>
      </w:r>
      <w:r>
        <w:rPr>
          <w:sz w:val="24"/>
          <w:szCs w:val="24"/>
        </w:rPr>
        <w:t xml:space="preserve">aseline </w:t>
      </w:r>
      <w:r w:rsidR="0043561E">
        <w:rPr>
          <w:spacing w:val="-4"/>
          <w:sz w:val="24"/>
          <w:szCs w:val="24"/>
        </w:rPr>
        <w:t>q</w:t>
      </w:r>
      <w:r>
        <w:rPr>
          <w:spacing w:val="-4"/>
          <w:sz w:val="24"/>
          <w:szCs w:val="24"/>
        </w:rPr>
        <w:t>uantity, monthly RU Unit Price</w:t>
      </w:r>
      <w:r w:rsidR="0052600A">
        <w:rPr>
          <w:spacing w:val="-4"/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and a monthly </w:t>
      </w:r>
      <w:r w:rsidR="0043561E">
        <w:rPr>
          <w:spacing w:val="-4"/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aseline </w:t>
      </w:r>
      <w:r w:rsidR="0043561E">
        <w:rPr>
          <w:spacing w:val="-4"/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ee. Each monthly RU </w:t>
      </w:r>
      <w:r w:rsidR="0043561E">
        <w:rPr>
          <w:spacing w:val="-4"/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aseline </w:t>
      </w:r>
      <w:r w:rsidR="0043561E">
        <w:rPr>
          <w:spacing w:val="-4"/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ee is </w:t>
      </w:r>
      <w:r>
        <w:rPr>
          <w:spacing w:val="1"/>
          <w:sz w:val="24"/>
          <w:szCs w:val="24"/>
        </w:rPr>
        <w:t xml:space="preserve">calculated by multiplying each RU </w:t>
      </w:r>
      <w:r w:rsidR="0043561E">
        <w:rPr>
          <w:spacing w:val="1"/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aseline </w:t>
      </w:r>
      <w:r w:rsidR="0043561E">
        <w:rPr>
          <w:spacing w:val="1"/>
          <w:sz w:val="24"/>
          <w:szCs w:val="24"/>
        </w:rPr>
        <w:t>q</w:t>
      </w:r>
      <w:r>
        <w:rPr>
          <w:spacing w:val="1"/>
          <w:sz w:val="24"/>
          <w:szCs w:val="24"/>
        </w:rPr>
        <w:t xml:space="preserve">uantity by its monthly RU Unit Price. The fixed </w:t>
      </w:r>
      <w:r>
        <w:rPr>
          <w:spacing w:val="4"/>
          <w:sz w:val="24"/>
          <w:szCs w:val="24"/>
        </w:rPr>
        <w:t>RU Unit Prices are defined as all direct variable and fixed cost components of the Vendor’s charges, including all associated start-up costs associated with that RU (i.e., installation and setup associated with the Resource Unit</w:t>
      </w:r>
      <w:proofErr w:type="gramStart"/>
      <w:r>
        <w:rPr>
          <w:spacing w:val="4"/>
          <w:sz w:val="24"/>
          <w:szCs w:val="24"/>
        </w:rPr>
        <w:t>)</w:t>
      </w:r>
      <w:proofErr w:type="gramEnd"/>
      <w:r>
        <w:rPr>
          <w:spacing w:val="4"/>
          <w:sz w:val="24"/>
          <w:szCs w:val="24"/>
        </w:rPr>
        <w:t xml:space="preserve"> and costs associated with the Services defined in</w:t>
      </w:r>
      <w:r w:rsidR="00702F2D">
        <w:rPr>
          <w:spacing w:val="4"/>
          <w:sz w:val="24"/>
          <w:szCs w:val="24"/>
        </w:rPr>
        <w:t xml:space="preserve"> </w:t>
      </w:r>
      <w:r w:rsidR="00702F2D" w:rsidRPr="0052600A">
        <w:rPr>
          <w:b/>
          <w:bCs/>
          <w:i/>
          <w:iCs/>
          <w:spacing w:val="4"/>
          <w:sz w:val="24"/>
          <w:szCs w:val="24"/>
        </w:rPr>
        <w:t>[Statement of Work – to be determined]</w:t>
      </w:r>
      <w:r w:rsidR="0052600A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The monthly Baseline Fee for each </w:t>
      </w:r>
      <w:r>
        <w:rPr>
          <w:sz w:val="24"/>
          <w:szCs w:val="24"/>
        </w:rPr>
        <w:t xml:space="preserve">RU is contained in this </w:t>
      </w:r>
      <w:r w:rsidRPr="0052600A">
        <w:rPr>
          <w:sz w:val="24"/>
          <w:szCs w:val="24"/>
          <w:u w:val="single"/>
        </w:rPr>
        <w:t xml:space="preserve">Exhibit E </w:t>
      </w:r>
      <w:r w:rsidRPr="0052600A">
        <w:rPr>
          <w:sz w:val="24"/>
          <w:szCs w:val="24"/>
        </w:rPr>
        <w:t xml:space="preserve">as </w:t>
      </w:r>
      <w:r w:rsidRPr="0052600A">
        <w:rPr>
          <w:sz w:val="24"/>
          <w:szCs w:val="24"/>
          <w:u w:val="single"/>
        </w:rPr>
        <w:t>Appendix E. 1.</w:t>
      </w:r>
      <w:r w:rsidR="00556753">
        <w:rPr>
          <w:sz w:val="24"/>
          <w:szCs w:val="24"/>
          <w:u w:val="single"/>
        </w:rPr>
        <w:t xml:space="preserve"> </w:t>
      </w:r>
    </w:p>
    <w:p w14:paraId="38383662" w14:textId="77777777" w:rsidR="00CC04A5" w:rsidRPr="00B750DA" w:rsidRDefault="00CC04A5" w:rsidP="002E5EEF">
      <w:pPr>
        <w:ind w:left="1440"/>
        <w:contextualSpacing/>
        <w:jc w:val="both"/>
        <w:rPr>
          <w:spacing w:val="1"/>
          <w:sz w:val="24"/>
          <w:szCs w:val="24"/>
        </w:rPr>
      </w:pPr>
    </w:p>
    <w:p w14:paraId="5F8B12AF" w14:textId="77777777" w:rsidR="00397098" w:rsidRPr="00A41436" w:rsidRDefault="00397098" w:rsidP="002E5EEF">
      <w:pPr>
        <w:adjustRightInd/>
        <w:spacing w:line="276" w:lineRule="auto"/>
        <w:ind w:left="1440"/>
        <w:contextualSpacing/>
        <w:rPr>
          <w:b/>
          <w:bCs/>
          <w:i/>
          <w:iCs/>
          <w:spacing w:val="8"/>
          <w:sz w:val="24"/>
          <w:szCs w:val="24"/>
        </w:rPr>
      </w:pPr>
      <w:r w:rsidRPr="00A41436">
        <w:rPr>
          <w:b/>
          <w:bCs/>
          <w:i/>
          <w:iCs/>
          <w:spacing w:val="8"/>
          <w:sz w:val="24"/>
          <w:szCs w:val="24"/>
        </w:rPr>
        <w:t>2.1.1 RUs Measurement</w:t>
      </w:r>
    </w:p>
    <w:p w14:paraId="7558AF8B" w14:textId="66C1346F" w:rsidR="00397098" w:rsidRDefault="00397098" w:rsidP="002E5EEF">
      <w:pPr>
        <w:tabs>
          <w:tab w:val="left" w:pos="4500"/>
        </w:tabs>
        <w:adjustRightInd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Vendor will measure, track, retain measurement data in a repository, validate and report on </w:t>
      </w:r>
      <w:r>
        <w:rPr>
          <w:spacing w:val="-1"/>
          <w:sz w:val="24"/>
          <w:szCs w:val="24"/>
        </w:rPr>
        <w:t xml:space="preserve">the </w:t>
      </w:r>
      <w:r w:rsidR="00771241">
        <w:rPr>
          <w:spacing w:val="-1"/>
          <w:sz w:val="24"/>
          <w:szCs w:val="24"/>
        </w:rPr>
        <w:t>Judicial Council</w:t>
      </w:r>
      <w:r>
        <w:rPr>
          <w:spacing w:val="-1"/>
          <w:sz w:val="24"/>
          <w:szCs w:val="24"/>
        </w:rPr>
        <w:t xml:space="preserve">’s usage of RUs for each RU defined in </w:t>
      </w:r>
      <w:r w:rsidR="004941F1">
        <w:rPr>
          <w:spacing w:val="-1"/>
          <w:sz w:val="24"/>
          <w:szCs w:val="24"/>
        </w:rPr>
        <w:t>this Exhibit E as Appendix E.1.</w:t>
      </w:r>
      <w:r w:rsidR="002D7389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4"/>
          <w:sz w:val="24"/>
          <w:szCs w:val="24"/>
        </w:rPr>
        <w:t xml:space="preserve">Resource Measurements require the </w:t>
      </w:r>
      <w:r w:rsidR="00771241">
        <w:rPr>
          <w:spacing w:val="-4"/>
          <w:sz w:val="24"/>
          <w:szCs w:val="24"/>
        </w:rPr>
        <w:t>Judicial Council</w:t>
      </w:r>
      <w:r>
        <w:rPr>
          <w:spacing w:val="-4"/>
          <w:sz w:val="24"/>
          <w:szCs w:val="24"/>
        </w:rPr>
        <w:t xml:space="preserve">’s prior express written approval and may be </w:t>
      </w:r>
      <w:r>
        <w:rPr>
          <w:spacing w:val="1"/>
          <w:sz w:val="24"/>
          <w:szCs w:val="24"/>
        </w:rPr>
        <w:t xml:space="preserve">updated from time to time, subject to the </w:t>
      </w:r>
      <w:r w:rsidR="00771241">
        <w:rPr>
          <w:spacing w:val="1"/>
          <w:sz w:val="24"/>
          <w:szCs w:val="24"/>
        </w:rPr>
        <w:t>Judicial Council</w:t>
      </w:r>
      <w:r>
        <w:rPr>
          <w:spacing w:val="1"/>
          <w:sz w:val="24"/>
          <w:szCs w:val="24"/>
        </w:rPr>
        <w:t xml:space="preserve">’s prior written approval. The Vendor </w:t>
      </w:r>
      <w:r>
        <w:rPr>
          <w:spacing w:val="4"/>
          <w:sz w:val="24"/>
          <w:szCs w:val="24"/>
        </w:rPr>
        <w:t xml:space="preserve">will not alter its measurement process, procedures, data measurement, data collection or </w:t>
      </w:r>
      <w:r>
        <w:rPr>
          <w:spacing w:val="-4"/>
          <w:sz w:val="24"/>
          <w:szCs w:val="24"/>
        </w:rPr>
        <w:t xml:space="preserve">reporting in connection with Resource Measurements without the </w:t>
      </w:r>
      <w:r w:rsidR="00771241">
        <w:rPr>
          <w:spacing w:val="-4"/>
          <w:sz w:val="24"/>
          <w:szCs w:val="24"/>
        </w:rPr>
        <w:t>Judicial Council</w:t>
      </w:r>
      <w:r>
        <w:rPr>
          <w:spacing w:val="-4"/>
          <w:sz w:val="24"/>
          <w:szCs w:val="24"/>
        </w:rPr>
        <w:t xml:space="preserve">’s prior written </w:t>
      </w:r>
      <w:r>
        <w:rPr>
          <w:spacing w:val="1"/>
          <w:sz w:val="24"/>
          <w:szCs w:val="24"/>
        </w:rPr>
        <w:t xml:space="preserve">approval. </w:t>
      </w:r>
      <w:r>
        <w:rPr>
          <w:sz w:val="24"/>
          <w:szCs w:val="24"/>
        </w:rPr>
        <w:t xml:space="preserve">The Vendor shall provide the </w:t>
      </w:r>
      <w:r w:rsidR="0099585C">
        <w:rPr>
          <w:spacing w:val="-1"/>
          <w:sz w:val="24"/>
          <w:szCs w:val="24"/>
        </w:rPr>
        <w:t>Judicial Council</w:t>
      </w:r>
      <w:r>
        <w:rPr>
          <w:spacing w:val="-1"/>
          <w:sz w:val="24"/>
          <w:szCs w:val="24"/>
        </w:rPr>
        <w:t xml:space="preserve"> with ongoing reporting of actual RU usage for each RU for each month after the</w:t>
      </w:r>
      <w:r w:rsidR="00604967">
        <w:rPr>
          <w:spacing w:val="-1"/>
          <w:sz w:val="24"/>
          <w:szCs w:val="24"/>
        </w:rPr>
        <w:t xml:space="preserve"> </w:t>
      </w:r>
      <w:r w:rsidR="00CD6755">
        <w:rPr>
          <w:spacing w:val="-1"/>
          <w:sz w:val="24"/>
          <w:szCs w:val="24"/>
        </w:rPr>
        <w:t>E</w:t>
      </w:r>
      <w:r w:rsidR="005B0D70">
        <w:rPr>
          <w:spacing w:val="-1"/>
          <w:sz w:val="24"/>
          <w:szCs w:val="24"/>
        </w:rPr>
        <w:t>ffective Date of the Agreement</w:t>
      </w:r>
      <w:r>
        <w:rPr>
          <w:spacing w:val="-1"/>
          <w:sz w:val="24"/>
          <w:szCs w:val="24"/>
        </w:rPr>
        <w:t xml:space="preserve">. The RU usage amount shall be based on an </w:t>
      </w:r>
      <w:r>
        <w:rPr>
          <w:sz w:val="24"/>
          <w:szCs w:val="24"/>
        </w:rPr>
        <w:t xml:space="preserve">RU quantity measurement taken on the </w:t>
      </w:r>
      <w:r w:rsidR="006B37C3">
        <w:rPr>
          <w:sz w:val="24"/>
          <w:szCs w:val="24"/>
        </w:rPr>
        <w:t xml:space="preserve">last Friday </w:t>
      </w:r>
      <w:r>
        <w:rPr>
          <w:sz w:val="24"/>
          <w:szCs w:val="24"/>
        </w:rPr>
        <w:t>of each calendar month.</w:t>
      </w:r>
    </w:p>
    <w:p w14:paraId="35F23899" w14:textId="77777777" w:rsidR="00563501" w:rsidRDefault="00563501" w:rsidP="002E5EEF">
      <w:pPr>
        <w:adjustRightInd/>
        <w:spacing w:line="300" w:lineRule="auto"/>
        <w:ind w:left="1440"/>
        <w:contextualSpacing/>
        <w:rPr>
          <w:b/>
          <w:bCs/>
          <w:spacing w:val="4"/>
          <w:sz w:val="24"/>
          <w:szCs w:val="24"/>
        </w:rPr>
      </w:pPr>
    </w:p>
    <w:p w14:paraId="6CB6C77E" w14:textId="1329641C" w:rsidR="00397098" w:rsidRPr="00A41436" w:rsidRDefault="00397098" w:rsidP="002E5EEF">
      <w:pPr>
        <w:adjustRightInd/>
        <w:spacing w:line="300" w:lineRule="auto"/>
        <w:ind w:left="1440"/>
        <w:contextualSpacing/>
        <w:rPr>
          <w:b/>
          <w:bCs/>
          <w:i/>
          <w:iCs/>
          <w:spacing w:val="4"/>
          <w:sz w:val="24"/>
          <w:szCs w:val="24"/>
        </w:rPr>
      </w:pPr>
      <w:r w:rsidRPr="00A41436">
        <w:rPr>
          <w:b/>
          <w:bCs/>
          <w:i/>
          <w:iCs/>
          <w:spacing w:val="4"/>
          <w:sz w:val="24"/>
          <w:szCs w:val="24"/>
        </w:rPr>
        <w:t>2.1.</w:t>
      </w:r>
      <w:r w:rsidR="001C1D31" w:rsidRPr="00A41436">
        <w:rPr>
          <w:b/>
          <w:bCs/>
          <w:i/>
          <w:iCs/>
          <w:spacing w:val="4"/>
          <w:sz w:val="24"/>
          <w:szCs w:val="24"/>
        </w:rPr>
        <w:t>2</w:t>
      </w:r>
      <w:r w:rsidRPr="00A41436">
        <w:rPr>
          <w:b/>
          <w:bCs/>
          <w:i/>
          <w:iCs/>
          <w:spacing w:val="4"/>
          <w:sz w:val="24"/>
          <w:szCs w:val="24"/>
        </w:rPr>
        <w:t xml:space="preserve"> Baseline Quantity Adjustments</w:t>
      </w:r>
    </w:p>
    <w:p w14:paraId="3B102CFA" w14:textId="6AAE3691" w:rsidR="00397098" w:rsidRDefault="00397098" w:rsidP="002E5EEF">
      <w:pPr>
        <w:adjustRightInd/>
        <w:spacing w:line="314" w:lineRule="auto"/>
        <w:ind w:left="720" w:firstLine="720"/>
        <w:contextualSpacing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Inventory Adjustment</w:t>
      </w:r>
    </w:p>
    <w:p w14:paraId="181B1211" w14:textId="3AF30C1D" w:rsidR="007B49F2" w:rsidRDefault="000D63D9" w:rsidP="002E5EEF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Within the last two months of</w:t>
      </w:r>
      <w:r w:rsidR="00F25004">
        <w:rPr>
          <w:spacing w:val="1"/>
          <w:sz w:val="24"/>
          <w:szCs w:val="24"/>
        </w:rPr>
        <w:t xml:space="preserve"> each</w:t>
      </w:r>
      <w:r>
        <w:rPr>
          <w:spacing w:val="1"/>
          <w:sz w:val="24"/>
          <w:szCs w:val="24"/>
        </w:rPr>
        <w:t xml:space="preserve"> </w:t>
      </w:r>
      <w:r w:rsidR="00297E60">
        <w:rPr>
          <w:spacing w:val="1"/>
          <w:sz w:val="24"/>
          <w:szCs w:val="24"/>
        </w:rPr>
        <w:t>Contract Year,</w:t>
      </w:r>
      <w:r w:rsidR="00397098">
        <w:rPr>
          <w:spacing w:val="1"/>
          <w:sz w:val="24"/>
          <w:szCs w:val="24"/>
        </w:rPr>
        <w:t xml:space="preserve"> the Vendor will conduct a</w:t>
      </w:r>
      <w:r w:rsidR="00C33125">
        <w:rPr>
          <w:spacing w:val="1"/>
          <w:sz w:val="24"/>
          <w:szCs w:val="24"/>
        </w:rPr>
        <w:t>n</w:t>
      </w:r>
      <w:r w:rsidR="00397098">
        <w:rPr>
          <w:spacing w:val="1"/>
          <w:sz w:val="24"/>
          <w:szCs w:val="24"/>
        </w:rPr>
        <w:t xml:space="preserve"> </w:t>
      </w:r>
      <w:r w:rsidR="00F25004">
        <w:rPr>
          <w:sz w:val="24"/>
          <w:szCs w:val="24"/>
        </w:rPr>
        <w:t>inventory</w:t>
      </w:r>
      <w:r w:rsidR="00397098">
        <w:rPr>
          <w:sz w:val="24"/>
          <w:szCs w:val="24"/>
        </w:rPr>
        <w:t xml:space="preserve"> of all managed </w:t>
      </w:r>
      <w:r w:rsidR="0089489C">
        <w:rPr>
          <w:sz w:val="24"/>
          <w:szCs w:val="24"/>
        </w:rPr>
        <w:t>A</w:t>
      </w:r>
      <w:r w:rsidR="00397098">
        <w:rPr>
          <w:sz w:val="24"/>
          <w:szCs w:val="24"/>
        </w:rPr>
        <w:t xml:space="preserve">ssets, including the RUs with </w:t>
      </w:r>
      <w:r w:rsidR="00C33125">
        <w:rPr>
          <w:sz w:val="24"/>
          <w:szCs w:val="24"/>
        </w:rPr>
        <w:t>b</w:t>
      </w:r>
      <w:r w:rsidR="00397098">
        <w:rPr>
          <w:sz w:val="24"/>
          <w:szCs w:val="24"/>
        </w:rPr>
        <w:t xml:space="preserve">aseline </w:t>
      </w:r>
      <w:r w:rsidR="00C33125">
        <w:rPr>
          <w:sz w:val="24"/>
          <w:szCs w:val="24"/>
        </w:rPr>
        <w:t>q</w:t>
      </w:r>
      <w:r w:rsidR="00397098">
        <w:rPr>
          <w:sz w:val="24"/>
          <w:szCs w:val="24"/>
        </w:rPr>
        <w:t xml:space="preserve">uantities. This </w:t>
      </w:r>
      <w:r w:rsidR="00397098">
        <w:rPr>
          <w:spacing w:val="4"/>
          <w:sz w:val="24"/>
          <w:szCs w:val="24"/>
        </w:rPr>
        <w:t xml:space="preserve">inventory will be a confirmation by both Parties of the actual existence of a </w:t>
      </w:r>
      <w:r w:rsidR="00397098">
        <w:rPr>
          <w:spacing w:val="-1"/>
          <w:sz w:val="24"/>
          <w:szCs w:val="24"/>
        </w:rPr>
        <w:t xml:space="preserve">managed asset, a profile of its attributes, and the confirmation that it is designated </w:t>
      </w:r>
      <w:r w:rsidR="00397098">
        <w:rPr>
          <w:sz w:val="24"/>
          <w:szCs w:val="24"/>
        </w:rPr>
        <w:t xml:space="preserve">as a managed asset as part of the Services. Baseline </w:t>
      </w:r>
      <w:r w:rsidR="00C33125">
        <w:rPr>
          <w:sz w:val="24"/>
          <w:szCs w:val="24"/>
        </w:rPr>
        <w:t>q</w:t>
      </w:r>
      <w:r w:rsidR="00397098">
        <w:rPr>
          <w:sz w:val="24"/>
          <w:szCs w:val="24"/>
        </w:rPr>
        <w:t xml:space="preserve">uantities will be adjusted to reflect the </w:t>
      </w:r>
      <w:r w:rsidR="00397098">
        <w:rPr>
          <w:spacing w:val="-2"/>
          <w:sz w:val="24"/>
          <w:szCs w:val="24"/>
        </w:rPr>
        <w:t xml:space="preserve">relevant outcome of such inventory. If the adjusted </w:t>
      </w:r>
      <w:r w:rsidR="00C33125">
        <w:rPr>
          <w:spacing w:val="-2"/>
          <w:sz w:val="24"/>
          <w:szCs w:val="24"/>
        </w:rPr>
        <w:t>b</w:t>
      </w:r>
      <w:r w:rsidR="00397098">
        <w:rPr>
          <w:spacing w:val="-2"/>
          <w:sz w:val="24"/>
          <w:szCs w:val="24"/>
        </w:rPr>
        <w:t xml:space="preserve">aseline </w:t>
      </w:r>
      <w:r w:rsidR="00C33125">
        <w:rPr>
          <w:spacing w:val="-2"/>
          <w:sz w:val="24"/>
          <w:szCs w:val="24"/>
        </w:rPr>
        <w:t>q</w:t>
      </w:r>
      <w:r w:rsidR="00397098">
        <w:rPr>
          <w:spacing w:val="-2"/>
          <w:sz w:val="24"/>
          <w:szCs w:val="24"/>
        </w:rPr>
        <w:t xml:space="preserve">uantity is greater than or less than </w:t>
      </w:r>
      <w:r w:rsidR="00397098">
        <w:rPr>
          <w:sz w:val="24"/>
          <w:szCs w:val="24"/>
        </w:rPr>
        <w:t xml:space="preserve">five percent (5%) of the quantities identified before the inventory, then the Vendor </w:t>
      </w:r>
      <w:r w:rsidR="00397098">
        <w:rPr>
          <w:spacing w:val="2"/>
          <w:sz w:val="24"/>
          <w:szCs w:val="24"/>
        </w:rPr>
        <w:t xml:space="preserve">shall provide the </w:t>
      </w:r>
      <w:r w:rsidR="0099585C">
        <w:rPr>
          <w:spacing w:val="2"/>
          <w:sz w:val="24"/>
          <w:szCs w:val="24"/>
        </w:rPr>
        <w:t>Judicial Council</w:t>
      </w:r>
      <w:r w:rsidR="00397098">
        <w:rPr>
          <w:spacing w:val="2"/>
          <w:sz w:val="24"/>
          <w:szCs w:val="24"/>
        </w:rPr>
        <w:t xml:space="preserve"> with a unit pricing adjustment for the applicable RU that </w:t>
      </w:r>
      <w:r w:rsidR="00397098">
        <w:rPr>
          <w:sz w:val="24"/>
          <w:szCs w:val="24"/>
        </w:rPr>
        <w:t>reflects the actual quantities identified in the inventory.</w:t>
      </w:r>
      <w:r w:rsidR="00631B73">
        <w:rPr>
          <w:sz w:val="24"/>
          <w:szCs w:val="24"/>
        </w:rPr>
        <w:t xml:space="preserve"> Any changes to the </w:t>
      </w:r>
      <w:r w:rsidR="00D64D36">
        <w:rPr>
          <w:sz w:val="24"/>
          <w:szCs w:val="24"/>
        </w:rPr>
        <w:t xml:space="preserve">inventory, including the RUs with </w:t>
      </w:r>
      <w:r w:rsidR="00C33125">
        <w:rPr>
          <w:sz w:val="24"/>
          <w:szCs w:val="24"/>
        </w:rPr>
        <w:t>b</w:t>
      </w:r>
      <w:r w:rsidR="00D64D36">
        <w:rPr>
          <w:sz w:val="24"/>
          <w:szCs w:val="24"/>
        </w:rPr>
        <w:t xml:space="preserve">aseline </w:t>
      </w:r>
      <w:r w:rsidR="00C33125">
        <w:rPr>
          <w:sz w:val="24"/>
          <w:szCs w:val="24"/>
        </w:rPr>
        <w:t>q</w:t>
      </w:r>
      <w:r w:rsidR="00D64D36">
        <w:rPr>
          <w:sz w:val="24"/>
          <w:szCs w:val="24"/>
        </w:rPr>
        <w:t xml:space="preserve">uantities, shall be subject to the </w:t>
      </w:r>
      <w:r w:rsidR="00D64D36" w:rsidRPr="0052600A">
        <w:rPr>
          <w:sz w:val="24"/>
          <w:szCs w:val="24"/>
        </w:rPr>
        <w:t>Section 25.3</w:t>
      </w:r>
      <w:r w:rsidR="004941F1" w:rsidRPr="0052600A">
        <w:rPr>
          <w:sz w:val="24"/>
          <w:szCs w:val="24"/>
        </w:rPr>
        <w:t>6</w:t>
      </w:r>
      <w:r w:rsidR="00D64D36" w:rsidRPr="0052600A">
        <w:rPr>
          <w:sz w:val="24"/>
          <w:szCs w:val="24"/>
        </w:rPr>
        <w:t xml:space="preserve"> Amendments provision of the Agreement</w:t>
      </w:r>
      <w:r w:rsidR="00D64D36">
        <w:rPr>
          <w:sz w:val="24"/>
          <w:szCs w:val="24"/>
        </w:rPr>
        <w:t xml:space="preserve">. </w:t>
      </w:r>
    </w:p>
    <w:p w14:paraId="02F11143" w14:textId="77777777" w:rsidR="008F3DF7" w:rsidRDefault="008F3DF7" w:rsidP="002E5EEF">
      <w:pPr>
        <w:adjustRightInd/>
        <w:ind w:left="1440"/>
        <w:contextualSpacing/>
        <w:jc w:val="both"/>
        <w:rPr>
          <w:sz w:val="24"/>
          <w:szCs w:val="24"/>
        </w:rPr>
      </w:pPr>
    </w:p>
    <w:p w14:paraId="3E9393BE" w14:textId="77777777" w:rsidR="00563501" w:rsidRDefault="00563501" w:rsidP="002E5EEF">
      <w:pPr>
        <w:tabs>
          <w:tab w:val="center" w:pos="4430"/>
        </w:tabs>
        <w:adjustRightInd/>
        <w:spacing w:line="271" w:lineRule="auto"/>
        <w:contextualSpacing/>
        <w:rPr>
          <w:b/>
          <w:bCs/>
          <w:sz w:val="24"/>
          <w:szCs w:val="24"/>
        </w:rPr>
      </w:pPr>
    </w:p>
    <w:p w14:paraId="7D9A47B5" w14:textId="287228CA" w:rsidR="002E5EEF" w:rsidRDefault="00397098" w:rsidP="002E5EEF">
      <w:pPr>
        <w:tabs>
          <w:tab w:val="center" w:pos="4430"/>
        </w:tabs>
        <w:adjustRightInd/>
        <w:spacing w:line="271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3.0 Fees</w:t>
      </w:r>
    </w:p>
    <w:p w14:paraId="58F5D686" w14:textId="2DFA7D00" w:rsidR="005A2F47" w:rsidRPr="002E5EEF" w:rsidRDefault="00397098" w:rsidP="002E5EEF">
      <w:pPr>
        <w:tabs>
          <w:tab w:val="center" w:pos="4430"/>
        </w:tabs>
        <w:adjustRightInd/>
        <w:spacing w:line="271" w:lineRule="auto"/>
        <w:contextualSpacing/>
        <w:rPr>
          <w:b/>
          <w:bCs/>
          <w:sz w:val="24"/>
          <w:szCs w:val="24"/>
        </w:rPr>
      </w:pPr>
      <w:r>
        <w:rPr>
          <w:i/>
          <w:iCs/>
          <w:spacing w:val="-3"/>
          <w:sz w:val="24"/>
          <w:szCs w:val="24"/>
        </w:rPr>
        <w:t xml:space="preserve">See </w:t>
      </w:r>
      <w:r w:rsidRPr="0052600A">
        <w:rPr>
          <w:spacing w:val="-3"/>
          <w:sz w:val="24"/>
          <w:szCs w:val="24"/>
          <w:u w:val="single"/>
        </w:rPr>
        <w:t>Appendix E. 1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</w:rPr>
        <w:t>for each fee type</w:t>
      </w:r>
      <w:r w:rsidR="005270E5">
        <w:rPr>
          <w:spacing w:val="-3"/>
          <w:sz w:val="24"/>
          <w:szCs w:val="24"/>
        </w:rPr>
        <w:t xml:space="preserve"> described below.</w:t>
      </w:r>
      <w:r>
        <w:rPr>
          <w:spacing w:val="-3"/>
          <w:sz w:val="24"/>
          <w:szCs w:val="24"/>
        </w:rPr>
        <w:t xml:space="preserve"> </w:t>
      </w:r>
    </w:p>
    <w:p w14:paraId="22A42A52" w14:textId="77777777" w:rsidR="00295470" w:rsidRDefault="00295470" w:rsidP="002E2BE7">
      <w:pPr>
        <w:adjustRightInd/>
        <w:ind w:left="1440" w:right="4248"/>
        <w:contextualSpacing/>
        <w:rPr>
          <w:b/>
          <w:bCs/>
          <w:spacing w:val="8"/>
          <w:sz w:val="24"/>
          <w:szCs w:val="24"/>
        </w:rPr>
      </w:pPr>
    </w:p>
    <w:p w14:paraId="6A33ACBE" w14:textId="55EA9006" w:rsidR="00397098" w:rsidRDefault="00F84C63" w:rsidP="002E2BE7">
      <w:pPr>
        <w:adjustRightInd/>
        <w:ind w:left="1440" w:right="4248"/>
        <w:contextualSpacing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3.1 </w:t>
      </w:r>
      <w:r w:rsidR="00397098">
        <w:rPr>
          <w:b/>
          <w:bCs/>
          <w:spacing w:val="8"/>
          <w:sz w:val="24"/>
          <w:szCs w:val="24"/>
        </w:rPr>
        <w:t>Recurring Fees</w:t>
      </w:r>
    </w:p>
    <w:p w14:paraId="5B76DB99" w14:textId="77777777" w:rsidR="00397098" w:rsidRDefault="00397098" w:rsidP="002E2BE7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“Recurring Fees”</w:t>
      </w:r>
      <w:r w:rsidRPr="00212E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pertain to the ongoing fees for Services in accordance with the Baseline Fees </w:t>
      </w:r>
      <w:r>
        <w:rPr>
          <w:spacing w:val="4"/>
          <w:sz w:val="24"/>
          <w:szCs w:val="24"/>
        </w:rPr>
        <w:t xml:space="preserve">that are established as of the Effective Date of the Agreement and adjusted thereafter in </w:t>
      </w:r>
      <w:r>
        <w:rPr>
          <w:sz w:val="24"/>
          <w:szCs w:val="24"/>
        </w:rPr>
        <w:t>accordance with the Baseline Quantity Adjustment provisions of this Agreement.</w:t>
      </w:r>
    </w:p>
    <w:p w14:paraId="045B469D" w14:textId="77777777" w:rsidR="00E634C4" w:rsidRDefault="00E634C4" w:rsidP="002E2BE7">
      <w:pPr>
        <w:adjustRightInd/>
        <w:ind w:left="1440"/>
        <w:contextualSpacing/>
        <w:rPr>
          <w:b/>
          <w:bCs/>
          <w:spacing w:val="12"/>
          <w:sz w:val="24"/>
          <w:szCs w:val="24"/>
        </w:rPr>
      </w:pPr>
    </w:p>
    <w:p w14:paraId="7DF03075" w14:textId="17431A79" w:rsidR="00397098" w:rsidRDefault="00397098" w:rsidP="002E2BE7">
      <w:pPr>
        <w:adjustRightInd/>
        <w:ind w:left="1440"/>
        <w:contextualSpacing/>
        <w:rPr>
          <w:b/>
          <w:bCs/>
          <w:spacing w:val="12"/>
          <w:sz w:val="24"/>
          <w:szCs w:val="24"/>
        </w:rPr>
      </w:pPr>
      <w:r>
        <w:rPr>
          <w:b/>
          <w:bCs/>
          <w:spacing w:val="12"/>
          <w:sz w:val="24"/>
          <w:szCs w:val="24"/>
        </w:rPr>
        <w:t>3.</w:t>
      </w:r>
      <w:r w:rsidR="00FD2058">
        <w:rPr>
          <w:b/>
          <w:bCs/>
          <w:spacing w:val="12"/>
          <w:sz w:val="24"/>
          <w:szCs w:val="24"/>
        </w:rPr>
        <w:t>2</w:t>
      </w:r>
      <w:r>
        <w:rPr>
          <w:b/>
          <w:bCs/>
          <w:spacing w:val="12"/>
          <w:sz w:val="24"/>
          <w:szCs w:val="24"/>
        </w:rPr>
        <w:t xml:space="preserve"> Baseline Fees</w:t>
      </w:r>
    </w:p>
    <w:p w14:paraId="028000BA" w14:textId="753BCD25" w:rsidR="00397098" w:rsidRDefault="00397098" w:rsidP="002E2BE7">
      <w:pPr>
        <w:adjustRightInd/>
        <w:ind w:left="1440"/>
        <w:contextualSpacing/>
        <w:rPr>
          <w:sz w:val="24"/>
          <w:szCs w:val="24"/>
          <w:u w:val="single"/>
        </w:rPr>
      </w:pPr>
      <w:r>
        <w:rPr>
          <w:spacing w:val="2"/>
          <w:sz w:val="24"/>
          <w:szCs w:val="24"/>
          <w:u w:val="single"/>
        </w:rPr>
        <w:t>“Baseline Fees”</w:t>
      </w:r>
      <w:r w:rsidRPr="00212E06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for each Service Area are the sum of the monthly RU Baseline Fees set </w:t>
      </w:r>
      <w:r>
        <w:rPr>
          <w:sz w:val="24"/>
          <w:szCs w:val="24"/>
        </w:rPr>
        <w:t xml:space="preserve">forth in </w:t>
      </w:r>
      <w:r w:rsidRPr="0052600A">
        <w:rPr>
          <w:sz w:val="24"/>
          <w:szCs w:val="24"/>
          <w:u w:val="single"/>
        </w:rPr>
        <w:t>Appendix E. 1</w:t>
      </w:r>
      <w:r>
        <w:rPr>
          <w:sz w:val="24"/>
          <w:szCs w:val="24"/>
          <w:u w:val="single"/>
        </w:rPr>
        <w:t>.</w:t>
      </w:r>
    </w:p>
    <w:p w14:paraId="029552D6" w14:textId="77777777" w:rsidR="00CD6718" w:rsidRDefault="00CD6718" w:rsidP="002E2BE7">
      <w:pPr>
        <w:adjustRightInd/>
        <w:ind w:left="1440"/>
        <w:contextualSpacing/>
        <w:rPr>
          <w:b/>
          <w:bCs/>
          <w:spacing w:val="8"/>
          <w:sz w:val="24"/>
          <w:szCs w:val="24"/>
        </w:rPr>
      </w:pPr>
    </w:p>
    <w:p w14:paraId="03A89BBE" w14:textId="4DFD1ED9" w:rsidR="00397098" w:rsidRDefault="00397098" w:rsidP="002E2BE7">
      <w:pPr>
        <w:adjustRightInd/>
        <w:ind w:left="1440"/>
        <w:contextualSpacing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3.</w:t>
      </w:r>
      <w:r w:rsidR="008D4DBF">
        <w:rPr>
          <w:b/>
          <w:bCs/>
          <w:spacing w:val="8"/>
          <w:sz w:val="24"/>
          <w:szCs w:val="24"/>
        </w:rPr>
        <w:t>3</w:t>
      </w:r>
      <w:r>
        <w:rPr>
          <w:b/>
          <w:bCs/>
          <w:spacing w:val="8"/>
          <w:sz w:val="24"/>
          <w:szCs w:val="24"/>
        </w:rPr>
        <w:t xml:space="preserve"> Annual Service Fees</w:t>
      </w:r>
    </w:p>
    <w:p w14:paraId="766B7607" w14:textId="77777777" w:rsidR="00397098" w:rsidRPr="001E1810" w:rsidRDefault="00397098" w:rsidP="002E2BE7">
      <w:pPr>
        <w:adjustRightInd/>
        <w:ind w:left="1440"/>
        <w:contextualSpacing/>
        <w:rPr>
          <w:sz w:val="24"/>
          <w:szCs w:val="24"/>
        </w:rPr>
      </w:pPr>
      <w:r>
        <w:rPr>
          <w:spacing w:val="4"/>
          <w:sz w:val="24"/>
          <w:szCs w:val="24"/>
          <w:u w:val="single"/>
        </w:rPr>
        <w:t>“Annual Service Fees”</w:t>
      </w:r>
      <w:r w:rsidRPr="00212E06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for each Service Area </w:t>
      </w:r>
      <w:r w:rsidRPr="001E1810">
        <w:rPr>
          <w:spacing w:val="4"/>
          <w:sz w:val="24"/>
          <w:szCs w:val="24"/>
        </w:rPr>
        <w:t xml:space="preserve">are monthly RU Baseline Fees multiplied </w:t>
      </w:r>
      <w:r w:rsidRPr="001E1810">
        <w:rPr>
          <w:sz w:val="24"/>
          <w:szCs w:val="24"/>
        </w:rPr>
        <w:t>by twelve.</w:t>
      </w:r>
    </w:p>
    <w:p w14:paraId="2A09F6E2" w14:textId="77777777" w:rsidR="002E2BE7" w:rsidRDefault="002E2BE7" w:rsidP="002E2BE7">
      <w:pPr>
        <w:keepNext/>
        <w:keepLines/>
        <w:adjustRightInd/>
        <w:spacing w:line="276" w:lineRule="auto"/>
        <w:ind w:left="1440"/>
        <w:contextualSpacing/>
        <w:rPr>
          <w:b/>
          <w:bCs/>
          <w:spacing w:val="3"/>
          <w:sz w:val="24"/>
          <w:szCs w:val="24"/>
        </w:rPr>
      </w:pPr>
    </w:p>
    <w:p w14:paraId="0C83772B" w14:textId="69923BB8" w:rsidR="00397098" w:rsidRPr="001E1810" w:rsidRDefault="00397098" w:rsidP="002E2BE7">
      <w:pPr>
        <w:keepNext/>
        <w:keepLines/>
        <w:adjustRightInd/>
        <w:spacing w:line="276" w:lineRule="auto"/>
        <w:ind w:left="1440"/>
        <w:contextualSpacing/>
        <w:rPr>
          <w:b/>
          <w:bCs/>
          <w:spacing w:val="3"/>
          <w:sz w:val="24"/>
          <w:szCs w:val="24"/>
        </w:rPr>
      </w:pPr>
      <w:r w:rsidRPr="001E1810">
        <w:rPr>
          <w:b/>
          <w:bCs/>
          <w:spacing w:val="3"/>
          <w:sz w:val="24"/>
          <w:szCs w:val="24"/>
        </w:rPr>
        <w:t>3.</w:t>
      </w:r>
      <w:r w:rsidR="009B7B22" w:rsidRPr="001E1810">
        <w:rPr>
          <w:b/>
          <w:bCs/>
          <w:spacing w:val="3"/>
          <w:sz w:val="24"/>
          <w:szCs w:val="24"/>
        </w:rPr>
        <w:t>4</w:t>
      </w:r>
      <w:r w:rsidRPr="001E1810">
        <w:rPr>
          <w:b/>
          <w:bCs/>
          <w:spacing w:val="3"/>
          <w:sz w:val="24"/>
          <w:szCs w:val="24"/>
        </w:rPr>
        <w:t xml:space="preserve"> Variable Services Fees</w:t>
      </w:r>
    </w:p>
    <w:p w14:paraId="2A7F7095" w14:textId="58338355" w:rsidR="00397098" w:rsidRPr="001E1810" w:rsidRDefault="00397098" w:rsidP="002E2BE7">
      <w:pPr>
        <w:adjustRightInd/>
        <w:ind w:left="1440"/>
        <w:contextualSpacing/>
        <w:jc w:val="both"/>
        <w:rPr>
          <w:sz w:val="24"/>
          <w:szCs w:val="24"/>
        </w:rPr>
      </w:pPr>
      <w:r w:rsidRPr="001E1810">
        <w:rPr>
          <w:spacing w:val="4"/>
          <w:sz w:val="24"/>
          <w:szCs w:val="24"/>
        </w:rPr>
        <w:t>The Variable Services Fees sections below describe the methodology for compensation for</w:t>
      </w:r>
      <w:r w:rsidR="00537DE9">
        <w:rPr>
          <w:spacing w:val="4"/>
          <w:sz w:val="24"/>
          <w:szCs w:val="24"/>
        </w:rPr>
        <w:t xml:space="preserve"> </w:t>
      </w:r>
      <w:r w:rsidRPr="001E1810">
        <w:rPr>
          <w:spacing w:val="4"/>
          <w:sz w:val="24"/>
          <w:szCs w:val="24"/>
        </w:rPr>
        <w:t xml:space="preserve">Actual Service Area Fees above or below the Baseline Fees </w:t>
      </w:r>
      <w:proofErr w:type="spellStart"/>
      <w:r w:rsidRPr="001E1810">
        <w:rPr>
          <w:spacing w:val="4"/>
          <w:sz w:val="24"/>
          <w:szCs w:val="24"/>
        </w:rPr>
        <w:t>Deadband</w:t>
      </w:r>
      <w:proofErr w:type="spellEnd"/>
      <w:r w:rsidRPr="001E1810">
        <w:rPr>
          <w:spacing w:val="4"/>
          <w:sz w:val="24"/>
          <w:szCs w:val="24"/>
        </w:rPr>
        <w:t xml:space="preserve">. Actual Service Area </w:t>
      </w:r>
      <w:r w:rsidRPr="001E1810">
        <w:rPr>
          <w:sz w:val="24"/>
          <w:szCs w:val="24"/>
        </w:rPr>
        <w:t>Fees are defined as the sum of monthly actual RU usage multiplied by the RU Unit Price.</w:t>
      </w:r>
    </w:p>
    <w:p w14:paraId="52F4BB13" w14:textId="77777777" w:rsidR="002E2BE7" w:rsidRDefault="002E2BE7" w:rsidP="002E2BE7">
      <w:pPr>
        <w:adjustRightInd/>
        <w:ind w:left="720" w:firstLine="720"/>
        <w:contextualSpacing/>
        <w:jc w:val="both"/>
        <w:rPr>
          <w:spacing w:val="-2"/>
          <w:sz w:val="24"/>
          <w:szCs w:val="24"/>
        </w:rPr>
      </w:pPr>
    </w:p>
    <w:p w14:paraId="760ED44D" w14:textId="570DF53D" w:rsidR="00397098" w:rsidRPr="001E1810" w:rsidRDefault="00397098" w:rsidP="00CC729B">
      <w:pPr>
        <w:adjustRightInd/>
        <w:ind w:left="1440"/>
        <w:contextualSpacing/>
        <w:jc w:val="both"/>
        <w:rPr>
          <w:sz w:val="24"/>
          <w:szCs w:val="24"/>
        </w:rPr>
      </w:pPr>
      <w:r w:rsidRPr="001E1810">
        <w:rPr>
          <w:spacing w:val="-2"/>
          <w:sz w:val="24"/>
          <w:szCs w:val="24"/>
        </w:rPr>
        <w:t xml:space="preserve">The Baseline Fees </w:t>
      </w:r>
      <w:proofErr w:type="spellStart"/>
      <w:r w:rsidRPr="001E1810">
        <w:rPr>
          <w:spacing w:val="-2"/>
          <w:sz w:val="24"/>
          <w:szCs w:val="24"/>
        </w:rPr>
        <w:t>Deadband</w:t>
      </w:r>
      <w:proofErr w:type="spellEnd"/>
      <w:r w:rsidRPr="001E1810">
        <w:rPr>
          <w:spacing w:val="-2"/>
          <w:sz w:val="24"/>
          <w:szCs w:val="24"/>
        </w:rPr>
        <w:t xml:space="preserve"> consists of the Additional Resource Charges (ARCs) </w:t>
      </w:r>
      <w:proofErr w:type="spellStart"/>
      <w:r w:rsidRPr="001E1810">
        <w:rPr>
          <w:spacing w:val="-2"/>
          <w:sz w:val="24"/>
          <w:szCs w:val="24"/>
        </w:rPr>
        <w:t>Deadband</w:t>
      </w:r>
      <w:proofErr w:type="spellEnd"/>
      <w:r w:rsidRPr="001E1810">
        <w:rPr>
          <w:spacing w:val="-2"/>
          <w:sz w:val="24"/>
          <w:szCs w:val="24"/>
        </w:rPr>
        <w:t xml:space="preserve"> and </w:t>
      </w:r>
      <w:r w:rsidRPr="001E1810">
        <w:rPr>
          <w:sz w:val="24"/>
          <w:szCs w:val="24"/>
        </w:rPr>
        <w:t xml:space="preserve">the Reduced Resource Credits (RRCs) </w:t>
      </w:r>
      <w:proofErr w:type="spellStart"/>
      <w:r w:rsidRPr="001E1810">
        <w:rPr>
          <w:sz w:val="24"/>
          <w:szCs w:val="24"/>
        </w:rPr>
        <w:t>Deadband</w:t>
      </w:r>
      <w:proofErr w:type="spellEnd"/>
      <w:r w:rsidRPr="001E1810">
        <w:rPr>
          <w:sz w:val="24"/>
          <w:szCs w:val="24"/>
        </w:rPr>
        <w:t xml:space="preserve"> as defined below.</w:t>
      </w:r>
    </w:p>
    <w:p w14:paraId="507C8CB7" w14:textId="77777777" w:rsidR="00CC729B" w:rsidRDefault="00CC729B" w:rsidP="009B2FE3">
      <w:pPr>
        <w:keepNext/>
        <w:adjustRightInd/>
        <w:spacing w:line="276" w:lineRule="auto"/>
        <w:ind w:left="2160"/>
        <w:contextualSpacing/>
        <w:rPr>
          <w:b/>
          <w:bCs/>
          <w:i/>
          <w:iCs/>
          <w:sz w:val="24"/>
          <w:szCs w:val="24"/>
        </w:rPr>
      </w:pPr>
    </w:p>
    <w:p w14:paraId="31F37573" w14:textId="342026C8" w:rsidR="00397098" w:rsidRPr="002E2BE7" w:rsidRDefault="00397098" w:rsidP="009B2FE3">
      <w:pPr>
        <w:keepNext/>
        <w:adjustRightInd/>
        <w:spacing w:line="276" w:lineRule="auto"/>
        <w:ind w:left="2160"/>
        <w:contextualSpacing/>
        <w:rPr>
          <w:b/>
          <w:bCs/>
          <w:i/>
          <w:iCs/>
          <w:sz w:val="24"/>
          <w:szCs w:val="24"/>
        </w:rPr>
      </w:pPr>
      <w:r w:rsidRPr="002E2BE7">
        <w:rPr>
          <w:b/>
          <w:bCs/>
          <w:i/>
          <w:iCs/>
          <w:sz w:val="24"/>
          <w:szCs w:val="24"/>
        </w:rPr>
        <w:t>3.</w:t>
      </w:r>
      <w:r w:rsidR="009B7B22" w:rsidRPr="002E2BE7">
        <w:rPr>
          <w:b/>
          <w:bCs/>
          <w:i/>
          <w:iCs/>
          <w:sz w:val="24"/>
          <w:szCs w:val="24"/>
        </w:rPr>
        <w:t>4</w:t>
      </w:r>
      <w:r w:rsidRPr="002E2BE7">
        <w:rPr>
          <w:b/>
          <w:bCs/>
          <w:i/>
          <w:iCs/>
          <w:sz w:val="24"/>
          <w:szCs w:val="24"/>
        </w:rPr>
        <w:t xml:space="preserve">.1 ARC </w:t>
      </w:r>
      <w:proofErr w:type="spellStart"/>
      <w:r w:rsidRPr="002E2BE7">
        <w:rPr>
          <w:b/>
          <w:bCs/>
          <w:i/>
          <w:iCs/>
          <w:sz w:val="24"/>
          <w:szCs w:val="24"/>
        </w:rPr>
        <w:t>Deadband</w:t>
      </w:r>
      <w:proofErr w:type="spellEnd"/>
    </w:p>
    <w:p w14:paraId="63ED90C5" w14:textId="77777777" w:rsidR="00397098" w:rsidRDefault="00397098" w:rsidP="009B2FE3">
      <w:pPr>
        <w:keepNext/>
        <w:adjustRightInd/>
        <w:ind w:left="21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is expressed as a </w:t>
      </w:r>
      <w:r w:rsidRPr="00DE2AF3">
        <w:rPr>
          <w:sz w:val="24"/>
          <w:szCs w:val="24"/>
        </w:rPr>
        <w:t>percentage</w:t>
      </w:r>
      <w:r>
        <w:rPr>
          <w:sz w:val="24"/>
          <w:szCs w:val="24"/>
        </w:rPr>
        <w:t xml:space="preserve"> amount and is set forth in the ARC </w:t>
      </w:r>
      <w:proofErr w:type="spellStart"/>
      <w:r>
        <w:rPr>
          <w:spacing w:val="8"/>
          <w:sz w:val="24"/>
          <w:szCs w:val="24"/>
        </w:rPr>
        <w:t>Deadband</w:t>
      </w:r>
      <w:proofErr w:type="spellEnd"/>
      <w:r>
        <w:rPr>
          <w:spacing w:val="8"/>
          <w:sz w:val="24"/>
          <w:szCs w:val="24"/>
        </w:rPr>
        <w:t xml:space="preserve"> Table that is provided for each Service Area. For the purposes hereof, "</w:t>
      </w:r>
      <w:r w:rsidRPr="00222EB3">
        <w:rPr>
          <w:spacing w:val="8"/>
          <w:sz w:val="24"/>
          <w:szCs w:val="24"/>
          <w:u w:val="single"/>
        </w:rPr>
        <w:t xml:space="preserve">ARC </w:t>
      </w:r>
      <w:proofErr w:type="spellStart"/>
      <w:r>
        <w:rPr>
          <w:spacing w:val="-4"/>
          <w:sz w:val="24"/>
          <w:szCs w:val="24"/>
          <w:u w:val="single"/>
        </w:rPr>
        <w:t>Deadband</w:t>
      </w:r>
      <w:proofErr w:type="spellEnd"/>
      <w:r>
        <w:rPr>
          <w:spacing w:val="-4"/>
          <w:sz w:val="24"/>
          <w:szCs w:val="24"/>
          <w:u w:val="single"/>
        </w:rPr>
        <w:t xml:space="preserve"> Percentage" </w:t>
      </w:r>
      <w:r>
        <w:rPr>
          <w:spacing w:val="-4"/>
          <w:sz w:val="24"/>
          <w:szCs w:val="24"/>
        </w:rPr>
        <w:t xml:space="preserve">means the percentage above the Baseline Fee within which ARCs will not </w:t>
      </w:r>
      <w:r>
        <w:rPr>
          <w:sz w:val="24"/>
          <w:szCs w:val="24"/>
        </w:rPr>
        <w:t>apply, and above which ARCs will apply.</w:t>
      </w:r>
    </w:p>
    <w:p w14:paraId="5294754B" w14:textId="77777777" w:rsidR="002E2BE7" w:rsidRDefault="002E2BE7" w:rsidP="009B2FE3">
      <w:pPr>
        <w:adjustRightInd/>
        <w:spacing w:line="276" w:lineRule="auto"/>
        <w:ind w:left="2160"/>
        <w:contextualSpacing/>
        <w:rPr>
          <w:b/>
          <w:bCs/>
          <w:sz w:val="24"/>
          <w:szCs w:val="24"/>
        </w:rPr>
      </w:pPr>
    </w:p>
    <w:p w14:paraId="2BD7C729" w14:textId="7B3F9DC4" w:rsidR="00397098" w:rsidRPr="002E2BE7" w:rsidRDefault="00397098" w:rsidP="009B2FE3">
      <w:pPr>
        <w:adjustRightInd/>
        <w:spacing w:line="276" w:lineRule="auto"/>
        <w:ind w:left="2160"/>
        <w:contextualSpacing/>
        <w:rPr>
          <w:b/>
          <w:bCs/>
          <w:i/>
          <w:iCs/>
          <w:sz w:val="24"/>
          <w:szCs w:val="24"/>
        </w:rPr>
      </w:pPr>
      <w:r w:rsidRPr="002E2BE7">
        <w:rPr>
          <w:b/>
          <w:bCs/>
          <w:i/>
          <w:iCs/>
          <w:sz w:val="24"/>
          <w:szCs w:val="24"/>
        </w:rPr>
        <w:t>3.</w:t>
      </w:r>
      <w:r w:rsidR="009B7B22" w:rsidRPr="002E2BE7">
        <w:rPr>
          <w:b/>
          <w:bCs/>
          <w:i/>
          <w:iCs/>
          <w:sz w:val="24"/>
          <w:szCs w:val="24"/>
        </w:rPr>
        <w:t>4</w:t>
      </w:r>
      <w:r w:rsidRPr="002E2BE7">
        <w:rPr>
          <w:b/>
          <w:bCs/>
          <w:i/>
          <w:iCs/>
          <w:sz w:val="24"/>
          <w:szCs w:val="24"/>
        </w:rPr>
        <w:t xml:space="preserve">.2 ARC </w:t>
      </w:r>
      <w:proofErr w:type="spellStart"/>
      <w:r w:rsidRPr="002E2BE7">
        <w:rPr>
          <w:b/>
          <w:bCs/>
          <w:i/>
          <w:iCs/>
          <w:sz w:val="24"/>
          <w:szCs w:val="24"/>
        </w:rPr>
        <w:t>Deadband</w:t>
      </w:r>
      <w:proofErr w:type="spellEnd"/>
      <w:r w:rsidRPr="002E2BE7">
        <w:rPr>
          <w:b/>
          <w:bCs/>
          <w:i/>
          <w:iCs/>
          <w:sz w:val="24"/>
          <w:szCs w:val="24"/>
        </w:rPr>
        <w:t xml:space="preserve"> Table</w:t>
      </w:r>
    </w:p>
    <w:p w14:paraId="10003176" w14:textId="5382A811" w:rsidR="00397098" w:rsidRDefault="00397098" w:rsidP="009B2FE3">
      <w:pPr>
        <w:adjustRightInd/>
        <w:ind w:left="2160"/>
        <w:contextualSpacing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The following ARC </w:t>
      </w:r>
      <w:proofErr w:type="spellStart"/>
      <w:r>
        <w:rPr>
          <w:spacing w:val="4"/>
          <w:sz w:val="24"/>
          <w:szCs w:val="24"/>
        </w:rPr>
        <w:t>Deadband</w:t>
      </w:r>
      <w:proofErr w:type="spellEnd"/>
      <w:r>
        <w:rPr>
          <w:spacing w:val="4"/>
          <w:sz w:val="24"/>
          <w:szCs w:val="24"/>
        </w:rPr>
        <w:t xml:space="preserve"> Table identifies the factors that are to be used in </w:t>
      </w:r>
      <w:r>
        <w:rPr>
          <w:spacing w:val="9"/>
          <w:sz w:val="24"/>
          <w:szCs w:val="24"/>
        </w:rPr>
        <w:t xml:space="preserve">calculating ARCs for each of the Service Areas. The ARC </w:t>
      </w:r>
      <w:proofErr w:type="spellStart"/>
      <w:r>
        <w:rPr>
          <w:spacing w:val="9"/>
          <w:sz w:val="24"/>
          <w:szCs w:val="24"/>
        </w:rPr>
        <w:t>Deadband</w:t>
      </w:r>
      <w:proofErr w:type="spellEnd"/>
      <w:r>
        <w:rPr>
          <w:spacing w:val="9"/>
          <w:sz w:val="24"/>
          <w:szCs w:val="24"/>
        </w:rPr>
        <w:t xml:space="preserve"> is calculated by </w:t>
      </w:r>
      <w:r>
        <w:rPr>
          <w:sz w:val="24"/>
          <w:szCs w:val="24"/>
        </w:rPr>
        <w:t xml:space="preserve">multiplying the Baseline Fee by the sum of 1.00 plus the ARC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percentage.</w:t>
      </w:r>
      <w:r w:rsidR="000C2632">
        <w:rPr>
          <w:sz w:val="24"/>
          <w:szCs w:val="24"/>
        </w:rPr>
        <w:t xml:space="preserve"> For example, if the ARC   </w:t>
      </w:r>
      <w:proofErr w:type="spellStart"/>
      <w:r w:rsidR="000C2632">
        <w:rPr>
          <w:sz w:val="24"/>
          <w:szCs w:val="24"/>
        </w:rPr>
        <w:t>Deadband</w:t>
      </w:r>
      <w:proofErr w:type="spellEnd"/>
      <w:r w:rsidR="000C2632">
        <w:rPr>
          <w:sz w:val="24"/>
          <w:szCs w:val="24"/>
        </w:rPr>
        <w:t xml:space="preserve"> percentage is 5%, then the ARC </w:t>
      </w:r>
      <w:proofErr w:type="spellStart"/>
      <w:r w:rsidR="000C2632">
        <w:rPr>
          <w:sz w:val="24"/>
          <w:szCs w:val="24"/>
        </w:rPr>
        <w:t>Deadband</w:t>
      </w:r>
      <w:proofErr w:type="spellEnd"/>
      <w:r w:rsidR="000C2632">
        <w:rPr>
          <w:sz w:val="24"/>
          <w:szCs w:val="24"/>
        </w:rPr>
        <w:t xml:space="preserve"> is equal to Baseline Fee x (1.00 + 0.05). </w:t>
      </w:r>
    </w:p>
    <w:p w14:paraId="42595398" w14:textId="77777777" w:rsidR="002E2BE7" w:rsidRDefault="002E2BE7" w:rsidP="002E5EEF">
      <w:pPr>
        <w:adjustRightInd/>
        <w:ind w:left="1440"/>
        <w:contextualSpacing/>
        <w:jc w:val="both"/>
        <w:rPr>
          <w:sz w:val="24"/>
          <w:szCs w:val="24"/>
        </w:rPr>
      </w:pPr>
    </w:p>
    <w:p w14:paraId="72762CDE" w14:textId="77777777" w:rsidR="00397098" w:rsidRDefault="00397098" w:rsidP="002E5EEF">
      <w:pPr>
        <w:tabs>
          <w:tab w:val="right" w:pos="6565"/>
        </w:tabs>
        <w:adjustRightInd/>
        <w:spacing w:line="276" w:lineRule="auto"/>
        <w:ind w:left="2808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 2.</w:t>
      </w:r>
      <w:r>
        <w:rPr>
          <w:b/>
          <w:bCs/>
          <w:sz w:val="24"/>
          <w:szCs w:val="24"/>
        </w:rPr>
        <w:tab/>
        <w:t xml:space="preserve">ARC </w:t>
      </w:r>
      <w:proofErr w:type="spellStart"/>
      <w:r>
        <w:rPr>
          <w:b/>
          <w:bCs/>
          <w:sz w:val="24"/>
          <w:szCs w:val="24"/>
        </w:rPr>
        <w:t>Deadband</w:t>
      </w:r>
      <w:proofErr w:type="spellEnd"/>
      <w:r>
        <w:rPr>
          <w:b/>
          <w:bCs/>
          <w:sz w:val="24"/>
          <w:szCs w:val="24"/>
        </w:rPr>
        <w:t xml:space="preserve"> Table</w:t>
      </w:r>
    </w:p>
    <w:tbl>
      <w:tblPr>
        <w:tblW w:w="0" w:type="auto"/>
        <w:tblInd w:w="167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16"/>
      </w:tblGrid>
      <w:tr w:rsidR="00DE2AF3" w:rsidRPr="00DE2AF3" w14:paraId="202D7180" w14:textId="77777777" w:rsidTr="00DE2AF3">
        <w:tc>
          <w:tcPr>
            <w:tcW w:w="4320" w:type="dxa"/>
            <w:tcBorders>
              <w:top w:val="single" w:sz="24" w:space="0" w:color="auto"/>
              <w:bottom w:val="nil"/>
            </w:tcBorders>
            <w:shd w:val="clear" w:color="auto" w:fill="E6E6E6"/>
          </w:tcPr>
          <w:p w14:paraId="3AA438E9" w14:textId="77777777" w:rsidR="00DE2AF3" w:rsidRPr="00DE2AF3" w:rsidRDefault="00DE2AF3" w:rsidP="002E5EE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E6E6E6"/>
          </w:tcPr>
          <w:p w14:paraId="49280AA6" w14:textId="77777777" w:rsidR="00DE2AF3" w:rsidRPr="00DE2AF3" w:rsidRDefault="00DE2AF3" w:rsidP="002E5EE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E2AF3">
              <w:rPr>
                <w:b/>
                <w:sz w:val="24"/>
                <w:szCs w:val="24"/>
              </w:rPr>
              <w:t xml:space="preserve">ARC </w:t>
            </w:r>
            <w:proofErr w:type="spellStart"/>
            <w:r w:rsidRPr="00DE2AF3">
              <w:rPr>
                <w:b/>
                <w:sz w:val="24"/>
                <w:szCs w:val="24"/>
              </w:rPr>
              <w:t>Deadband</w:t>
            </w:r>
            <w:proofErr w:type="spellEnd"/>
          </w:p>
        </w:tc>
      </w:tr>
      <w:tr w:rsidR="00DE2AF3" w:rsidRPr="00DE2AF3" w14:paraId="41813A1D" w14:textId="77777777" w:rsidTr="00DE2AF3">
        <w:tc>
          <w:tcPr>
            <w:tcW w:w="4320" w:type="dxa"/>
            <w:tcBorders>
              <w:top w:val="nil"/>
              <w:bottom w:val="single" w:sz="18" w:space="0" w:color="auto"/>
            </w:tcBorders>
            <w:shd w:val="clear" w:color="auto" w:fill="E6E6E6"/>
          </w:tcPr>
          <w:p w14:paraId="0A680442" w14:textId="77777777" w:rsidR="00DE2AF3" w:rsidRPr="00DE2AF3" w:rsidRDefault="00DE2AF3" w:rsidP="002E5EE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E6E6E6"/>
          </w:tcPr>
          <w:p w14:paraId="537819C3" w14:textId="77777777" w:rsidR="00DE2AF3" w:rsidRPr="00DE2AF3" w:rsidRDefault="00DE2AF3" w:rsidP="002E5EE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E2AF3">
              <w:rPr>
                <w:b/>
                <w:sz w:val="24"/>
                <w:szCs w:val="24"/>
              </w:rPr>
              <w:t xml:space="preserve">% </w:t>
            </w:r>
            <w:proofErr w:type="gramStart"/>
            <w:r w:rsidRPr="00DE2AF3">
              <w:rPr>
                <w:b/>
                <w:sz w:val="24"/>
                <w:szCs w:val="24"/>
              </w:rPr>
              <w:t>of</w:t>
            </w:r>
            <w:proofErr w:type="gramEnd"/>
            <w:r w:rsidRPr="00DE2AF3">
              <w:rPr>
                <w:b/>
                <w:sz w:val="24"/>
                <w:szCs w:val="24"/>
              </w:rPr>
              <w:t xml:space="preserve"> Baseline</w:t>
            </w:r>
          </w:p>
        </w:tc>
      </w:tr>
      <w:tr w:rsidR="00DE2AF3" w:rsidRPr="00DE2AF3" w14:paraId="0C7203E2" w14:textId="77777777" w:rsidTr="00DE2AF3"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159F3012" w14:textId="389A2893" w:rsidR="00DE2AF3" w:rsidRPr="00DE2AF3" w:rsidRDefault="00C75095" w:rsidP="002E5EE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  <w:r w:rsidR="00DE2AF3" w:rsidRPr="00DE2AF3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E6E6E6"/>
          </w:tcPr>
          <w:p w14:paraId="1703EB99" w14:textId="77777777" w:rsidR="00DE2AF3" w:rsidRPr="00DE2AF3" w:rsidRDefault="00DE2AF3" w:rsidP="002E5EEF">
            <w:pPr>
              <w:contextualSpacing/>
              <w:rPr>
                <w:sz w:val="24"/>
                <w:szCs w:val="24"/>
              </w:rPr>
            </w:pPr>
          </w:p>
        </w:tc>
      </w:tr>
      <w:tr w:rsidR="00DE2AF3" w:rsidRPr="00DE2AF3" w14:paraId="0D03EE3D" w14:textId="77777777" w:rsidTr="00DE2AF3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0D0BAA87" w14:textId="77777777" w:rsidR="00DE2AF3" w:rsidRPr="00DE2AF3" w:rsidRDefault="00DE2AF3" w:rsidP="002E5EE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1399C414" w14:textId="77777777" w:rsidR="00DE2AF3" w:rsidRPr="00DE2AF3" w:rsidRDefault="00DE2AF3" w:rsidP="002E5EE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E2AF3" w:rsidRPr="00DE2AF3" w14:paraId="03EE81AB" w14:textId="77777777" w:rsidTr="00DE2AF3"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D74BC3" w14:textId="7131CDBB" w:rsidR="00DE2AF3" w:rsidRPr="00DE2AF3" w:rsidRDefault="00DE2AF3" w:rsidP="002E5EEF">
            <w:pPr>
              <w:contextualSpacing/>
              <w:rPr>
                <w:b/>
                <w:sz w:val="24"/>
                <w:szCs w:val="24"/>
              </w:rPr>
            </w:pPr>
            <w:r w:rsidRPr="00DE2AF3">
              <w:rPr>
                <w:b/>
                <w:sz w:val="24"/>
                <w:szCs w:val="24"/>
              </w:rPr>
              <w:t xml:space="preserve">Data Center </w:t>
            </w:r>
            <w:r w:rsidR="00C75095">
              <w:rPr>
                <w:b/>
                <w:sz w:val="24"/>
                <w:szCs w:val="24"/>
              </w:rPr>
              <w:t>Operation</w:t>
            </w:r>
            <w:r w:rsidR="00AC185F">
              <w:rPr>
                <w:b/>
                <w:sz w:val="24"/>
                <w:szCs w:val="24"/>
              </w:rPr>
              <w:t xml:space="preserve">al </w:t>
            </w:r>
            <w:r w:rsidRPr="00DE2AF3">
              <w:rPr>
                <w:b/>
                <w:sz w:val="24"/>
                <w:szCs w:val="24"/>
              </w:rPr>
              <w:t>Services</w:t>
            </w:r>
          </w:p>
        </w:tc>
        <w:tc>
          <w:tcPr>
            <w:tcW w:w="1916" w:type="dxa"/>
          </w:tcPr>
          <w:p w14:paraId="60825B1E" w14:textId="77777777" w:rsidR="00DE2AF3" w:rsidRPr="00DE2AF3" w:rsidRDefault="00DE2AF3" w:rsidP="002E5EEF">
            <w:pPr>
              <w:contextualSpacing/>
              <w:jc w:val="center"/>
              <w:rPr>
                <w:sz w:val="24"/>
                <w:szCs w:val="24"/>
              </w:rPr>
            </w:pPr>
            <w:r w:rsidRPr="00DE2AF3">
              <w:rPr>
                <w:sz w:val="24"/>
                <w:szCs w:val="24"/>
              </w:rPr>
              <w:t>5%</w:t>
            </w:r>
          </w:p>
        </w:tc>
      </w:tr>
      <w:tr w:rsidR="00DE2AF3" w:rsidRPr="00DE2AF3" w14:paraId="7CCC5085" w14:textId="77777777" w:rsidTr="00DE2AF3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6FF12295" w14:textId="77777777" w:rsidR="00DE2AF3" w:rsidRPr="00DE2AF3" w:rsidRDefault="00DE2AF3" w:rsidP="002E5EE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10C8A771" w14:textId="77777777" w:rsidR="00DE2AF3" w:rsidRPr="00DE2AF3" w:rsidRDefault="00DE2AF3" w:rsidP="002E5EE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24BC7" w:rsidRPr="00DE2AF3" w14:paraId="20F37F17" w14:textId="77777777" w:rsidTr="00DE2AF3">
        <w:trPr>
          <w:trHeight w:val="260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3A008B" w14:textId="190EBC50" w:rsidR="00424BC7" w:rsidRPr="00DE2AF3" w:rsidRDefault="00424BC7" w:rsidP="002E5EEF">
            <w:pPr>
              <w:contextualSpacing/>
              <w:rPr>
                <w:b/>
                <w:sz w:val="24"/>
                <w:szCs w:val="24"/>
              </w:rPr>
            </w:pPr>
            <w:r w:rsidRPr="00DE2AF3">
              <w:rPr>
                <w:b/>
                <w:sz w:val="24"/>
                <w:szCs w:val="24"/>
              </w:rPr>
              <w:t>Data Network Management Services</w:t>
            </w:r>
          </w:p>
        </w:tc>
        <w:tc>
          <w:tcPr>
            <w:tcW w:w="1916" w:type="dxa"/>
          </w:tcPr>
          <w:p w14:paraId="5D33A2A5" w14:textId="655B08AD" w:rsidR="00424BC7" w:rsidRPr="00DE2AF3" w:rsidRDefault="00424BC7" w:rsidP="002E5EEF">
            <w:pPr>
              <w:contextualSpacing/>
              <w:jc w:val="center"/>
              <w:rPr>
                <w:sz w:val="24"/>
                <w:szCs w:val="24"/>
              </w:rPr>
            </w:pPr>
            <w:r w:rsidRPr="00DE2AF3">
              <w:rPr>
                <w:sz w:val="24"/>
                <w:szCs w:val="24"/>
              </w:rPr>
              <w:t>5%</w:t>
            </w:r>
          </w:p>
        </w:tc>
      </w:tr>
      <w:tr w:rsidR="00424BC7" w:rsidRPr="00DE2AF3" w14:paraId="7E66FF58" w14:textId="77777777" w:rsidTr="00DE2AF3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385F6574" w14:textId="77777777" w:rsidR="00424BC7" w:rsidRPr="00DE2AF3" w:rsidRDefault="00424BC7" w:rsidP="002E5EE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3EC3F3A6" w14:textId="77777777" w:rsidR="00424BC7" w:rsidRPr="00DE2AF3" w:rsidRDefault="00424BC7" w:rsidP="002E5EEF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24BC7" w:rsidRPr="00DE2AF3" w14:paraId="25726433" w14:textId="77777777" w:rsidTr="00DE2AF3"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5EBD37" w14:textId="2CD7567F" w:rsidR="00424BC7" w:rsidRPr="00DE2AF3" w:rsidRDefault="00424BC7" w:rsidP="002E5EE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IT Service Management</w:t>
            </w:r>
          </w:p>
        </w:tc>
        <w:tc>
          <w:tcPr>
            <w:tcW w:w="1916" w:type="dxa"/>
            <w:shd w:val="clear" w:color="auto" w:fill="auto"/>
          </w:tcPr>
          <w:p w14:paraId="5D8DD6B2" w14:textId="3ABFC093" w:rsidR="00424BC7" w:rsidRPr="00DE2AF3" w:rsidRDefault="00424BC7" w:rsidP="002E5EE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424BC7" w14:paraId="63767FAB" w14:textId="77777777" w:rsidTr="00DE2AF3">
        <w:trPr>
          <w:trHeight w:hRule="exact" w:val="90"/>
        </w:trPr>
        <w:tc>
          <w:tcPr>
            <w:tcW w:w="4320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E6E6E6"/>
          </w:tcPr>
          <w:p w14:paraId="2326A5AA" w14:textId="77777777" w:rsidR="00424BC7" w:rsidRPr="00DE2AF3" w:rsidRDefault="00424BC7" w:rsidP="002E5EEF">
            <w:pPr>
              <w:contextualSpacing/>
              <w:rPr>
                <w:b/>
              </w:rPr>
            </w:pPr>
          </w:p>
        </w:tc>
        <w:tc>
          <w:tcPr>
            <w:tcW w:w="1916" w:type="dxa"/>
            <w:shd w:val="clear" w:color="auto" w:fill="E6E6E6"/>
          </w:tcPr>
          <w:p w14:paraId="1CAE3D68" w14:textId="77777777" w:rsidR="00424BC7" w:rsidRDefault="00424BC7" w:rsidP="002E5EEF">
            <w:pPr>
              <w:contextualSpacing/>
            </w:pPr>
          </w:p>
        </w:tc>
      </w:tr>
    </w:tbl>
    <w:p w14:paraId="540CA880" w14:textId="77777777" w:rsidR="00DE2AF3" w:rsidRDefault="00DE2AF3" w:rsidP="002E5EEF">
      <w:pPr>
        <w:contextualSpacing/>
      </w:pPr>
    </w:p>
    <w:p w14:paraId="04A90720" w14:textId="7A9F319F" w:rsidR="00397098" w:rsidRPr="009B2FE3" w:rsidRDefault="00397098" w:rsidP="002E5EEF">
      <w:pPr>
        <w:adjustRightInd/>
        <w:spacing w:line="276" w:lineRule="auto"/>
        <w:ind w:left="720" w:firstLine="720"/>
        <w:contextualSpacing/>
        <w:rPr>
          <w:b/>
          <w:bCs/>
          <w:i/>
          <w:iCs/>
          <w:sz w:val="24"/>
          <w:szCs w:val="24"/>
        </w:rPr>
      </w:pPr>
      <w:r w:rsidRPr="009B2FE3">
        <w:rPr>
          <w:b/>
          <w:bCs/>
          <w:i/>
          <w:iCs/>
          <w:sz w:val="24"/>
          <w:szCs w:val="24"/>
        </w:rPr>
        <w:t>3.</w:t>
      </w:r>
      <w:r w:rsidR="009B7B22" w:rsidRPr="009B2FE3">
        <w:rPr>
          <w:b/>
          <w:bCs/>
          <w:i/>
          <w:iCs/>
          <w:sz w:val="24"/>
          <w:szCs w:val="24"/>
        </w:rPr>
        <w:t>4</w:t>
      </w:r>
      <w:r w:rsidRPr="009B2FE3">
        <w:rPr>
          <w:b/>
          <w:bCs/>
          <w:i/>
          <w:iCs/>
          <w:sz w:val="24"/>
          <w:szCs w:val="24"/>
        </w:rPr>
        <w:t>.3 ARCs Calculation</w:t>
      </w:r>
    </w:p>
    <w:p w14:paraId="63831B2F" w14:textId="151B3B05" w:rsidR="00397098" w:rsidRDefault="00397098" w:rsidP="002E5EEF">
      <w:pPr>
        <w:keepNext/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The Vendor will compare the Actual Service Area Fees during the applicable calendar month against the ARC </w:t>
      </w:r>
      <w:proofErr w:type="spellStart"/>
      <w:r>
        <w:rPr>
          <w:spacing w:val="-2"/>
          <w:sz w:val="24"/>
          <w:szCs w:val="24"/>
        </w:rPr>
        <w:t>Deadband</w:t>
      </w:r>
      <w:proofErr w:type="spellEnd"/>
      <w:r>
        <w:rPr>
          <w:spacing w:val="-2"/>
          <w:sz w:val="24"/>
          <w:szCs w:val="24"/>
        </w:rPr>
        <w:t xml:space="preserve"> Baseline for such Service Area. </w:t>
      </w:r>
      <w:r w:rsidR="000C2632">
        <w:rPr>
          <w:spacing w:val="-2"/>
          <w:sz w:val="24"/>
          <w:szCs w:val="24"/>
        </w:rPr>
        <w:t xml:space="preserve">Actual Service Area Fees are defined as the sum of monthly actual RU usage multiplied by the RU Unit Price. </w:t>
      </w:r>
      <w:r>
        <w:rPr>
          <w:spacing w:val="-2"/>
          <w:sz w:val="24"/>
          <w:szCs w:val="24"/>
        </w:rPr>
        <w:t xml:space="preserve">If the Actual Service Area Fees for such calendar month do not exceed the ARC </w:t>
      </w:r>
      <w:proofErr w:type="spellStart"/>
      <w:r>
        <w:rPr>
          <w:spacing w:val="-2"/>
          <w:sz w:val="24"/>
          <w:szCs w:val="24"/>
        </w:rPr>
        <w:t>Deadband</w:t>
      </w:r>
      <w:proofErr w:type="spellEnd"/>
      <w:r>
        <w:rPr>
          <w:spacing w:val="-2"/>
          <w:sz w:val="24"/>
          <w:szCs w:val="24"/>
        </w:rPr>
        <w:t xml:space="preserve"> Baseline for the Service Area for such calendar month, there will be no ARC charges imposed for such calendar month. If the Actual </w:t>
      </w:r>
      <w:r>
        <w:rPr>
          <w:sz w:val="24"/>
          <w:szCs w:val="24"/>
        </w:rPr>
        <w:t xml:space="preserve">Service Area Fees exceed the ARC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Baseline for such period, the </w:t>
      </w:r>
      <w:r w:rsidR="0099585C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 will </w:t>
      </w:r>
      <w:r>
        <w:rPr>
          <w:spacing w:val="-4"/>
          <w:sz w:val="24"/>
          <w:szCs w:val="24"/>
        </w:rPr>
        <w:t xml:space="preserve">then pay the Vendor, in addition to the Service Area Baseline Fee, an ARC charge equal to the </w:t>
      </w:r>
      <w:r>
        <w:rPr>
          <w:sz w:val="24"/>
          <w:szCs w:val="24"/>
        </w:rPr>
        <w:t xml:space="preserve">difference between the total Actual Service Area Fees and the ARC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amount.</w:t>
      </w:r>
    </w:p>
    <w:p w14:paraId="44C1ED7D" w14:textId="77777777" w:rsidR="00A41436" w:rsidRDefault="00A41436" w:rsidP="002E5EEF">
      <w:pPr>
        <w:adjustRightInd/>
        <w:spacing w:line="297" w:lineRule="auto"/>
        <w:ind w:left="720" w:firstLine="720"/>
        <w:contextualSpacing/>
        <w:rPr>
          <w:b/>
          <w:bCs/>
          <w:i/>
          <w:iCs/>
          <w:spacing w:val="1"/>
          <w:sz w:val="24"/>
          <w:szCs w:val="24"/>
        </w:rPr>
      </w:pPr>
    </w:p>
    <w:p w14:paraId="37B6BBA2" w14:textId="043D7519" w:rsidR="00397098" w:rsidRPr="00B17A29" w:rsidRDefault="00397098" w:rsidP="002E5EEF">
      <w:pPr>
        <w:adjustRightInd/>
        <w:spacing w:line="297" w:lineRule="auto"/>
        <w:ind w:left="720" w:firstLine="720"/>
        <w:contextualSpacing/>
        <w:rPr>
          <w:b/>
          <w:bCs/>
          <w:i/>
          <w:iCs/>
          <w:spacing w:val="1"/>
          <w:sz w:val="24"/>
          <w:szCs w:val="24"/>
        </w:rPr>
      </w:pPr>
      <w:r w:rsidRPr="00B17A29">
        <w:rPr>
          <w:b/>
          <w:bCs/>
          <w:i/>
          <w:iCs/>
          <w:spacing w:val="1"/>
          <w:sz w:val="24"/>
          <w:szCs w:val="24"/>
        </w:rPr>
        <w:t>3.</w:t>
      </w:r>
      <w:r w:rsidR="009B7B22" w:rsidRPr="00B17A29">
        <w:rPr>
          <w:b/>
          <w:bCs/>
          <w:i/>
          <w:iCs/>
          <w:spacing w:val="1"/>
          <w:sz w:val="24"/>
          <w:szCs w:val="24"/>
        </w:rPr>
        <w:t>4</w:t>
      </w:r>
      <w:r w:rsidRPr="00B17A29">
        <w:rPr>
          <w:b/>
          <w:bCs/>
          <w:i/>
          <w:iCs/>
          <w:spacing w:val="1"/>
          <w:sz w:val="24"/>
          <w:szCs w:val="24"/>
        </w:rPr>
        <w:t>.4 Reduced Resource Credits (RRCs)</w:t>
      </w:r>
    </w:p>
    <w:p w14:paraId="7848FC5B" w14:textId="622E7111" w:rsidR="00397098" w:rsidRDefault="00397098" w:rsidP="002E5EEF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is expressed as a percentage amount and is set forth in the RRC </w:t>
      </w:r>
      <w:proofErr w:type="spellStart"/>
      <w:r>
        <w:rPr>
          <w:spacing w:val="5"/>
          <w:sz w:val="24"/>
          <w:szCs w:val="24"/>
        </w:rPr>
        <w:t>Deadband</w:t>
      </w:r>
      <w:proofErr w:type="spellEnd"/>
      <w:r>
        <w:rPr>
          <w:spacing w:val="5"/>
          <w:sz w:val="24"/>
          <w:szCs w:val="24"/>
        </w:rPr>
        <w:t xml:space="preserve"> Table that is provided for each Service Area. For the purposes hereof, the RRC </w:t>
      </w:r>
      <w:proofErr w:type="spellStart"/>
      <w:r>
        <w:rPr>
          <w:spacing w:val="4"/>
          <w:sz w:val="24"/>
          <w:szCs w:val="24"/>
        </w:rPr>
        <w:t>Deadband</w:t>
      </w:r>
      <w:proofErr w:type="spellEnd"/>
      <w:r>
        <w:rPr>
          <w:spacing w:val="4"/>
          <w:sz w:val="24"/>
          <w:szCs w:val="24"/>
        </w:rPr>
        <w:t xml:space="preserve"> means the percentage below the </w:t>
      </w:r>
      <w:r w:rsidR="00EF5672">
        <w:rPr>
          <w:spacing w:val="4"/>
          <w:sz w:val="24"/>
          <w:szCs w:val="24"/>
        </w:rPr>
        <w:t>b</w:t>
      </w:r>
      <w:r>
        <w:rPr>
          <w:spacing w:val="4"/>
          <w:sz w:val="24"/>
          <w:szCs w:val="24"/>
        </w:rPr>
        <w:t xml:space="preserve">aseline </w:t>
      </w:r>
      <w:r w:rsidR="00EF5672">
        <w:rPr>
          <w:spacing w:val="4"/>
          <w:sz w:val="24"/>
          <w:szCs w:val="24"/>
        </w:rPr>
        <w:t xml:space="preserve">quantity </w:t>
      </w:r>
      <w:r>
        <w:rPr>
          <w:spacing w:val="4"/>
          <w:sz w:val="24"/>
          <w:szCs w:val="24"/>
        </w:rPr>
        <w:t xml:space="preserve">within which RRCs will not apply, and </w:t>
      </w:r>
      <w:r>
        <w:rPr>
          <w:sz w:val="24"/>
          <w:szCs w:val="24"/>
        </w:rPr>
        <w:t>below which RRCs will apply.</w:t>
      </w:r>
    </w:p>
    <w:p w14:paraId="230FE831" w14:textId="77777777" w:rsidR="00A41436" w:rsidRDefault="00A41436" w:rsidP="002E5EEF">
      <w:pPr>
        <w:adjustRightInd/>
        <w:spacing w:line="276" w:lineRule="auto"/>
        <w:ind w:left="720" w:firstLine="720"/>
        <w:contextualSpacing/>
        <w:rPr>
          <w:b/>
          <w:bCs/>
          <w:i/>
          <w:iCs/>
          <w:sz w:val="24"/>
          <w:szCs w:val="24"/>
        </w:rPr>
      </w:pPr>
    </w:p>
    <w:p w14:paraId="23062C57" w14:textId="5EC0BC97" w:rsidR="00397098" w:rsidRPr="00B17A29" w:rsidRDefault="00397098" w:rsidP="002E5EEF">
      <w:pPr>
        <w:adjustRightInd/>
        <w:spacing w:line="276" w:lineRule="auto"/>
        <w:ind w:left="720" w:firstLine="720"/>
        <w:contextualSpacing/>
        <w:rPr>
          <w:b/>
          <w:bCs/>
          <w:i/>
          <w:iCs/>
          <w:sz w:val="24"/>
          <w:szCs w:val="24"/>
        </w:rPr>
      </w:pPr>
      <w:r w:rsidRPr="00B17A29">
        <w:rPr>
          <w:b/>
          <w:bCs/>
          <w:i/>
          <w:iCs/>
          <w:sz w:val="24"/>
          <w:szCs w:val="24"/>
        </w:rPr>
        <w:t>3.</w:t>
      </w:r>
      <w:r w:rsidR="009B7B22" w:rsidRPr="00B17A29">
        <w:rPr>
          <w:b/>
          <w:bCs/>
          <w:i/>
          <w:iCs/>
          <w:sz w:val="24"/>
          <w:szCs w:val="24"/>
        </w:rPr>
        <w:t>4</w:t>
      </w:r>
      <w:r w:rsidRPr="00B17A29">
        <w:rPr>
          <w:b/>
          <w:bCs/>
          <w:i/>
          <w:iCs/>
          <w:sz w:val="24"/>
          <w:szCs w:val="24"/>
        </w:rPr>
        <w:t xml:space="preserve">.5 RRC </w:t>
      </w:r>
      <w:proofErr w:type="spellStart"/>
      <w:r w:rsidRPr="00B17A29">
        <w:rPr>
          <w:b/>
          <w:bCs/>
          <w:i/>
          <w:iCs/>
          <w:sz w:val="24"/>
          <w:szCs w:val="24"/>
        </w:rPr>
        <w:t>Deadband</w:t>
      </w:r>
      <w:proofErr w:type="spellEnd"/>
      <w:r w:rsidRPr="00B17A29">
        <w:rPr>
          <w:b/>
          <w:bCs/>
          <w:i/>
          <w:iCs/>
          <w:sz w:val="24"/>
          <w:szCs w:val="24"/>
        </w:rPr>
        <w:t xml:space="preserve"> Table</w:t>
      </w:r>
    </w:p>
    <w:p w14:paraId="3EDFD40E" w14:textId="6E66ABFE" w:rsidR="00A32636" w:rsidRDefault="00397098" w:rsidP="002E5EEF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The following RRC </w:t>
      </w:r>
      <w:proofErr w:type="spellStart"/>
      <w:r>
        <w:rPr>
          <w:spacing w:val="8"/>
          <w:sz w:val="24"/>
          <w:szCs w:val="24"/>
        </w:rPr>
        <w:t>Deadband</w:t>
      </w:r>
      <w:proofErr w:type="spellEnd"/>
      <w:r>
        <w:rPr>
          <w:spacing w:val="8"/>
          <w:sz w:val="24"/>
          <w:szCs w:val="24"/>
        </w:rPr>
        <w:t xml:space="preserve"> Table identifies the factors that are to be used in </w:t>
      </w:r>
      <w:r>
        <w:rPr>
          <w:spacing w:val="10"/>
          <w:sz w:val="24"/>
          <w:szCs w:val="24"/>
        </w:rPr>
        <w:t xml:space="preserve">calculating RRCs for each of the Service Areas. The RRC </w:t>
      </w:r>
      <w:proofErr w:type="spellStart"/>
      <w:r>
        <w:rPr>
          <w:spacing w:val="10"/>
          <w:sz w:val="24"/>
          <w:szCs w:val="24"/>
        </w:rPr>
        <w:t>Deadband</w:t>
      </w:r>
      <w:proofErr w:type="spellEnd"/>
      <w:r>
        <w:rPr>
          <w:spacing w:val="10"/>
          <w:sz w:val="24"/>
          <w:szCs w:val="24"/>
        </w:rPr>
        <w:t xml:space="preserve"> is calculated by </w:t>
      </w:r>
      <w:r>
        <w:rPr>
          <w:sz w:val="24"/>
          <w:szCs w:val="24"/>
        </w:rPr>
        <w:t xml:space="preserve">multiplying the Baseline Fee by the sum of 1.00 less the RRC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percentage.</w:t>
      </w:r>
      <w:r w:rsidR="000C2632">
        <w:rPr>
          <w:sz w:val="24"/>
          <w:szCs w:val="24"/>
        </w:rPr>
        <w:t xml:space="preserve"> For example, if the </w:t>
      </w:r>
      <w:r w:rsidR="002D22C4">
        <w:rPr>
          <w:sz w:val="24"/>
          <w:szCs w:val="24"/>
        </w:rPr>
        <w:t>RRC</w:t>
      </w:r>
      <w:r w:rsidR="000C2632">
        <w:rPr>
          <w:sz w:val="24"/>
          <w:szCs w:val="24"/>
        </w:rPr>
        <w:t xml:space="preserve"> </w:t>
      </w:r>
      <w:proofErr w:type="spellStart"/>
      <w:r w:rsidR="000C2632">
        <w:rPr>
          <w:sz w:val="24"/>
          <w:szCs w:val="24"/>
        </w:rPr>
        <w:t>Deadband</w:t>
      </w:r>
      <w:proofErr w:type="spellEnd"/>
      <w:r w:rsidR="000C2632">
        <w:rPr>
          <w:sz w:val="24"/>
          <w:szCs w:val="24"/>
        </w:rPr>
        <w:t xml:space="preserve"> percentage is 5%, then the </w:t>
      </w:r>
      <w:r w:rsidR="002D22C4">
        <w:rPr>
          <w:sz w:val="24"/>
          <w:szCs w:val="24"/>
        </w:rPr>
        <w:t xml:space="preserve">RRC </w:t>
      </w:r>
      <w:proofErr w:type="spellStart"/>
      <w:r w:rsidR="000C2632">
        <w:rPr>
          <w:sz w:val="24"/>
          <w:szCs w:val="24"/>
        </w:rPr>
        <w:t>Deadband</w:t>
      </w:r>
      <w:proofErr w:type="spellEnd"/>
      <w:r w:rsidR="000C2632">
        <w:rPr>
          <w:sz w:val="24"/>
          <w:szCs w:val="24"/>
        </w:rPr>
        <w:t xml:space="preserve"> is equal to Baseline Fee x (1.00 - 0.05). </w:t>
      </w:r>
    </w:p>
    <w:p w14:paraId="2BD6FDBF" w14:textId="77777777" w:rsidR="00A32636" w:rsidRDefault="00A32636" w:rsidP="002E5EEF">
      <w:pPr>
        <w:adjustRightInd/>
        <w:ind w:firstLine="1440"/>
        <w:contextualSpacing/>
        <w:jc w:val="both"/>
        <w:rPr>
          <w:sz w:val="24"/>
          <w:szCs w:val="24"/>
        </w:rPr>
      </w:pPr>
    </w:p>
    <w:p w14:paraId="71D14800" w14:textId="77777777" w:rsidR="00397098" w:rsidRDefault="007E20C1" w:rsidP="002E5EEF">
      <w:pPr>
        <w:adjustRightInd/>
        <w:ind w:firstLine="144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</w:t>
      </w:r>
      <w:r w:rsidR="00397098">
        <w:rPr>
          <w:b/>
          <w:bCs/>
          <w:sz w:val="24"/>
          <w:szCs w:val="24"/>
        </w:rPr>
        <w:t>ble 3.</w:t>
      </w:r>
      <w:r w:rsidR="00397098">
        <w:rPr>
          <w:b/>
          <w:bCs/>
          <w:sz w:val="24"/>
          <w:szCs w:val="24"/>
        </w:rPr>
        <w:tab/>
        <w:t xml:space="preserve">RRC </w:t>
      </w:r>
      <w:proofErr w:type="spellStart"/>
      <w:r w:rsidR="00397098">
        <w:rPr>
          <w:b/>
          <w:bCs/>
          <w:sz w:val="24"/>
          <w:szCs w:val="24"/>
        </w:rPr>
        <w:t>Deadband</w:t>
      </w:r>
      <w:proofErr w:type="spellEnd"/>
      <w:r w:rsidR="00397098">
        <w:rPr>
          <w:b/>
          <w:bCs/>
          <w:sz w:val="24"/>
          <w:szCs w:val="24"/>
        </w:rPr>
        <w:t xml:space="preserve"> Table</w:t>
      </w:r>
    </w:p>
    <w:tbl>
      <w:tblPr>
        <w:tblW w:w="0" w:type="auto"/>
        <w:tblInd w:w="167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16"/>
      </w:tblGrid>
      <w:tr w:rsidR="0000710E" w:rsidRPr="0000710E" w14:paraId="4F79CFC4" w14:textId="77777777" w:rsidTr="0000710E">
        <w:tc>
          <w:tcPr>
            <w:tcW w:w="4320" w:type="dxa"/>
            <w:tcBorders>
              <w:top w:val="single" w:sz="24" w:space="0" w:color="auto"/>
              <w:bottom w:val="nil"/>
            </w:tcBorders>
            <w:shd w:val="clear" w:color="auto" w:fill="E6E6E6"/>
          </w:tcPr>
          <w:p w14:paraId="04C40A03" w14:textId="77777777" w:rsidR="0000710E" w:rsidRPr="0000710E" w:rsidRDefault="0000710E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E6E6E6"/>
          </w:tcPr>
          <w:p w14:paraId="6FC0B8AE" w14:textId="77777777" w:rsidR="0000710E" w:rsidRPr="0000710E" w:rsidRDefault="0000710E" w:rsidP="002E5EEF">
            <w:pPr>
              <w:keepNext/>
              <w:keepLines/>
              <w:ind w:left="86"/>
              <w:contextualSpacing/>
              <w:jc w:val="center"/>
              <w:rPr>
                <w:b/>
                <w:sz w:val="24"/>
                <w:szCs w:val="24"/>
              </w:rPr>
            </w:pPr>
            <w:r w:rsidRPr="0000710E">
              <w:rPr>
                <w:b/>
                <w:sz w:val="24"/>
                <w:szCs w:val="24"/>
              </w:rPr>
              <w:t xml:space="preserve">RRC </w:t>
            </w:r>
            <w:proofErr w:type="spellStart"/>
            <w:r w:rsidRPr="0000710E">
              <w:rPr>
                <w:b/>
                <w:sz w:val="24"/>
                <w:szCs w:val="24"/>
              </w:rPr>
              <w:t>Deadband</w:t>
            </w:r>
            <w:proofErr w:type="spellEnd"/>
          </w:p>
        </w:tc>
      </w:tr>
      <w:tr w:rsidR="0000710E" w:rsidRPr="0000710E" w14:paraId="3F64DDA2" w14:textId="77777777" w:rsidTr="0000710E">
        <w:tc>
          <w:tcPr>
            <w:tcW w:w="4320" w:type="dxa"/>
            <w:tcBorders>
              <w:top w:val="nil"/>
              <w:bottom w:val="single" w:sz="18" w:space="0" w:color="auto"/>
            </w:tcBorders>
            <w:shd w:val="clear" w:color="auto" w:fill="E6E6E6"/>
          </w:tcPr>
          <w:p w14:paraId="0F24630E" w14:textId="77777777" w:rsidR="0000710E" w:rsidRPr="0000710E" w:rsidRDefault="0000710E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18" w:space="0" w:color="auto"/>
            </w:tcBorders>
            <w:shd w:val="clear" w:color="auto" w:fill="E6E6E6"/>
          </w:tcPr>
          <w:p w14:paraId="01F8C331" w14:textId="77777777" w:rsidR="0000710E" w:rsidRPr="0000710E" w:rsidRDefault="0000710E" w:rsidP="002E5EEF">
            <w:pPr>
              <w:keepNext/>
              <w:keepLines/>
              <w:ind w:left="86"/>
              <w:contextualSpacing/>
              <w:jc w:val="center"/>
              <w:rPr>
                <w:b/>
                <w:sz w:val="24"/>
                <w:szCs w:val="24"/>
              </w:rPr>
            </w:pPr>
            <w:r w:rsidRPr="0000710E">
              <w:rPr>
                <w:b/>
                <w:sz w:val="24"/>
                <w:szCs w:val="24"/>
              </w:rPr>
              <w:t xml:space="preserve">% </w:t>
            </w:r>
            <w:proofErr w:type="gramStart"/>
            <w:r w:rsidRPr="0000710E">
              <w:rPr>
                <w:b/>
                <w:sz w:val="24"/>
                <w:szCs w:val="24"/>
              </w:rPr>
              <w:t>of</w:t>
            </w:r>
            <w:proofErr w:type="gramEnd"/>
            <w:r w:rsidRPr="0000710E">
              <w:rPr>
                <w:b/>
                <w:sz w:val="24"/>
                <w:szCs w:val="24"/>
              </w:rPr>
              <w:t xml:space="preserve"> Baseline</w:t>
            </w:r>
          </w:p>
        </w:tc>
      </w:tr>
      <w:tr w:rsidR="0000710E" w:rsidRPr="0000710E" w14:paraId="6F692AB6" w14:textId="77777777" w:rsidTr="0000710E"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1B97577D" w14:textId="5B903A2F" w:rsidR="0000710E" w:rsidRPr="0000710E" w:rsidRDefault="00C75095" w:rsidP="002E5EEF">
            <w:pPr>
              <w:keepNext/>
              <w:keepLines/>
              <w:ind w:left="86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Service </w:t>
            </w:r>
            <w:r w:rsidR="0000710E" w:rsidRPr="0000710E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1916" w:type="dxa"/>
            <w:tcBorders>
              <w:top w:val="single" w:sz="18" w:space="0" w:color="auto"/>
            </w:tcBorders>
            <w:shd w:val="clear" w:color="auto" w:fill="E6E6E6"/>
          </w:tcPr>
          <w:p w14:paraId="18041368" w14:textId="77777777" w:rsidR="0000710E" w:rsidRPr="0000710E" w:rsidRDefault="0000710E" w:rsidP="002E5EEF">
            <w:pPr>
              <w:keepNext/>
              <w:keepLines/>
              <w:ind w:left="86"/>
              <w:contextualSpacing/>
              <w:rPr>
                <w:sz w:val="24"/>
                <w:szCs w:val="24"/>
              </w:rPr>
            </w:pPr>
          </w:p>
        </w:tc>
      </w:tr>
      <w:tr w:rsidR="0000710E" w:rsidRPr="0000710E" w14:paraId="1B458DE3" w14:textId="77777777" w:rsidTr="0000710E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30986F38" w14:textId="77777777" w:rsidR="0000710E" w:rsidRPr="0000710E" w:rsidRDefault="0000710E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62EF8EC9" w14:textId="77777777" w:rsidR="0000710E" w:rsidRPr="0000710E" w:rsidRDefault="0000710E" w:rsidP="002E5EEF">
            <w:pPr>
              <w:keepNext/>
              <w:keepLines/>
              <w:ind w:left="8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710E" w:rsidRPr="0000710E" w14:paraId="1A98D343" w14:textId="77777777" w:rsidTr="0000710E"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10146" w14:textId="1C18C4D9" w:rsidR="0000710E" w:rsidRPr="0000710E" w:rsidRDefault="0000710E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  <w:r w:rsidRPr="0000710E">
              <w:rPr>
                <w:b/>
                <w:sz w:val="24"/>
                <w:szCs w:val="24"/>
              </w:rPr>
              <w:t xml:space="preserve">Data Center </w:t>
            </w:r>
            <w:r w:rsidR="00AC185F">
              <w:rPr>
                <w:b/>
                <w:sz w:val="24"/>
                <w:szCs w:val="24"/>
              </w:rPr>
              <w:t xml:space="preserve">Operational </w:t>
            </w:r>
            <w:r w:rsidRPr="0000710E">
              <w:rPr>
                <w:b/>
                <w:sz w:val="24"/>
                <w:szCs w:val="24"/>
              </w:rPr>
              <w:t>Services</w:t>
            </w:r>
          </w:p>
        </w:tc>
        <w:tc>
          <w:tcPr>
            <w:tcW w:w="1916" w:type="dxa"/>
          </w:tcPr>
          <w:p w14:paraId="627AC307" w14:textId="77777777" w:rsidR="0000710E" w:rsidRPr="0000710E" w:rsidRDefault="0000710E" w:rsidP="002E5EEF">
            <w:pPr>
              <w:keepNext/>
              <w:keepLines/>
              <w:ind w:left="86"/>
              <w:contextualSpacing/>
              <w:jc w:val="center"/>
              <w:rPr>
                <w:sz w:val="24"/>
                <w:szCs w:val="24"/>
              </w:rPr>
            </w:pPr>
            <w:r w:rsidRPr="0000710E">
              <w:rPr>
                <w:sz w:val="24"/>
                <w:szCs w:val="24"/>
              </w:rPr>
              <w:t>5%</w:t>
            </w:r>
          </w:p>
        </w:tc>
      </w:tr>
      <w:tr w:rsidR="0000710E" w:rsidRPr="0000710E" w14:paraId="21EEF9CD" w14:textId="77777777" w:rsidTr="0000710E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73ED8482" w14:textId="77777777" w:rsidR="0000710E" w:rsidRPr="0000710E" w:rsidRDefault="0000710E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7A0160E4" w14:textId="77777777" w:rsidR="0000710E" w:rsidRPr="0000710E" w:rsidRDefault="0000710E" w:rsidP="002E5EEF">
            <w:pPr>
              <w:keepNext/>
              <w:keepLines/>
              <w:ind w:left="86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F5672" w:rsidRPr="0000710E" w14:paraId="2FC50E03" w14:textId="77777777" w:rsidTr="0000710E"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F1E165" w14:textId="5CF18356" w:rsidR="00EF5672" w:rsidRPr="0000710E" w:rsidRDefault="00EF5672" w:rsidP="002E5EEF">
            <w:pPr>
              <w:keepNext/>
              <w:keepLines/>
              <w:ind w:left="86"/>
              <w:contextualSpacing/>
              <w:rPr>
                <w:b/>
                <w:sz w:val="24"/>
                <w:szCs w:val="24"/>
              </w:rPr>
            </w:pPr>
            <w:r w:rsidRPr="0000710E">
              <w:rPr>
                <w:b/>
                <w:sz w:val="24"/>
                <w:szCs w:val="24"/>
              </w:rPr>
              <w:t>Data Network Management Services</w:t>
            </w:r>
          </w:p>
        </w:tc>
        <w:tc>
          <w:tcPr>
            <w:tcW w:w="1916" w:type="dxa"/>
          </w:tcPr>
          <w:p w14:paraId="4560DB2C" w14:textId="38485189" w:rsidR="00EF5672" w:rsidRPr="0000710E" w:rsidRDefault="00EF5672" w:rsidP="002E5EEF">
            <w:pPr>
              <w:keepNext/>
              <w:keepLines/>
              <w:ind w:left="86"/>
              <w:contextualSpacing/>
              <w:jc w:val="center"/>
              <w:rPr>
                <w:sz w:val="24"/>
                <w:szCs w:val="24"/>
              </w:rPr>
            </w:pPr>
            <w:r w:rsidRPr="0000710E">
              <w:rPr>
                <w:sz w:val="24"/>
                <w:szCs w:val="24"/>
              </w:rPr>
              <w:t>5%</w:t>
            </w:r>
          </w:p>
        </w:tc>
      </w:tr>
      <w:tr w:rsidR="00EF5672" w:rsidRPr="0000710E" w14:paraId="040B3B69" w14:textId="77777777" w:rsidTr="0000710E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35B75990" w14:textId="77777777" w:rsidR="00EF5672" w:rsidRPr="0000710E" w:rsidRDefault="00EF5672" w:rsidP="002E5EEF">
            <w:pPr>
              <w:keepNext/>
              <w:keepLines/>
              <w:ind w:left="9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55F3C64C" w14:textId="77777777" w:rsidR="00EF5672" w:rsidRPr="0000710E" w:rsidRDefault="00EF5672" w:rsidP="002E5EEF">
            <w:pPr>
              <w:keepNext/>
              <w:keepLines/>
              <w:ind w:left="9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F5672" w:rsidRPr="0000710E" w14:paraId="169EA80A" w14:textId="77777777" w:rsidTr="0000710E"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2F0E7" w14:textId="5676BF8B" w:rsidR="00EF5672" w:rsidRPr="0000710E" w:rsidRDefault="00EF5672" w:rsidP="002E5EEF">
            <w:pPr>
              <w:keepNext/>
              <w:keepLines/>
              <w:ind w:left="9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 Service Management</w:t>
            </w:r>
          </w:p>
        </w:tc>
        <w:tc>
          <w:tcPr>
            <w:tcW w:w="1916" w:type="dxa"/>
          </w:tcPr>
          <w:p w14:paraId="2C10ABE1" w14:textId="5FB77AEA" w:rsidR="00EF5672" w:rsidRPr="0000710E" w:rsidRDefault="00EF5672" w:rsidP="002E5EEF">
            <w:pPr>
              <w:keepNext/>
              <w:keepLines/>
              <w:ind w:left="9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</w:tr>
      <w:tr w:rsidR="00EF5672" w:rsidRPr="0000710E" w14:paraId="73ED5EBE" w14:textId="77777777" w:rsidTr="0000710E">
        <w:trPr>
          <w:trHeight w:hRule="exact" w:val="144"/>
        </w:trPr>
        <w:tc>
          <w:tcPr>
            <w:tcW w:w="4320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E6E6E6"/>
          </w:tcPr>
          <w:p w14:paraId="3E775450" w14:textId="77777777" w:rsidR="00EF5672" w:rsidRPr="0000710E" w:rsidRDefault="00EF5672" w:rsidP="002E5EEF">
            <w:pPr>
              <w:ind w:left="9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E6E6E6"/>
          </w:tcPr>
          <w:p w14:paraId="02EA5C8E" w14:textId="77777777" w:rsidR="00EF5672" w:rsidRPr="0000710E" w:rsidRDefault="00EF5672" w:rsidP="002E5EEF">
            <w:pPr>
              <w:ind w:left="90"/>
              <w:contextualSpacing/>
              <w:rPr>
                <w:sz w:val="24"/>
                <w:szCs w:val="24"/>
              </w:rPr>
            </w:pPr>
          </w:p>
        </w:tc>
      </w:tr>
    </w:tbl>
    <w:p w14:paraId="4B1362B0" w14:textId="77777777" w:rsidR="008B7E7D" w:rsidRDefault="008B7E7D" w:rsidP="002E5EEF">
      <w:pPr>
        <w:adjustRightInd/>
        <w:spacing w:line="314" w:lineRule="auto"/>
        <w:ind w:left="720" w:firstLine="720"/>
        <w:contextualSpacing/>
        <w:rPr>
          <w:b/>
          <w:bCs/>
          <w:spacing w:val="1"/>
          <w:sz w:val="24"/>
          <w:szCs w:val="24"/>
        </w:rPr>
      </w:pPr>
    </w:p>
    <w:p w14:paraId="745890D7" w14:textId="58518976" w:rsidR="00397098" w:rsidRPr="008B7E7D" w:rsidRDefault="00397098" w:rsidP="002E5EEF">
      <w:pPr>
        <w:adjustRightInd/>
        <w:spacing w:line="314" w:lineRule="auto"/>
        <w:ind w:left="720" w:firstLine="720"/>
        <w:contextualSpacing/>
        <w:rPr>
          <w:b/>
          <w:bCs/>
          <w:i/>
          <w:iCs/>
          <w:spacing w:val="1"/>
          <w:sz w:val="24"/>
          <w:szCs w:val="24"/>
        </w:rPr>
      </w:pPr>
      <w:r w:rsidRPr="008B7E7D">
        <w:rPr>
          <w:b/>
          <w:bCs/>
          <w:i/>
          <w:iCs/>
          <w:spacing w:val="1"/>
          <w:sz w:val="24"/>
          <w:szCs w:val="24"/>
        </w:rPr>
        <w:t>3.</w:t>
      </w:r>
      <w:r w:rsidR="009B7B22" w:rsidRPr="008B7E7D">
        <w:rPr>
          <w:b/>
          <w:bCs/>
          <w:i/>
          <w:iCs/>
          <w:spacing w:val="1"/>
          <w:sz w:val="24"/>
          <w:szCs w:val="24"/>
        </w:rPr>
        <w:t>4</w:t>
      </w:r>
      <w:r w:rsidRPr="008B7E7D">
        <w:rPr>
          <w:b/>
          <w:bCs/>
          <w:i/>
          <w:iCs/>
          <w:spacing w:val="1"/>
          <w:sz w:val="24"/>
          <w:szCs w:val="24"/>
        </w:rPr>
        <w:t>.6 Reduced Resource Charges (RRCs) Calculation</w:t>
      </w:r>
    </w:p>
    <w:p w14:paraId="04B97594" w14:textId="1C972365" w:rsidR="00397098" w:rsidRDefault="00397098" w:rsidP="002E5EEF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The Vendor will compare the Actual Service Area Fees during the applicable calendar </w:t>
      </w:r>
      <w:r>
        <w:rPr>
          <w:spacing w:val="5"/>
          <w:sz w:val="24"/>
          <w:szCs w:val="24"/>
        </w:rPr>
        <w:t xml:space="preserve">month against the RRC </w:t>
      </w:r>
      <w:proofErr w:type="spellStart"/>
      <w:r>
        <w:rPr>
          <w:spacing w:val="5"/>
          <w:sz w:val="24"/>
          <w:szCs w:val="24"/>
        </w:rPr>
        <w:t>Deadband</w:t>
      </w:r>
      <w:proofErr w:type="spellEnd"/>
      <w:r>
        <w:rPr>
          <w:spacing w:val="5"/>
          <w:sz w:val="24"/>
          <w:szCs w:val="24"/>
        </w:rPr>
        <w:t xml:space="preserve"> Baseline for such Service Area. If the Actual Service Area </w:t>
      </w:r>
      <w:r>
        <w:rPr>
          <w:spacing w:val="1"/>
          <w:sz w:val="24"/>
          <w:szCs w:val="24"/>
        </w:rPr>
        <w:t xml:space="preserve">Fees for such calendar month are not less than the RRC </w:t>
      </w:r>
      <w:proofErr w:type="spellStart"/>
      <w:r>
        <w:rPr>
          <w:spacing w:val="1"/>
          <w:sz w:val="24"/>
          <w:szCs w:val="24"/>
        </w:rPr>
        <w:t>Deadband</w:t>
      </w:r>
      <w:proofErr w:type="spellEnd"/>
      <w:r>
        <w:rPr>
          <w:spacing w:val="1"/>
          <w:sz w:val="24"/>
          <w:szCs w:val="24"/>
        </w:rPr>
        <w:t xml:space="preserve"> Baseline for the Service </w:t>
      </w:r>
      <w:r w:rsidR="006E4106">
        <w:rPr>
          <w:spacing w:val="1"/>
          <w:sz w:val="24"/>
          <w:szCs w:val="24"/>
        </w:rPr>
        <w:t>Area,</w:t>
      </w:r>
      <w:r>
        <w:rPr>
          <w:spacing w:val="1"/>
          <w:sz w:val="24"/>
          <w:szCs w:val="24"/>
        </w:rPr>
        <w:t xml:space="preserve"> then there will be no RRC credits provided for such calendar month. If the Actual Service Area Fees are less than the RRC </w:t>
      </w:r>
      <w:proofErr w:type="spellStart"/>
      <w:r>
        <w:rPr>
          <w:spacing w:val="1"/>
          <w:sz w:val="24"/>
          <w:szCs w:val="24"/>
        </w:rPr>
        <w:t>Deadband</w:t>
      </w:r>
      <w:proofErr w:type="spellEnd"/>
      <w:r>
        <w:rPr>
          <w:spacing w:val="1"/>
          <w:sz w:val="24"/>
          <w:szCs w:val="24"/>
        </w:rPr>
        <w:t xml:space="preserve"> Baseline for such period, the Vendor will give </w:t>
      </w:r>
      <w:r w:rsidR="0099585C">
        <w:rPr>
          <w:spacing w:val="1"/>
          <w:sz w:val="24"/>
          <w:szCs w:val="24"/>
        </w:rPr>
        <w:t>Judicial Council</w:t>
      </w:r>
      <w:r>
        <w:rPr>
          <w:spacing w:val="4"/>
          <w:sz w:val="24"/>
          <w:szCs w:val="24"/>
        </w:rPr>
        <w:t xml:space="preserve"> an RRC credit against current or future fees (or, if no future fees will be due, make </w:t>
      </w:r>
      <w:r>
        <w:rPr>
          <w:spacing w:val="-1"/>
          <w:sz w:val="24"/>
          <w:szCs w:val="24"/>
        </w:rPr>
        <w:t xml:space="preserve">payment to </w:t>
      </w:r>
      <w:r w:rsidR="0099585C">
        <w:rPr>
          <w:spacing w:val="-1"/>
          <w:sz w:val="24"/>
          <w:szCs w:val="24"/>
        </w:rPr>
        <w:t xml:space="preserve">Judicial </w:t>
      </w:r>
      <w:r w:rsidR="0099585C">
        <w:rPr>
          <w:spacing w:val="-1"/>
          <w:sz w:val="24"/>
          <w:szCs w:val="24"/>
        </w:rPr>
        <w:lastRenderedPageBreak/>
        <w:t>Council</w:t>
      </w:r>
      <w:r>
        <w:rPr>
          <w:spacing w:val="-1"/>
          <w:sz w:val="24"/>
          <w:szCs w:val="24"/>
        </w:rPr>
        <w:t xml:space="preserve">) that is equal </w:t>
      </w:r>
      <w:r w:rsidR="00A87E79">
        <w:rPr>
          <w:spacing w:val="-1"/>
          <w:sz w:val="24"/>
          <w:szCs w:val="24"/>
        </w:rPr>
        <w:t xml:space="preserve">to the </w:t>
      </w:r>
      <w:r>
        <w:rPr>
          <w:spacing w:val="-1"/>
          <w:sz w:val="24"/>
          <w:szCs w:val="24"/>
        </w:rPr>
        <w:t xml:space="preserve">difference between the total </w:t>
      </w:r>
      <w:r w:rsidR="00C862E0">
        <w:rPr>
          <w:spacing w:val="-1"/>
          <w:sz w:val="24"/>
          <w:szCs w:val="24"/>
        </w:rPr>
        <w:t xml:space="preserve">Actual </w:t>
      </w:r>
      <w:r>
        <w:rPr>
          <w:spacing w:val="-1"/>
          <w:sz w:val="24"/>
          <w:szCs w:val="24"/>
        </w:rPr>
        <w:t xml:space="preserve">Service Area </w:t>
      </w:r>
      <w:r w:rsidR="00C862E0">
        <w:rPr>
          <w:spacing w:val="-1"/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ees and the </w:t>
      </w:r>
      <w:r>
        <w:rPr>
          <w:sz w:val="24"/>
          <w:szCs w:val="24"/>
        </w:rPr>
        <w:t xml:space="preserve">RRC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amount.</w:t>
      </w:r>
    </w:p>
    <w:p w14:paraId="123379FE" w14:textId="77777777" w:rsidR="008B7E7D" w:rsidRDefault="008B7E7D" w:rsidP="002E5EEF">
      <w:pPr>
        <w:adjustRightInd/>
        <w:ind w:left="1440"/>
        <w:contextualSpacing/>
        <w:jc w:val="both"/>
        <w:rPr>
          <w:sz w:val="24"/>
          <w:szCs w:val="24"/>
        </w:rPr>
      </w:pPr>
    </w:p>
    <w:p w14:paraId="59E070C7" w14:textId="77777777" w:rsidR="008E63C1" w:rsidRDefault="00397098" w:rsidP="002E5EEF">
      <w:pPr>
        <w:adjustRightInd/>
        <w:spacing w:line="302" w:lineRule="auto"/>
        <w:ind w:left="792" w:firstLine="648"/>
        <w:contextualSpacing/>
        <w:rPr>
          <w:sz w:val="24"/>
          <w:szCs w:val="24"/>
        </w:rPr>
      </w:pPr>
      <w:r>
        <w:rPr>
          <w:sz w:val="24"/>
          <w:szCs w:val="24"/>
        </w:rPr>
        <w:t>The following table provides an example of the ARC and RRC calculation:</w:t>
      </w:r>
    </w:p>
    <w:p w14:paraId="5F07093A" w14:textId="77777777" w:rsidR="00E634C4" w:rsidRDefault="00E634C4" w:rsidP="002E5EEF">
      <w:pPr>
        <w:adjustRightInd/>
        <w:spacing w:line="302" w:lineRule="auto"/>
        <w:ind w:left="792" w:firstLine="648"/>
        <w:contextualSpacing/>
        <w:rPr>
          <w:sz w:val="24"/>
          <w:szCs w:val="24"/>
        </w:rPr>
      </w:pPr>
    </w:p>
    <w:p w14:paraId="12535D1C" w14:textId="77777777" w:rsidR="00397098" w:rsidRDefault="00397098" w:rsidP="002E5EEF">
      <w:pPr>
        <w:adjustRightInd/>
        <w:spacing w:line="302" w:lineRule="auto"/>
        <w:ind w:left="2232" w:firstLine="648"/>
        <w:contextualSpacing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Table 4.</w:t>
      </w:r>
      <w:r>
        <w:rPr>
          <w:b/>
          <w:bCs/>
          <w:spacing w:val="-2"/>
          <w:sz w:val="24"/>
          <w:szCs w:val="24"/>
        </w:rPr>
        <w:tab/>
        <w:t>ARC and RRC Calculation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4795"/>
      </w:tblGrid>
      <w:tr w:rsidR="00397098" w14:paraId="04AEAAE7" w14:textId="77777777"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458" w14:textId="77777777" w:rsidR="00397098" w:rsidRDefault="00397098" w:rsidP="002E5EEF">
            <w:pPr>
              <w:adjustRightInd/>
              <w:ind w:left="57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5E26" w14:textId="77777777" w:rsidR="00397098" w:rsidRDefault="00397098" w:rsidP="002E5EEF">
            <w:pPr>
              <w:adjustRightInd/>
              <w:ind w:left="53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Calculation Formula</w:t>
            </w:r>
          </w:p>
        </w:tc>
      </w:tr>
      <w:tr w:rsidR="00397098" w14:paraId="668A6992" w14:textId="77777777">
        <w:trPr>
          <w:trHeight w:hRule="exact" w:val="27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2441" w14:textId="4AB7A0F2" w:rsidR="00397098" w:rsidRDefault="00397098" w:rsidP="002E5EEF">
            <w:pPr>
              <w:adjustRightInd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Fee</w:t>
            </w:r>
            <w:r w:rsidR="00C862E0">
              <w:rPr>
                <w:sz w:val="24"/>
                <w:szCs w:val="24"/>
              </w:rPr>
              <w:t xml:space="preserve"> (See Section 3.</w:t>
            </w:r>
            <w:r w:rsidR="008F3DF7">
              <w:rPr>
                <w:sz w:val="24"/>
                <w:szCs w:val="24"/>
              </w:rPr>
              <w:t>2</w:t>
            </w:r>
            <w:r w:rsidR="00C862E0">
              <w:rPr>
                <w:sz w:val="24"/>
                <w:szCs w:val="24"/>
              </w:rPr>
              <w:t xml:space="preserve"> for reference)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E43" w14:textId="77777777" w:rsidR="00397098" w:rsidRDefault="00397098" w:rsidP="002E5EEF">
            <w:pPr>
              <w:adjustRightInd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$334,000</w:t>
            </w:r>
          </w:p>
        </w:tc>
      </w:tr>
      <w:tr w:rsidR="00397098" w14:paraId="6F32B73D" w14:textId="77777777">
        <w:trPr>
          <w:trHeight w:hRule="exact" w:val="27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258" w14:textId="77777777" w:rsidR="00397098" w:rsidRDefault="00397098" w:rsidP="002E5EEF">
            <w:pPr>
              <w:adjustRightInd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0EC" w14:textId="77777777" w:rsidR="00397098" w:rsidRDefault="00397098" w:rsidP="002E5EEF">
            <w:pPr>
              <w:adjustRightInd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$334,000 x 1.05 = $350,700</w:t>
            </w:r>
          </w:p>
        </w:tc>
      </w:tr>
      <w:tr w:rsidR="00397098" w14:paraId="4142AD45" w14:textId="77777777">
        <w:trPr>
          <w:trHeight w:hRule="exact" w:val="27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045" w14:textId="77777777" w:rsidR="00397098" w:rsidRDefault="00397098" w:rsidP="002E5EEF">
            <w:pPr>
              <w:adjustRightInd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A20" w14:textId="77777777" w:rsidR="00397098" w:rsidRDefault="00397098" w:rsidP="002E5EEF">
            <w:pPr>
              <w:adjustRightInd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$334,000 x .95 = $317,300</w:t>
            </w:r>
          </w:p>
        </w:tc>
      </w:tr>
      <w:tr w:rsidR="00397098" w14:paraId="2A3027B6" w14:textId="77777777">
        <w:trPr>
          <w:trHeight w:hRule="exact" w:val="27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FC6B" w14:textId="77777777" w:rsidR="00397098" w:rsidRDefault="00397098" w:rsidP="002E5EEF">
            <w:pPr>
              <w:adjustRightInd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Service Area Fees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23B" w14:textId="77777777" w:rsidR="00397098" w:rsidRDefault="00397098" w:rsidP="002E5EEF">
            <w:pPr>
              <w:adjustRightInd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 of (actual RU usage x RU Unit Price)</w:t>
            </w:r>
          </w:p>
        </w:tc>
      </w:tr>
      <w:tr w:rsidR="00397098" w14:paraId="0870D6A7" w14:textId="77777777">
        <w:trPr>
          <w:trHeight w:hRule="exact" w:val="80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48B6" w14:textId="77777777" w:rsidR="00397098" w:rsidRDefault="00397098" w:rsidP="002E5EEF">
            <w:pPr>
              <w:adjustRightInd/>
              <w:spacing w:line="192" w:lineRule="auto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Invoiced Fees</w:t>
            </w:r>
          </w:p>
          <w:p w14:paraId="32A22E8F" w14:textId="77777777" w:rsidR="00397098" w:rsidRDefault="00397098" w:rsidP="002E5EEF">
            <w:pPr>
              <w:numPr>
                <w:ilvl w:val="0"/>
                <w:numId w:val="1"/>
              </w:numPr>
              <w:adjustRightInd/>
              <w:spacing w:line="232" w:lineRule="auto"/>
              <w:ind w:right="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monthly Actual Service Area Fees &gt; ARC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F85" w14:textId="77777777" w:rsidR="00397098" w:rsidRDefault="00397098" w:rsidP="002E5EEF">
            <w:pPr>
              <w:adjustRightInd/>
              <w:ind w:right="43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(Monthly Actual Service Area Fees – ARC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  <w:r>
              <w:rPr>
                <w:sz w:val="24"/>
                <w:szCs w:val="24"/>
              </w:rPr>
              <w:t>) + Baseline Fee</w:t>
            </w:r>
          </w:p>
          <w:p w14:paraId="57EBB44D" w14:textId="77777777" w:rsidR="00397098" w:rsidRDefault="00397098" w:rsidP="002E5EEF">
            <w:pPr>
              <w:adjustRightInd/>
              <w:spacing w:line="199" w:lineRule="auto"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($355,000 - $350,700) + $334,000 = $338,300</w:t>
            </w:r>
          </w:p>
        </w:tc>
      </w:tr>
      <w:tr w:rsidR="00397098" w14:paraId="67359271" w14:textId="77777777" w:rsidTr="00B242B7">
        <w:trPr>
          <w:trHeight w:hRule="exact" w:val="806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6EA0" w14:textId="77777777" w:rsidR="00397098" w:rsidRDefault="00397098" w:rsidP="002E5EEF">
            <w:pPr>
              <w:numPr>
                <w:ilvl w:val="0"/>
                <w:numId w:val="1"/>
              </w:numPr>
              <w:adjustRightInd/>
              <w:ind w:right="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monthly Actual Service Area Fees &lt; RRC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58A" w14:textId="77777777" w:rsidR="00397098" w:rsidRDefault="00397098" w:rsidP="002E5EEF">
            <w:pPr>
              <w:adjustRightInd/>
              <w:ind w:right="576"/>
              <w:contextualSpacing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Baseline Fee - (RRC </w:t>
            </w:r>
            <w:proofErr w:type="spellStart"/>
            <w:r>
              <w:rPr>
                <w:spacing w:val="-4"/>
                <w:sz w:val="24"/>
                <w:szCs w:val="24"/>
              </w:rPr>
              <w:t>Deadband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- monthly </w:t>
            </w:r>
            <w:r>
              <w:rPr>
                <w:sz w:val="24"/>
                <w:szCs w:val="24"/>
              </w:rPr>
              <w:t>Actual Service Area Fees)</w:t>
            </w:r>
          </w:p>
          <w:p w14:paraId="19F1AAE3" w14:textId="77777777" w:rsidR="00397098" w:rsidRDefault="00397098" w:rsidP="002E5EEF">
            <w:pPr>
              <w:adjustRightInd/>
              <w:spacing w:line="194" w:lineRule="auto"/>
              <w:ind w:left="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$334,000 - ($317,300 - $315,000) = $331,700</w:t>
            </w:r>
          </w:p>
        </w:tc>
      </w:tr>
      <w:tr w:rsidR="00397098" w14:paraId="259A579D" w14:textId="77777777">
        <w:trPr>
          <w:trHeight w:hRule="exact" w:val="55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D9F0" w14:textId="77777777" w:rsidR="00397098" w:rsidRDefault="00397098" w:rsidP="002E5EEF">
            <w:pPr>
              <w:adjustRightInd/>
              <w:ind w:right="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If monthly Actual Service Area Fees &lt; ARC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  <w:r>
              <w:rPr>
                <w:sz w:val="24"/>
                <w:szCs w:val="24"/>
              </w:rPr>
              <w:t xml:space="preserve"> and &gt; RRC </w:t>
            </w:r>
            <w:proofErr w:type="spellStart"/>
            <w:r>
              <w:rPr>
                <w:sz w:val="24"/>
                <w:szCs w:val="24"/>
              </w:rPr>
              <w:t>Deadband</w:t>
            </w:r>
            <w:proofErr w:type="spell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7A57" w14:textId="77777777" w:rsidR="00397098" w:rsidRDefault="00397098" w:rsidP="002E5EEF">
            <w:pPr>
              <w:adjustRightInd/>
              <w:ind w:right="33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Fee $334,000</w:t>
            </w:r>
          </w:p>
        </w:tc>
      </w:tr>
    </w:tbl>
    <w:p w14:paraId="1BFF95D5" w14:textId="77777777" w:rsidR="00397098" w:rsidRDefault="00397098" w:rsidP="002E5EEF">
      <w:pPr>
        <w:widowControl/>
        <w:contextualSpacing/>
        <w:rPr>
          <w:sz w:val="24"/>
          <w:szCs w:val="24"/>
        </w:rPr>
      </w:pPr>
    </w:p>
    <w:p w14:paraId="3CD84B86" w14:textId="4281828B" w:rsidR="00397098" w:rsidRPr="008B7E7D" w:rsidRDefault="00397098" w:rsidP="008B7E7D">
      <w:pPr>
        <w:adjustRightInd/>
        <w:spacing w:line="314" w:lineRule="auto"/>
        <w:ind w:left="1440"/>
        <w:contextualSpacing/>
        <w:jc w:val="both"/>
        <w:rPr>
          <w:b/>
          <w:bCs/>
          <w:i/>
          <w:iCs/>
          <w:sz w:val="24"/>
          <w:szCs w:val="24"/>
        </w:rPr>
      </w:pPr>
      <w:r w:rsidRPr="008B7E7D">
        <w:rPr>
          <w:b/>
          <w:bCs/>
          <w:i/>
          <w:iCs/>
          <w:sz w:val="24"/>
          <w:szCs w:val="24"/>
        </w:rPr>
        <w:t>3.</w:t>
      </w:r>
      <w:r w:rsidR="009B7B22" w:rsidRPr="008B7E7D">
        <w:rPr>
          <w:b/>
          <w:bCs/>
          <w:i/>
          <w:iCs/>
          <w:sz w:val="24"/>
          <w:szCs w:val="24"/>
        </w:rPr>
        <w:t>4</w:t>
      </w:r>
      <w:r w:rsidRPr="008B7E7D">
        <w:rPr>
          <w:b/>
          <w:bCs/>
          <w:i/>
          <w:iCs/>
          <w:sz w:val="24"/>
          <w:szCs w:val="24"/>
        </w:rPr>
        <w:t>.7 ARCs and RRCs Measurement Period and Reconciliation True-Up</w:t>
      </w:r>
    </w:p>
    <w:p w14:paraId="50D6334A" w14:textId="77777777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The period for determining ARCs and RRCs will be performed on a calendar month basis after </w:t>
      </w:r>
      <w:r>
        <w:rPr>
          <w:sz w:val="24"/>
          <w:szCs w:val="24"/>
        </w:rPr>
        <w:t xml:space="preserve">the </w:t>
      </w:r>
      <w:r w:rsidR="00957C29">
        <w:rPr>
          <w:sz w:val="24"/>
          <w:szCs w:val="24"/>
        </w:rPr>
        <w:t>Effective Date of the Agreement</w:t>
      </w:r>
      <w:r>
        <w:rPr>
          <w:sz w:val="24"/>
          <w:szCs w:val="24"/>
        </w:rPr>
        <w:t xml:space="preserve"> for each applicable Service Area for which the </w:t>
      </w:r>
      <w:r w:rsidR="00771241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 receives Services.</w:t>
      </w:r>
    </w:p>
    <w:p w14:paraId="3DA99A36" w14:textId="77777777" w:rsidR="008B7E7D" w:rsidRDefault="008B7E7D" w:rsidP="008B7E7D">
      <w:pPr>
        <w:adjustRightInd/>
        <w:ind w:left="1440"/>
        <w:contextualSpacing/>
        <w:jc w:val="both"/>
        <w:rPr>
          <w:sz w:val="24"/>
          <w:szCs w:val="24"/>
        </w:rPr>
      </w:pPr>
    </w:p>
    <w:p w14:paraId="447A6F08" w14:textId="77777777" w:rsidR="00397098" w:rsidRDefault="000925F1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 w:rsidR="00397098">
        <w:rPr>
          <w:spacing w:val="-1"/>
          <w:sz w:val="24"/>
          <w:szCs w:val="24"/>
        </w:rPr>
        <w:t xml:space="preserve">t the end of every calendar month, </w:t>
      </w:r>
      <w:r w:rsidR="00397098">
        <w:rPr>
          <w:spacing w:val="2"/>
          <w:sz w:val="24"/>
          <w:szCs w:val="24"/>
        </w:rPr>
        <w:t xml:space="preserve">the </w:t>
      </w:r>
      <w:r w:rsidR="008F7B0A">
        <w:rPr>
          <w:spacing w:val="2"/>
          <w:sz w:val="24"/>
          <w:szCs w:val="24"/>
        </w:rPr>
        <w:t>Judicial Council</w:t>
      </w:r>
      <w:r w:rsidR="00397098">
        <w:rPr>
          <w:spacing w:val="2"/>
          <w:sz w:val="24"/>
          <w:szCs w:val="24"/>
        </w:rPr>
        <w:t xml:space="preserve"> and the Vendor shall reconcile the </w:t>
      </w:r>
      <w:r w:rsidR="00771241">
        <w:rPr>
          <w:spacing w:val="2"/>
          <w:sz w:val="24"/>
          <w:szCs w:val="24"/>
        </w:rPr>
        <w:t>Judicial Council</w:t>
      </w:r>
      <w:r w:rsidR="00397098">
        <w:rPr>
          <w:spacing w:val="2"/>
          <w:sz w:val="24"/>
          <w:szCs w:val="24"/>
        </w:rPr>
        <w:t xml:space="preserve">’s Actual Service Area </w:t>
      </w:r>
      <w:r w:rsidR="00397098">
        <w:rPr>
          <w:sz w:val="24"/>
          <w:szCs w:val="24"/>
        </w:rPr>
        <w:t xml:space="preserve">Fees for such calendar month against the Baseline Fees by Service Area applicable to such </w:t>
      </w:r>
      <w:r w:rsidR="00397098">
        <w:rPr>
          <w:spacing w:val="4"/>
          <w:sz w:val="24"/>
          <w:szCs w:val="24"/>
        </w:rPr>
        <w:t xml:space="preserve">calendar month, and the Vendor shall calculate ARCs and/or RRCs, as applicable for each </w:t>
      </w:r>
      <w:r w:rsidR="00397098">
        <w:rPr>
          <w:spacing w:val="-4"/>
          <w:sz w:val="24"/>
          <w:szCs w:val="24"/>
        </w:rPr>
        <w:t xml:space="preserve">Service Area. The Vendor shall ensure that all actual usage of RUs is measured and reported in </w:t>
      </w:r>
      <w:r w:rsidR="00397098">
        <w:rPr>
          <w:spacing w:val="-2"/>
          <w:sz w:val="24"/>
          <w:szCs w:val="24"/>
        </w:rPr>
        <w:t xml:space="preserve">accordance with the Resource Measurement provisions of this Exhibit. The </w:t>
      </w:r>
      <w:r w:rsidR="008F7B0A">
        <w:rPr>
          <w:spacing w:val="-2"/>
          <w:sz w:val="24"/>
          <w:szCs w:val="24"/>
        </w:rPr>
        <w:t>Judicial Council</w:t>
      </w:r>
      <w:r w:rsidR="00397098">
        <w:rPr>
          <w:spacing w:val="-2"/>
          <w:sz w:val="24"/>
          <w:szCs w:val="24"/>
        </w:rPr>
        <w:t xml:space="preserve"> shall </w:t>
      </w:r>
      <w:r w:rsidR="00397098">
        <w:rPr>
          <w:spacing w:val="2"/>
          <w:sz w:val="24"/>
          <w:szCs w:val="24"/>
        </w:rPr>
        <w:t xml:space="preserve">pay ARCs and the Vendor shall credit (or refund if the Term has ended) RRCs in accordance </w:t>
      </w:r>
      <w:r w:rsidR="00397098">
        <w:rPr>
          <w:sz w:val="24"/>
          <w:szCs w:val="24"/>
        </w:rPr>
        <w:t>with the terms and conditions of the Agreement.</w:t>
      </w:r>
    </w:p>
    <w:p w14:paraId="114DF45B" w14:textId="77777777" w:rsidR="008B7E7D" w:rsidRDefault="008B7E7D" w:rsidP="008B7E7D">
      <w:pPr>
        <w:adjustRightInd/>
        <w:ind w:left="1440"/>
        <w:contextualSpacing/>
        <w:jc w:val="both"/>
        <w:rPr>
          <w:spacing w:val="1"/>
          <w:sz w:val="24"/>
          <w:szCs w:val="24"/>
        </w:rPr>
      </w:pPr>
    </w:p>
    <w:p w14:paraId="280254E2" w14:textId="4D094EDB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The Vendor shall complete its analysis and reporting of actual RU usage, and Actual Service </w:t>
      </w:r>
      <w:r>
        <w:rPr>
          <w:spacing w:val="-1"/>
          <w:sz w:val="24"/>
          <w:szCs w:val="24"/>
        </w:rPr>
        <w:t xml:space="preserve">Area Fees, to the </w:t>
      </w:r>
      <w:r w:rsidR="008F7B0A">
        <w:rPr>
          <w:spacing w:val="-1"/>
          <w:sz w:val="24"/>
          <w:szCs w:val="24"/>
        </w:rPr>
        <w:t>Judicial Council</w:t>
      </w:r>
      <w:r>
        <w:rPr>
          <w:spacing w:val="-1"/>
          <w:sz w:val="24"/>
          <w:szCs w:val="24"/>
        </w:rPr>
        <w:t xml:space="preserve"> no later than fifteen (15) days following the end of the calendar </w:t>
      </w:r>
      <w:r>
        <w:rPr>
          <w:spacing w:val="1"/>
          <w:sz w:val="24"/>
          <w:szCs w:val="24"/>
        </w:rPr>
        <w:t xml:space="preserve">month in which the Services were delivered. In the event that </w:t>
      </w:r>
      <w:r w:rsidR="00A803A8">
        <w:rPr>
          <w:spacing w:val="1"/>
          <w:sz w:val="24"/>
          <w:szCs w:val="24"/>
        </w:rPr>
        <w:t>Vendor</w:t>
      </w:r>
      <w:r>
        <w:rPr>
          <w:spacing w:val="1"/>
          <w:sz w:val="24"/>
          <w:szCs w:val="24"/>
        </w:rPr>
        <w:t xml:space="preserve"> discover</w:t>
      </w:r>
      <w:r w:rsidR="00A803A8">
        <w:rPr>
          <w:spacing w:val="1"/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inaccuracies </w:t>
      </w:r>
      <w:r>
        <w:rPr>
          <w:spacing w:val="3"/>
          <w:sz w:val="24"/>
          <w:szCs w:val="24"/>
        </w:rPr>
        <w:t xml:space="preserve">in the measurement or reporting of actual RU usage, or Actual Service Area Fees, which </w:t>
      </w:r>
      <w:r>
        <w:rPr>
          <w:sz w:val="24"/>
          <w:szCs w:val="24"/>
        </w:rPr>
        <w:t xml:space="preserve">discovery occurs after the thirty (30) day period following the end of such calendar month, the </w:t>
      </w:r>
      <w:r>
        <w:rPr>
          <w:spacing w:val="-1"/>
          <w:sz w:val="24"/>
          <w:szCs w:val="24"/>
        </w:rPr>
        <w:t>maximum amount of ARCs allowable will be limited to the quantities that ha</w:t>
      </w:r>
      <w:r w:rsidR="00AC185F">
        <w:rPr>
          <w:spacing w:val="-1"/>
          <w:sz w:val="24"/>
          <w:szCs w:val="24"/>
        </w:rPr>
        <w:t>d already</w:t>
      </w:r>
      <w:r>
        <w:rPr>
          <w:spacing w:val="-1"/>
          <w:sz w:val="24"/>
          <w:szCs w:val="24"/>
        </w:rPr>
        <w:t xml:space="preserve"> been reported by </w:t>
      </w:r>
      <w:r>
        <w:rPr>
          <w:spacing w:val="2"/>
          <w:sz w:val="24"/>
          <w:szCs w:val="24"/>
        </w:rPr>
        <w:t xml:space="preserve">the Vendor and received by the </w:t>
      </w:r>
      <w:r w:rsidR="00771241">
        <w:rPr>
          <w:spacing w:val="2"/>
          <w:sz w:val="24"/>
          <w:szCs w:val="24"/>
        </w:rPr>
        <w:t>Judicial Council</w:t>
      </w:r>
      <w:r>
        <w:rPr>
          <w:spacing w:val="2"/>
          <w:sz w:val="24"/>
          <w:szCs w:val="24"/>
        </w:rPr>
        <w:t xml:space="preserve"> during the thirty (30) day period following the </w:t>
      </w:r>
      <w:r>
        <w:rPr>
          <w:sz w:val="24"/>
          <w:szCs w:val="24"/>
        </w:rPr>
        <w:t>end of the calendar month.</w:t>
      </w:r>
      <w:r w:rsidR="00A803A8">
        <w:rPr>
          <w:sz w:val="24"/>
          <w:szCs w:val="24"/>
        </w:rPr>
        <w:t xml:space="preserve"> </w:t>
      </w:r>
    </w:p>
    <w:p w14:paraId="0CFFDDBC" w14:textId="77777777" w:rsidR="008B7E7D" w:rsidRDefault="008B7E7D" w:rsidP="008B7E7D">
      <w:pPr>
        <w:adjustRightInd/>
        <w:spacing w:line="297" w:lineRule="auto"/>
        <w:ind w:left="1440"/>
        <w:contextualSpacing/>
        <w:jc w:val="both"/>
        <w:rPr>
          <w:b/>
          <w:bCs/>
          <w:sz w:val="24"/>
          <w:szCs w:val="24"/>
        </w:rPr>
      </w:pPr>
    </w:p>
    <w:p w14:paraId="7C7F26CF" w14:textId="76A40279" w:rsidR="00397098" w:rsidRPr="008B7E7D" w:rsidRDefault="00397098" w:rsidP="008B7E7D">
      <w:pPr>
        <w:adjustRightInd/>
        <w:spacing w:line="297" w:lineRule="auto"/>
        <w:ind w:left="1440"/>
        <w:contextualSpacing/>
        <w:jc w:val="both"/>
        <w:rPr>
          <w:b/>
          <w:bCs/>
          <w:i/>
          <w:iCs/>
          <w:sz w:val="24"/>
          <w:szCs w:val="24"/>
        </w:rPr>
      </w:pPr>
      <w:r w:rsidRPr="008B7E7D">
        <w:rPr>
          <w:b/>
          <w:bCs/>
          <w:i/>
          <w:iCs/>
          <w:sz w:val="24"/>
          <w:szCs w:val="24"/>
        </w:rPr>
        <w:t>3.</w:t>
      </w:r>
      <w:r w:rsidR="009B7B22" w:rsidRPr="008B7E7D">
        <w:rPr>
          <w:b/>
          <w:bCs/>
          <w:i/>
          <w:iCs/>
          <w:sz w:val="24"/>
          <w:szCs w:val="24"/>
        </w:rPr>
        <w:t>4</w:t>
      </w:r>
      <w:r w:rsidRPr="008B7E7D">
        <w:rPr>
          <w:b/>
          <w:bCs/>
          <w:i/>
          <w:iCs/>
          <w:sz w:val="24"/>
          <w:szCs w:val="24"/>
        </w:rPr>
        <w:t>.8 ARCs Ceiling and RRCs Floor</w:t>
      </w:r>
    </w:p>
    <w:p w14:paraId="3500C2B2" w14:textId="77777777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"ARC Ceiling" </w:t>
      </w:r>
      <w:r>
        <w:rPr>
          <w:sz w:val="24"/>
          <w:szCs w:val="24"/>
        </w:rPr>
        <w:t xml:space="preserve">means the maximum percentage that the Vendor may charge ARCs above the </w:t>
      </w:r>
      <w:r>
        <w:rPr>
          <w:spacing w:val="1"/>
          <w:sz w:val="24"/>
          <w:szCs w:val="24"/>
        </w:rPr>
        <w:t xml:space="preserve">ARC </w:t>
      </w:r>
      <w:proofErr w:type="spellStart"/>
      <w:r>
        <w:rPr>
          <w:spacing w:val="1"/>
          <w:sz w:val="24"/>
          <w:szCs w:val="24"/>
        </w:rPr>
        <w:t>Deadband</w:t>
      </w:r>
      <w:proofErr w:type="spellEnd"/>
      <w:r>
        <w:rPr>
          <w:spacing w:val="1"/>
          <w:sz w:val="24"/>
          <w:szCs w:val="24"/>
        </w:rPr>
        <w:t xml:space="preserve"> Baseline. </w:t>
      </w:r>
      <w:r>
        <w:rPr>
          <w:spacing w:val="1"/>
          <w:sz w:val="24"/>
          <w:szCs w:val="24"/>
          <w:u w:val="single"/>
        </w:rPr>
        <w:t xml:space="preserve">"RRC Floor" </w:t>
      </w:r>
      <w:r>
        <w:rPr>
          <w:spacing w:val="1"/>
          <w:sz w:val="24"/>
          <w:szCs w:val="24"/>
        </w:rPr>
        <w:t xml:space="preserve">means the minimum percentage that the Vendor may credit RRCs below the RRC </w:t>
      </w:r>
      <w:proofErr w:type="spellStart"/>
      <w:r>
        <w:rPr>
          <w:spacing w:val="1"/>
          <w:sz w:val="24"/>
          <w:szCs w:val="24"/>
        </w:rPr>
        <w:t>Deadband</w:t>
      </w:r>
      <w:proofErr w:type="spellEnd"/>
      <w:r>
        <w:rPr>
          <w:spacing w:val="1"/>
          <w:sz w:val="24"/>
          <w:szCs w:val="24"/>
        </w:rPr>
        <w:t xml:space="preserve"> Baseline. ARC Ceilings and RRC Floors are established </w:t>
      </w:r>
      <w:r>
        <w:rPr>
          <w:sz w:val="24"/>
          <w:szCs w:val="24"/>
        </w:rPr>
        <w:t xml:space="preserve">to provide a means </w:t>
      </w:r>
      <w:r>
        <w:rPr>
          <w:sz w:val="24"/>
          <w:szCs w:val="24"/>
        </w:rPr>
        <w:lastRenderedPageBreak/>
        <w:t xml:space="preserve">to evaluate and adjust pricing if there are dramatic shifts in Actual Service </w:t>
      </w:r>
      <w:r>
        <w:rPr>
          <w:spacing w:val="5"/>
          <w:sz w:val="24"/>
          <w:szCs w:val="24"/>
        </w:rPr>
        <w:t xml:space="preserve">Area Fees over a sustained period. </w:t>
      </w:r>
      <w:proofErr w:type="gramStart"/>
      <w:r>
        <w:rPr>
          <w:spacing w:val="5"/>
          <w:sz w:val="24"/>
          <w:szCs w:val="24"/>
        </w:rPr>
        <w:t>In the event that</w:t>
      </w:r>
      <w:proofErr w:type="gramEnd"/>
      <w:r>
        <w:rPr>
          <w:spacing w:val="5"/>
          <w:sz w:val="24"/>
          <w:szCs w:val="24"/>
        </w:rPr>
        <w:t xml:space="preserve"> the </w:t>
      </w:r>
      <w:r w:rsidR="008F7B0A">
        <w:rPr>
          <w:spacing w:val="5"/>
          <w:sz w:val="24"/>
          <w:szCs w:val="24"/>
        </w:rPr>
        <w:t>Judicial Council</w:t>
      </w:r>
      <w:r>
        <w:rPr>
          <w:spacing w:val="5"/>
          <w:sz w:val="24"/>
          <w:szCs w:val="24"/>
        </w:rPr>
        <w:t xml:space="preserve"> Actual Service Area </w:t>
      </w:r>
      <w:r>
        <w:rPr>
          <w:sz w:val="24"/>
          <w:szCs w:val="24"/>
        </w:rPr>
        <w:t xml:space="preserve">Fees are greater than the ARC Ceiling or less than the RRC Floor for a period of three (3) consecutive months, the Parties agree to mutually review and renegotiate applicable Baselines </w:t>
      </w:r>
      <w:r>
        <w:rPr>
          <w:spacing w:val="1"/>
          <w:sz w:val="24"/>
          <w:szCs w:val="24"/>
        </w:rPr>
        <w:t xml:space="preserve">Fees. The following ARC Ceiling and RRC Floor Table identifies the factors that are to be used </w:t>
      </w:r>
      <w:r>
        <w:rPr>
          <w:sz w:val="24"/>
          <w:szCs w:val="24"/>
        </w:rPr>
        <w:t>in calculating whether Actual Service Area Fees has exceeded those limits.</w:t>
      </w:r>
    </w:p>
    <w:p w14:paraId="7939E4ED" w14:textId="77777777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The ARC Ceiling is to be calculated by multiplying the ARC </w:t>
      </w:r>
      <w:proofErr w:type="spellStart"/>
      <w:r>
        <w:rPr>
          <w:spacing w:val="1"/>
          <w:sz w:val="24"/>
          <w:szCs w:val="24"/>
        </w:rPr>
        <w:t>Deadband</w:t>
      </w:r>
      <w:proofErr w:type="spellEnd"/>
      <w:r>
        <w:rPr>
          <w:spacing w:val="1"/>
          <w:sz w:val="24"/>
          <w:szCs w:val="24"/>
        </w:rPr>
        <w:t xml:space="preserve"> by the sum of 1.00 plus </w:t>
      </w:r>
      <w:r>
        <w:rPr>
          <w:spacing w:val="4"/>
          <w:sz w:val="24"/>
          <w:szCs w:val="24"/>
        </w:rPr>
        <w:t xml:space="preserve">the ARC Ceiling percentage. The RRC Floor is to be calculated by multiplying the RRC </w:t>
      </w:r>
      <w:proofErr w:type="spellStart"/>
      <w:r>
        <w:rPr>
          <w:sz w:val="24"/>
          <w:szCs w:val="24"/>
        </w:rPr>
        <w:t>Deadband</w:t>
      </w:r>
      <w:proofErr w:type="spellEnd"/>
      <w:r>
        <w:rPr>
          <w:sz w:val="24"/>
          <w:szCs w:val="24"/>
        </w:rPr>
        <w:t xml:space="preserve"> by the sum of 1.00 less the RRC Floor percentage.</w:t>
      </w:r>
    </w:p>
    <w:p w14:paraId="5CB9DDAC" w14:textId="77777777" w:rsidR="008B7E7D" w:rsidRDefault="008B7E7D" w:rsidP="008B7E7D">
      <w:pPr>
        <w:adjustRightInd/>
        <w:ind w:left="1440"/>
        <w:contextualSpacing/>
        <w:jc w:val="both"/>
        <w:rPr>
          <w:sz w:val="24"/>
          <w:szCs w:val="24"/>
        </w:rPr>
      </w:pPr>
    </w:p>
    <w:p w14:paraId="3D105621" w14:textId="580EC689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Upon the third consecutive month that the </w:t>
      </w:r>
      <w:r w:rsidR="008F7B0A">
        <w:rPr>
          <w:spacing w:val="2"/>
          <w:sz w:val="24"/>
          <w:szCs w:val="24"/>
        </w:rPr>
        <w:t>Judicial Council</w:t>
      </w:r>
      <w:r>
        <w:rPr>
          <w:spacing w:val="2"/>
          <w:sz w:val="24"/>
          <w:szCs w:val="24"/>
        </w:rPr>
        <w:t xml:space="preserve"> Actual Service Area Fees is greater </w:t>
      </w:r>
      <w:r>
        <w:rPr>
          <w:spacing w:val="1"/>
          <w:sz w:val="24"/>
          <w:szCs w:val="24"/>
        </w:rPr>
        <w:t xml:space="preserve">than the ARC Ceiling or lower than the RRC Floor then, at the </w:t>
      </w:r>
      <w:r w:rsidR="008F7B0A">
        <w:rPr>
          <w:spacing w:val="1"/>
          <w:sz w:val="24"/>
          <w:szCs w:val="24"/>
        </w:rPr>
        <w:t>Judicial Council</w:t>
      </w:r>
      <w:r>
        <w:rPr>
          <w:spacing w:val="1"/>
          <w:sz w:val="24"/>
          <w:szCs w:val="24"/>
        </w:rPr>
        <w:t xml:space="preserve">’s sole election, </w:t>
      </w:r>
      <w:r>
        <w:rPr>
          <w:spacing w:val="4"/>
          <w:sz w:val="24"/>
          <w:szCs w:val="24"/>
        </w:rPr>
        <w:t xml:space="preserve">the occurrence of such event shall constitute written notice to the Vendor of the </w:t>
      </w:r>
      <w:r w:rsidR="008F7B0A">
        <w:rPr>
          <w:spacing w:val="4"/>
          <w:sz w:val="24"/>
          <w:szCs w:val="24"/>
        </w:rPr>
        <w:t>Judicial Council</w:t>
      </w:r>
      <w:r>
        <w:rPr>
          <w:spacing w:val="-1"/>
          <w:sz w:val="24"/>
          <w:szCs w:val="24"/>
        </w:rPr>
        <w:t xml:space="preserve">’s intent to renegotiate the Baseline Fee, and the parties shall have sixty (60) days there </w:t>
      </w:r>
      <w:r>
        <w:rPr>
          <w:spacing w:val="4"/>
          <w:sz w:val="24"/>
          <w:szCs w:val="24"/>
        </w:rPr>
        <w:t xml:space="preserve">from to reach mutual agreement on an adjustment to such Baseline Fee. If no agreement is </w:t>
      </w:r>
      <w:r>
        <w:rPr>
          <w:sz w:val="24"/>
          <w:szCs w:val="24"/>
        </w:rPr>
        <w:t xml:space="preserve">reached within the </w:t>
      </w:r>
      <w:proofErr w:type="gramStart"/>
      <w:r>
        <w:rPr>
          <w:sz w:val="24"/>
          <w:szCs w:val="24"/>
        </w:rPr>
        <w:t>aforementioned sixty</w:t>
      </w:r>
      <w:proofErr w:type="gramEnd"/>
      <w:r>
        <w:rPr>
          <w:sz w:val="24"/>
          <w:szCs w:val="24"/>
        </w:rPr>
        <w:t xml:space="preserve"> (60) day period, then the Baseline Fees for the affected </w:t>
      </w:r>
      <w:r>
        <w:rPr>
          <w:spacing w:val="-1"/>
          <w:sz w:val="24"/>
          <w:szCs w:val="24"/>
        </w:rPr>
        <w:t xml:space="preserve">RUs, shall be reduced by 10% from its current </w:t>
      </w:r>
      <w:r w:rsidR="00604967">
        <w:rPr>
          <w:spacing w:val="-1"/>
          <w:sz w:val="24"/>
          <w:szCs w:val="24"/>
        </w:rPr>
        <w:t>value</w:t>
      </w:r>
      <w:r w:rsidR="00604967">
        <w:rPr>
          <w:spacing w:val="1"/>
          <w:sz w:val="24"/>
          <w:szCs w:val="24"/>
        </w:rPr>
        <w:t xml:space="preserve"> until</w:t>
      </w:r>
      <w:r>
        <w:rPr>
          <w:spacing w:val="1"/>
          <w:sz w:val="24"/>
          <w:szCs w:val="24"/>
        </w:rPr>
        <w:t xml:space="preserve"> such time as agreement is reached. Upon agreement any adjustments to Baseline Fees shall </w:t>
      </w:r>
      <w:r>
        <w:rPr>
          <w:spacing w:val="-3"/>
          <w:sz w:val="24"/>
          <w:szCs w:val="24"/>
        </w:rPr>
        <w:t xml:space="preserve">be retroactive to the date of the above-mentioned event and shall </w:t>
      </w:r>
      <w:proofErr w:type="gramStart"/>
      <w:r>
        <w:rPr>
          <w:spacing w:val="-3"/>
          <w:sz w:val="24"/>
          <w:szCs w:val="24"/>
        </w:rPr>
        <w:t>take into account</w:t>
      </w:r>
      <w:proofErr w:type="gramEnd"/>
      <w:r>
        <w:rPr>
          <w:spacing w:val="-3"/>
          <w:sz w:val="24"/>
          <w:szCs w:val="24"/>
        </w:rPr>
        <w:t xml:space="preserve"> the 10% step-</w:t>
      </w:r>
      <w:r>
        <w:rPr>
          <w:sz w:val="24"/>
          <w:szCs w:val="24"/>
        </w:rPr>
        <w:t>down provision in this Section if utilized.</w:t>
      </w:r>
    </w:p>
    <w:p w14:paraId="1D32643D" w14:textId="77777777" w:rsidR="008B7E7D" w:rsidRDefault="008B7E7D" w:rsidP="008B7E7D">
      <w:pPr>
        <w:adjustRightInd/>
        <w:ind w:left="1440"/>
        <w:contextualSpacing/>
        <w:jc w:val="both"/>
        <w:rPr>
          <w:sz w:val="24"/>
          <w:szCs w:val="24"/>
        </w:rPr>
      </w:pPr>
    </w:p>
    <w:p w14:paraId="36C4F78C" w14:textId="6179EAD2" w:rsidR="00397098" w:rsidRDefault="00397098" w:rsidP="008B7E7D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Notwithstanding the foregoing, until a mutual agreement is reached by the parties on </w:t>
      </w:r>
      <w:proofErr w:type="gramStart"/>
      <w:r>
        <w:rPr>
          <w:sz w:val="24"/>
          <w:szCs w:val="24"/>
        </w:rPr>
        <w:t>making adjustments to</w:t>
      </w:r>
      <w:proofErr w:type="gramEnd"/>
      <w:r>
        <w:rPr>
          <w:sz w:val="24"/>
          <w:szCs w:val="24"/>
        </w:rPr>
        <w:t xml:space="preserve"> the Baseline Fees referenced above, the then-existing ARCs and RRCs will continue in effect.</w:t>
      </w:r>
    </w:p>
    <w:p w14:paraId="7136E646" w14:textId="77777777" w:rsidR="008B7E7D" w:rsidRDefault="008B7E7D" w:rsidP="002E5EEF">
      <w:pPr>
        <w:tabs>
          <w:tab w:val="right" w:pos="5062"/>
        </w:tabs>
        <w:adjustRightInd/>
        <w:spacing w:line="316" w:lineRule="auto"/>
        <w:contextualSpacing/>
        <w:jc w:val="center"/>
        <w:rPr>
          <w:b/>
          <w:bCs/>
          <w:sz w:val="24"/>
          <w:szCs w:val="24"/>
        </w:rPr>
      </w:pPr>
    </w:p>
    <w:p w14:paraId="3D597B3E" w14:textId="313C4BDB" w:rsidR="00397098" w:rsidRDefault="00397098" w:rsidP="002E5EEF">
      <w:pPr>
        <w:tabs>
          <w:tab w:val="right" w:pos="5062"/>
        </w:tabs>
        <w:adjustRightInd/>
        <w:spacing w:line="316" w:lineRule="auto"/>
        <w:contextualSpacing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Table 5.</w:t>
      </w:r>
      <w:r>
        <w:rPr>
          <w:b/>
          <w:bCs/>
          <w:spacing w:val="-2"/>
          <w:sz w:val="24"/>
          <w:szCs w:val="24"/>
        </w:rPr>
        <w:tab/>
        <w:t>ARC Ceiling and RRC Floor Table</w:t>
      </w:r>
    </w:p>
    <w:tbl>
      <w:tblPr>
        <w:tblW w:w="8213" w:type="dxa"/>
        <w:tblInd w:w="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1915"/>
        <w:gridCol w:w="1949"/>
      </w:tblGrid>
      <w:tr w:rsidR="00397098" w14:paraId="459DF919" w14:textId="77777777" w:rsidTr="0008568B">
        <w:trPr>
          <w:trHeight w:hRule="exact" w:val="331"/>
        </w:trPr>
        <w:tc>
          <w:tcPr>
            <w:tcW w:w="43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</w:tcPr>
          <w:p w14:paraId="2CD9DB02" w14:textId="77777777" w:rsidR="00397098" w:rsidRDefault="00397098" w:rsidP="002E5EEF">
            <w:pPr>
              <w:adjustRightInd/>
              <w:ind w:left="86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Factor</w:t>
            </w:r>
          </w:p>
        </w:tc>
        <w:tc>
          <w:tcPr>
            <w:tcW w:w="19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</w:tcPr>
          <w:p w14:paraId="3CB39B44" w14:textId="77777777" w:rsidR="00397098" w:rsidRDefault="00397098" w:rsidP="002E5EEF">
            <w:pPr>
              <w:adjustRightInd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ARC Ceiling</w:t>
            </w:r>
          </w:p>
        </w:tc>
        <w:tc>
          <w:tcPr>
            <w:tcW w:w="19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solid" w:color="E6E6E6" w:fill="auto"/>
            <w:vAlign w:val="center"/>
          </w:tcPr>
          <w:p w14:paraId="51585ABE" w14:textId="77777777" w:rsidR="00397098" w:rsidRDefault="00397098" w:rsidP="002E5EEF">
            <w:pPr>
              <w:adjustRightInd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RRC Floor</w:t>
            </w:r>
          </w:p>
        </w:tc>
      </w:tr>
      <w:tr w:rsidR="00397098" w14:paraId="3BC71D44" w14:textId="77777777" w:rsidTr="0008568B">
        <w:trPr>
          <w:trHeight w:hRule="exact" w:val="557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17" w:space="0" w:color="auto"/>
              <w:right w:val="single" w:sz="4" w:space="0" w:color="auto"/>
            </w:tcBorders>
            <w:shd w:val="solid" w:color="E6E6E6" w:fill="auto"/>
          </w:tcPr>
          <w:p w14:paraId="586A1843" w14:textId="77777777" w:rsidR="00397098" w:rsidRDefault="00397098" w:rsidP="002E5EEF">
            <w:pPr>
              <w:adjustRightInd/>
              <w:ind w:left="86"/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Factor basis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17" w:space="0" w:color="auto"/>
              <w:right w:val="single" w:sz="4" w:space="0" w:color="auto"/>
            </w:tcBorders>
            <w:shd w:val="solid" w:color="E6E6E6" w:fill="auto"/>
            <w:vAlign w:val="center"/>
          </w:tcPr>
          <w:p w14:paraId="7931968E" w14:textId="77777777" w:rsidR="00397098" w:rsidRDefault="00397098" w:rsidP="002E5EEF">
            <w:pPr>
              <w:adjustRightInd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above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ARC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Deadband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17" w:space="0" w:color="auto"/>
              <w:right w:val="single" w:sz="24" w:space="0" w:color="auto"/>
            </w:tcBorders>
            <w:shd w:val="solid" w:color="E6E6E6" w:fill="auto"/>
            <w:vAlign w:val="center"/>
          </w:tcPr>
          <w:p w14:paraId="7E69CC14" w14:textId="77777777" w:rsidR="00397098" w:rsidRDefault="00397098" w:rsidP="002E5EEF">
            <w:pPr>
              <w:adjustRightInd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below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RRC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Deadband</w:t>
            </w:r>
            <w:proofErr w:type="spellEnd"/>
          </w:p>
        </w:tc>
      </w:tr>
      <w:tr w:rsidR="00397098" w14:paraId="174F84CE" w14:textId="77777777" w:rsidTr="0008568B">
        <w:trPr>
          <w:trHeight w:hRule="exact" w:val="298"/>
        </w:trPr>
        <w:tc>
          <w:tcPr>
            <w:tcW w:w="4349" w:type="dxa"/>
            <w:tcBorders>
              <w:top w:val="single" w:sz="17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shd w:val="solid" w:color="E6E6E6" w:fill="auto"/>
            <w:vAlign w:val="center"/>
          </w:tcPr>
          <w:p w14:paraId="60BA993C" w14:textId="77777777" w:rsidR="00397098" w:rsidRDefault="00397098" w:rsidP="002E5EEF">
            <w:pPr>
              <w:adjustRightInd/>
              <w:ind w:right="1401"/>
              <w:contextualSpacing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Service Area</w:t>
            </w:r>
          </w:p>
        </w:tc>
        <w:tc>
          <w:tcPr>
            <w:tcW w:w="1915" w:type="dxa"/>
            <w:tcBorders>
              <w:top w:val="single" w:sz="17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14:paraId="71958356" w14:textId="77777777" w:rsidR="00397098" w:rsidRDefault="00397098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17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solid" w:color="E6E6E6" w:fill="auto"/>
          </w:tcPr>
          <w:p w14:paraId="0FDC73B4" w14:textId="77777777" w:rsidR="00397098" w:rsidRDefault="00397098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</w:tr>
      <w:tr w:rsidR="00397098" w14:paraId="348E5A7C" w14:textId="77777777" w:rsidTr="0008568B">
        <w:trPr>
          <w:trHeight w:hRule="exact" w:val="273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vAlign w:val="center"/>
          </w:tcPr>
          <w:p w14:paraId="60A68017" w14:textId="0CED773B" w:rsidR="00397098" w:rsidRDefault="00397098" w:rsidP="002E5EEF">
            <w:pPr>
              <w:adjustRightInd/>
              <w:ind w:left="86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Data Center </w:t>
            </w:r>
            <w:r w:rsidR="00FD5F9A">
              <w:rPr>
                <w:b/>
                <w:bCs/>
                <w:sz w:val="24"/>
                <w:szCs w:val="24"/>
              </w:rPr>
              <w:t xml:space="preserve">Operational </w:t>
            </w:r>
            <w:r>
              <w:rPr>
                <w:b/>
                <w:bCs/>
                <w:sz w:val="24"/>
                <w:szCs w:val="24"/>
              </w:rPr>
              <w:t>Services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777" w14:textId="77777777" w:rsidR="00397098" w:rsidRDefault="00397098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98BCC3" w14:textId="77777777" w:rsidR="00397098" w:rsidRDefault="00397098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397098" w14:paraId="5A388016" w14:textId="77777777" w:rsidTr="0008568B">
        <w:trPr>
          <w:trHeight w:hRule="exact" w:val="144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shd w:val="solid" w:color="E6E6E6" w:fill="auto"/>
          </w:tcPr>
          <w:p w14:paraId="54321220" w14:textId="77777777" w:rsidR="00397098" w:rsidRDefault="00397098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14:paraId="1FEE2F9E" w14:textId="77777777" w:rsidR="00397098" w:rsidRDefault="00397098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solid" w:color="E6E6E6" w:fill="auto"/>
          </w:tcPr>
          <w:p w14:paraId="0FA579A6" w14:textId="77777777" w:rsidR="00397098" w:rsidRDefault="00397098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</w:tr>
      <w:tr w:rsidR="0008568B" w14:paraId="43A2DB2D" w14:textId="77777777" w:rsidTr="0008568B">
        <w:trPr>
          <w:trHeight w:hRule="exact" w:val="279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vAlign w:val="center"/>
          </w:tcPr>
          <w:p w14:paraId="4496C154" w14:textId="5B2C2556" w:rsidR="0008568B" w:rsidRDefault="0008568B" w:rsidP="002E5EEF">
            <w:pPr>
              <w:adjustRightInd/>
              <w:ind w:left="86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 Network Management Services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9E96" w14:textId="47A14935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67CFFC" w14:textId="11823E7D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08568B" w14:paraId="1A7169A9" w14:textId="77777777" w:rsidTr="0008568B">
        <w:trPr>
          <w:trHeight w:hRule="exact" w:val="144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shd w:val="solid" w:color="E6E6E6" w:fill="auto"/>
          </w:tcPr>
          <w:p w14:paraId="59BF2503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14:paraId="14FBD1DD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solid" w:color="E6E6E6" w:fill="auto"/>
          </w:tcPr>
          <w:p w14:paraId="1BAEC2BC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</w:tr>
      <w:tr w:rsidR="0008568B" w14:paraId="7AEF9D92" w14:textId="77777777" w:rsidTr="0008568B">
        <w:trPr>
          <w:trHeight w:hRule="exact" w:val="273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vAlign w:val="center"/>
          </w:tcPr>
          <w:p w14:paraId="0BEF3730" w14:textId="6399DC3F" w:rsidR="0008568B" w:rsidRDefault="0008568B" w:rsidP="002E5EEF">
            <w:pPr>
              <w:adjustRightInd/>
              <w:ind w:left="86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 Service Management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E827" w14:textId="600A2395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9EB1774" w14:textId="65E4C50E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08568B" w14:paraId="6C646ADE" w14:textId="77777777" w:rsidTr="0008568B">
        <w:trPr>
          <w:trHeight w:hRule="exact" w:val="144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shd w:val="solid" w:color="E6E6E6" w:fill="auto"/>
          </w:tcPr>
          <w:p w14:paraId="557CE179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14:paraId="32E2CD7A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solid" w:color="E6E6E6" w:fill="auto"/>
          </w:tcPr>
          <w:p w14:paraId="41F19816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</w:tr>
      <w:tr w:rsidR="0008568B" w14:paraId="1E77FECD" w14:textId="77777777" w:rsidTr="0008568B">
        <w:trPr>
          <w:trHeight w:hRule="exact" w:val="274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7" w:space="0" w:color="auto"/>
            </w:tcBorders>
            <w:vAlign w:val="center"/>
          </w:tcPr>
          <w:p w14:paraId="6364AF8C" w14:textId="3568246D" w:rsidR="0008568B" w:rsidRDefault="0008568B" w:rsidP="002E5EEF">
            <w:pPr>
              <w:adjustRightInd/>
              <w:ind w:left="86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7317" w14:textId="72F858C7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DDEFC0A" w14:textId="752479DC" w:rsidR="0008568B" w:rsidRDefault="0008568B" w:rsidP="002E5EEF">
            <w:pPr>
              <w:adjustRightInd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8568B" w14:paraId="44D3007B" w14:textId="77777777" w:rsidTr="0008568B">
        <w:trPr>
          <w:trHeight w:hRule="exact" w:val="202"/>
        </w:trPr>
        <w:tc>
          <w:tcPr>
            <w:tcW w:w="43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7" w:space="0" w:color="auto"/>
            </w:tcBorders>
            <w:shd w:val="solid" w:color="E6E6E6" w:fill="auto"/>
          </w:tcPr>
          <w:p w14:paraId="7C76B8FD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7" w:space="0" w:color="auto"/>
              <w:bottom w:val="single" w:sz="24" w:space="0" w:color="auto"/>
              <w:right w:val="single" w:sz="4" w:space="0" w:color="auto"/>
            </w:tcBorders>
            <w:shd w:val="solid" w:color="E6E6E6" w:fill="auto"/>
          </w:tcPr>
          <w:p w14:paraId="71A3BCCA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solid" w:color="E6E6E6" w:fill="auto"/>
          </w:tcPr>
          <w:p w14:paraId="318E8D64" w14:textId="77777777" w:rsidR="0008568B" w:rsidRDefault="0008568B" w:rsidP="002E5EEF">
            <w:pPr>
              <w:adjustRightInd/>
              <w:contextualSpacing/>
              <w:rPr>
                <w:sz w:val="24"/>
                <w:szCs w:val="24"/>
              </w:rPr>
            </w:pPr>
          </w:p>
        </w:tc>
      </w:tr>
    </w:tbl>
    <w:p w14:paraId="6DC64FA3" w14:textId="77777777" w:rsidR="00397098" w:rsidRDefault="00397098" w:rsidP="002E5EEF">
      <w:pPr>
        <w:adjustRightInd/>
        <w:spacing w:line="20" w:lineRule="exact"/>
        <w:ind w:left="608"/>
        <w:contextualSpacing/>
        <w:rPr>
          <w:sz w:val="24"/>
          <w:szCs w:val="24"/>
        </w:rPr>
      </w:pPr>
    </w:p>
    <w:p w14:paraId="1135270C" w14:textId="77777777" w:rsidR="008B7E7D" w:rsidRDefault="008B7E7D" w:rsidP="002E5EEF">
      <w:pPr>
        <w:adjustRightInd/>
        <w:spacing w:line="316" w:lineRule="auto"/>
        <w:contextualSpacing/>
        <w:rPr>
          <w:b/>
          <w:bCs/>
          <w:spacing w:val="3"/>
          <w:sz w:val="24"/>
          <w:szCs w:val="24"/>
        </w:rPr>
      </w:pPr>
    </w:p>
    <w:p w14:paraId="00F2EE59" w14:textId="77777777" w:rsidR="007D562F" w:rsidRDefault="00397098" w:rsidP="007D562F">
      <w:pPr>
        <w:adjustRightInd/>
        <w:spacing w:line="316" w:lineRule="auto"/>
        <w:ind w:left="720"/>
        <w:contextualSpacing/>
        <w:rPr>
          <w:b/>
          <w:bCs/>
          <w:spacing w:val="3"/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>3.</w:t>
      </w:r>
      <w:r w:rsidR="009B7B22">
        <w:rPr>
          <w:b/>
          <w:bCs/>
          <w:spacing w:val="3"/>
          <w:sz w:val="24"/>
          <w:szCs w:val="24"/>
        </w:rPr>
        <w:t>5</w:t>
      </w:r>
      <w:r>
        <w:rPr>
          <w:b/>
          <w:bCs/>
          <w:spacing w:val="3"/>
          <w:sz w:val="24"/>
          <w:szCs w:val="24"/>
        </w:rPr>
        <w:t xml:space="preserve"> Hourly Service Fees</w:t>
      </w:r>
    </w:p>
    <w:p w14:paraId="1029B7C7" w14:textId="0567FA1D" w:rsidR="00397098" w:rsidRPr="007D562F" w:rsidRDefault="00397098" w:rsidP="007D562F">
      <w:pPr>
        <w:adjustRightInd/>
        <w:spacing w:line="316" w:lineRule="auto"/>
        <w:ind w:left="720" w:firstLine="720"/>
        <w:contextualSpacing/>
        <w:rPr>
          <w:b/>
          <w:bCs/>
          <w:spacing w:val="3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</w:t>
      </w:r>
      <w:r w:rsidR="009B7B22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.1</w:t>
      </w:r>
      <w:r>
        <w:rPr>
          <w:b/>
          <w:bCs/>
          <w:i/>
          <w:iCs/>
          <w:spacing w:val="-2"/>
          <w:sz w:val="24"/>
          <w:szCs w:val="24"/>
        </w:rPr>
        <w:tab/>
        <w:t>Hourly Services</w:t>
      </w:r>
    </w:p>
    <w:p w14:paraId="2B7BF96D" w14:textId="3120EA1E" w:rsidR="00397098" w:rsidRDefault="00397098" w:rsidP="007D562F">
      <w:pPr>
        <w:adjustRightInd/>
        <w:ind w:left="1440"/>
        <w:contextualSpacing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If the </w:t>
      </w:r>
      <w:r w:rsidR="008F7B0A">
        <w:rPr>
          <w:spacing w:val="4"/>
          <w:sz w:val="24"/>
          <w:szCs w:val="24"/>
        </w:rPr>
        <w:t>Judicial Council</w:t>
      </w:r>
      <w:r>
        <w:rPr>
          <w:spacing w:val="4"/>
          <w:sz w:val="24"/>
          <w:szCs w:val="24"/>
        </w:rPr>
        <w:t xml:space="preserve"> requests that the Vendor supply Other Services, such Other Services will be provided by the Vendor as set forth in this Section. The Vendor may not </w:t>
      </w:r>
      <w:r>
        <w:rPr>
          <w:sz w:val="24"/>
          <w:szCs w:val="24"/>
        </w:rPr>
        <w:t xml:space="preserve">perform Other Services without the </w:t>
      </w:r>
      <w:r w:rsidR="008F7B0A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’s express written approval of such Other </w:t>
      </w:r>
      <w:r>
        <w:rPr>
          <w:spacing w:val="1"/>
          <w:sz w:val="24"/>
          <w:szCs w:val="24"/>
        </w:rPr>
        <w:t xml:space="preserve">Services that shall be granted through the Change Control Procedures, as set forth in </w:t>
      </w:r>
      <w:r>
        <w:rPr>
          <w:spacing w:val="1"/>
          <w:sz w:val="24"/>
          <w:szCs w:val="24"/>
          <w:u w:val="single"/>
        </w:rPr>
        <w:t xml:space="preserve">Article </w:t>
      </w:r>
      <w:r w:rsidR="00E3254C">
        <w:rPr>
          <w:spacing w:val="1"/>
          <w:sz w:val="24"/>
          <w:szCs w:val="24"/>
          <w:u w:val="single"/>
        </w:rPr>
        <w:t>9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of the Agreement.</w:t>
      </w:r>
    </w:p>
    <w:p w14:paraId="7DBB7973" w14:textId="77777777" w:rsidR="007D562F" w:rsidRDefault="00397098" w:rsidP="002E5EEF">
      <w:pPr>
        <w:tabs>
          <w:tab w:val="decimal" w:pos="1361"/>
          <w:tab w:val="right" w:pos="4155"/>
        </w:tabs>
        <w:adjustRightInd/>
        <w:spacing w:line="273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14:paraId="4E11A1F8" w14:textId="6261CEFA" w:rsidR="00C8156C" w:rsidRDefault="00397098" w:rsidP="008E5551">
      <w:pPr>
        <w:tabs>
          <w:tab w:val="decimal" w:pos="1361"/>
          <w:tab w:val="right" w:pos="4155"/>
        </w:tabs>
        <w:adjustRightInd/>
        <w:spacing w:line="273" w:lineRule="auto"/>
        <w:ind w:left="1361"/>
        <w:contextualSpacing/>
        <w:rPr>
          <w:b/>
          <w:bCs/>
          <w:i/>
          <w:iCs/>
          <w:spacing w:val="-2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3.</w:t>
      </w:r>
      <w:r w:rsidR="009B7B22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.2</w:t>
      </w:r>
      <w:r w:rsidR="008E5551">
        <w:rPr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b/>
          <w:bCs/>
          <w:i/>
          <w:iCs/>
          <w:spacing w:val="-2"/>
          <w:sz w:val="24"/>
          <w:szCs w:val="24"/>
        </w:rPr>
        <w:t>Other Services Fees</w:t>
      </w:r>
    </w:p>
    <w:p w14:paraId="6E6DC05E" w14:textId="0D9CA925" w:rsidR="00397098" w:rsidRPr="00C8156C" w:rsidRDefault="00397098" w:rsidP="008E5551">
      <w:pPr>
        <w:tabs>
          <w:tab w:val="decimal" w:pos="1361"/>
          <w:tab w:val="right" w:pos="4155"/>
        </w:tabs>
        <w:adjustRightInd/>
        <w:spacing w:line="273" w:lineRule="auto"/>
        <w:ind w:left="1361"/>
        <w:contextualSpacing/>
        <w:jc w:val="both"/>
        <w:rPr>
          <w:b/>
          <w:bCs/>
          <w:i/>
          <w:iCs/>
          <w:spacing w:val="-2"/>
          <w:sz w:val="24"/>
          <w:szCs w:val="24"/>
        </w:rPr>
      </w:pPr>
      <w:r>
        <w:rPr>
          <w:sz w:val="24"/>
          <w:szCs w:val="24"/>
        </w:rPr>
        <w:t xml:space="preserve">When the Vendor performs Other Services, the </w:t>
      </w:r>
      <w:r w:rsidR="008F7B0A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 will pay the Vendor a </w:t>
      </w:r>
      <w:r>
        <w:rPr>
          <w:spacing w:val="-3"/>
          <w:sz w:val="24"/>
          <w:szCs w:val="24"/>
        </w:rPr>
        <w:t xml:space="preserve">pre-negotiated fixed fee amount for the Vendor’s actual hours or months expended in performing </w:t>
      </w:r>
      <w:r>
        <w:rPr>
          <w:sz w:val="24"/>
          <w:szCs w:val="24"/>
        </w:rPr>
        <w:t xml:space="preserve">such Services at the mutually agreed upon hourly or monthly Services Rates as set forth in the applicable Rate Schedule Table included in </w:t>
      </w:r>
      <w:r w:rsidRPr="004941F1">
        <w:rPr>
          <w:sz w:val="24"/>
          <w:szCs w:val="24"/>
          <w:u w:val="single"/>
        </w:rPr>
        <w:t>Appendix E. 1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or as mutually agreed. </w:t>
      </w:r>
    </w:p>
    <w:p w14:paraId="31793EAC" w14:textId="77777777" w:rsidR="00C8156C" w:rsidRDefault="00C8156C" w:rsidP="008E5551">
      <w:pPr>
        <w:tabs>
          <w:tab w:val="right" w:pos="5333"/>
        </w:tabs>
        <w:adjustRightInd/>
        <w:spacing w:line="273" w:lineRule="auto"/>
        <w:ind w:left="1361"/>
        <w:contextualSpacing/>
        <w:rPr>
          <w:b/>
          <w:bCs/>
          <w:i/>
          <w:iCs/>
          <w:sz w:val="24"/>
          <w:szCs w:val="24"/>
        </w:rPr>
      </w:pPr>
    </w:p>
    <w:p w14:paraId="0379BA8E" w14:textId="0B2EA87B" w:rsidR="00397098" w:rsidRDefault="00397098" w:rsidP="008E5551">
      <w:pPr>
        <w:tabs>
          <w:tab w:val="right" w:pos="5333"/>
        </w:tabs>
        <w:adjustRightInd/>
        <w:spacing w:line="273" w:lineRule="auto"/>
        <w:ind w:left="1361"/>
        <w:contextualSpacing/>
        <w:rPr>
          <w:b/>
          <w:bCs/>
          <w:i/>
          <w:iCs/>
          <w:spacing w:val="-2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3.</w:t>
      </w:r>
      <w:r w:rsidR="002A5794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>.3</w:t>
      </w:r>
      <w:r w:rsidR="00C8156C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pacing w:val="-2"/>
          <w:sz w:val="24"/>
          <w:szCs w:val="24"/>
        </w:rPr>
        <w:t>Other Services Rate Calculation</w:t>
      </w:r>
    </w:p>
    <w:p w14:paraId="6FF69C58" w14:textId="77777777" w:rsidR="00397098" w:rsidRDefault="00397098" w:rsidP="008E5551">
      <w:pPr>
        <w:adjustRightInd/>
        <w:ind w:left="1361"/>
        <w:contextualSpacing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 xml:space="preserve">For hourly rates, the Vendor will charge the </w:t>
      </w:r>
      <w:r w:rsidR="008F7B0A">
        <w:rPr>
          <w:spacing w:val="5"/>
          <w:sz w:val="24"/>
          <w:szCs w:val="24"/>
        </w:rPr>
        <w:t>Judicial Council</w:t>
      </w:r>
      <w:r>
        <w:rPr>
          <w:spacing w:val="5"/>
          <w:sz w:val="24"/>
          <w:szCs w:val="24"/>
        </w:rPr>
        <w:t xml:space="preserve"> for the actual number of </w:t>
      </w:r>
      <w:r>
        <w:rPr>
          <w:spacing w:val="-1"/>
          <w:sz w:val="24"/>
          <w:szCs w:val="24"/>
        </w:rPr>
        <w:t xml:space="preserve">hours expended by the Vendor, rounded up to a quarter-hour, multiplied by the applicable Other </w:t>
      </w:r>
      <w:r>
        <w:rPr>
          <w:spacing w:val="3"/>
          <w:sz w:val="24"/>
          <w:szCs w:val="24"/>
        </w:rPr>
        <w:t xml:space="preserve">Services rate. Any additional rates which include overtime or other special considerations are </w:t>
      </w:r>
      <w:r>
        <w:rPr>
          <w:sz w:val="24"/>
          <w:szCs w:val="24"/>
        </w:rPr>
        <w:t>not applicable.</w:t>
      </w:r>
    </w:p>
    <w:p w14:paraId="41276F8A" w14:textId="77777777" w:rsidR="00C8156C" w:rsidRDefault="00C8156C" w:rsidP="008E5551">
      <w:pPr>
        <w:adjustRightInd/>
        <w:ind w:left="1361"/>
        <w:contextualSpacing/>
        <w:jc w:val="both"/>
        <w:rPr>
          <w:sz w:val="24"/>
          <w:szCs w:val="24"/>
        </w:rPr>
      </w:pPr>
    </w:p>
    <w:p w14:paraId="62D8D61A" w14:textId="182AE888" w:rsidR="00397098" w:rsidRDefault="00397098" w:rsidP="008E5551">
      <w:pPr>
        <w:adjustRightInd/>
        <w:ind w:left="136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monthly rates the Vendor will charge the </w:t>
      </w:r>
      <w:r w:rsidR="008F7B0A">
        <w:rPr>
          <w:sz w:val="24"/>
          <w:szCs w:val="24"/>
        </w:rPr>
        <w:t>Judicial Council</w:t>
      </w:r>
      <w:r>
        <w:rPr>
          <w:sz w:val="24"/>
          <w:szCs w:val="24"/>
        </w:rPr>
        <w:t xml:space="preserve"> for the actual number of </w:t>
      </w:r>
      <w:r>
        <w:rPr>
          <w:spacing w:val="1"/>
          <w:sz w:val="24"/>
          <w:szCs w:val="24"/>
        </w:rPr>
        <w:t xml:space="preserve">months expended by the Vendor multiplied by the applicable Other Services rate. Rates for </w:t>
      </w:r>
      <w:r>
        <w:rPr>
          <w:sz w:val="24"/>
          <w:szCs w:val="24"/>
        </w:rPr>
        <w:t>partial months will be prorated based on the percentage of the month expended.</w:t>
      </w:r>
    </w:p>
    <w:p w14:paraId="066A5319" w14:textId="77777777" w:rsidR="00C8156C" w:rsidRDefault="00C8156C" w:rsidP="002E5EEF">
      <w:pPr>
        <w:adjustRightInd/>
        <w:spacing w:line="304" w:lineRule="auto"/>
        <w:contextualSpacing/>
        <w:rPr>
          <w:b/>
          <w:bCs/>
          <w:spacing w:val="1"/>
          <w:sz w:val="24"/>
          <w:szCs w:val="24"/>
        </w:rPr>
      </w:pPr>
    </w:p>
    <w:p w14:paraId="1391E439" w14:textId="20EEDB93" w:rsidR="00397098" w:rsidRDefault="002A5794" w:rsidP="002E5EEF">
      <w:pPr>
        <w:adjustRightInd/>
        <w:spacing w:line="304" w:lineRule="auto"/>
        <w:contextualSpacing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4</w:t>
      </w:r>
      <w:r w:rsidR="00397098">
        <w:rPr>
          <w:b/>
          <w:bCs/>
          <w:spacing w:val="1"/>
          <w:sz w:val="24"/>
          <w:szCs w:val="24"/>
        </w:rPr>
        <w:t>.0 Referenced Exhibits</w:t>
      </w:r>
      <w:r w:rsidR="00847ED0">
        <w:rPr>
          <w:b/>
          <w:bCs/>
          <w:spacing w:val="1"/>
          <w:sz w:val="24"/>
          <w:szCs w:val="24"/>
        </w:rPr>
        <w:t xml:space="preserve"> and Appendices</w:t>
      </w:r>
    </w:p>
    <w:p w14:paraId="397D191C" w14:textId="77777777" w:rsidR="00C8156C" w:rsidRDefault="00C8156C" w:rsidP="002E5EEF">
      <w:pPr>
        <w:adjustRightInd/>
        <w:spacing w:line="304" w:lineRule="auto"/>
        <w:contextualSpacing/>
        <w:rPr>
          <w:b/>
          <w:bCs/>
          <w:spacing w:val="1"/>
          <w:sz w:val="24"/>
          <w:szCs w:val="24"/>
        </w:rPr>
      </w:pPr>
    </w:p>
    <w:tbl>
      <w:tblPr>
        <w:tblW w:w="0" w:type="auto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4047"/>
      </w:tblGrid>
      <w:tr w:rsidR="002C4C41" w14:paraId="563863D0" w14:textId="77777777" w:rsidTr="002C4C41">
        <w:trPr>
          <w:tblHeader/>
        </w:trPr>
        <w:tc>
          <w:tcPr>
            <w:tcW w:w="0" w:type="auto"/>
            <w:shd w:val="clear" w:color="auto" w:fill="CCFFFF"/>
          </w:tcPr>
          <w:p w14:paraId="5EED21EB" w14:textId="77777777" w:rsidR="002C4C41" w:rsidRDefault="002C4C41" w:rsidP="002E5EEF">
            <w:pPr>
              <w:pStyle w:val="TableHeading-Side"/>
              <w:spacing w:before="0" w:after="0"/>
              <w:contextualSpacing/>
              <w:jc w:val="center"/>
              <w:rPr>
                <w:rFonts w:ascii="Times New Roman" w:hAnsi="Times New Roman" w:cs="Times New Roman"/>
                <w:smallCaps w:val="0"/>
              </w:rPr>
            </w:pPr>
            <w:r>
              <w:rPr>
                <w:rFonts w:ascii="Times New Roman" w:hAnsi="Times New Roman" w:cs="Times New Roman"/>
                <w:smallCaps w:val="0"/>
              </w:rPr>
              <w:t>Appendix</w:t>
            </w:r>
          </w:p>
        </w:tc>
        <w:tc>
          <w:tcPr>
            <w:tcW w:w="4047" w:type="dxa"/>
            <w:shd w:val="clear" w:color="auto" w:fill="CCFFFF"/>
          </w:tcPr>
          <w:p w14:paraId="4A3B0B96" w14:textId="77777777" w:rsidR="002C4C41" w:rsidRDefault="002C4C41" w:rsidP="002E5EEF">
            <w:pPr>
              <w:pStyle w:val="TableHeading-Side"/>
              <w:spacing w:before="0" w:after="0"/>
              <w:contextualSpacing/>
              <w:jc w:val="center"/>
              <w:rPr>
                <w:rFonts w:ascii="Times New Roman" w:hAnsi="Times New Roman" w:cs="Times New Roman"/>
                <w:smallCaps w:val="0"/>
                <w:lang w:val="fr-FR"/>
              </w:rPr>
            </w:pPr>
            <w:r>
              <w:rPr>
                <w:rFonts w:ascii="Times New Roman" w:hAnsi="Times New Roman" w:cs="Times New Roman"/>
                <w:smallCaps w:val="0"/>
                <w:lang w:val="fr-FR"/>
              </w:rPr>
              <w:t>Description</w:t>
            </w:r>
          </w:p>
        </w:tc>
      </w:tr>
      <w:tr w:rsidR="002C4C41" w14:paraId="070530DF" w14:textId="77777777" w:rsidTr="0052600A">
        <w:tc>
          <w:tcPr>
            <w:tcW w:w="0" w:type="auto"/>
            <w:shd w:val="clear" w:color="auto" w:fill="auto"/>
          </w:tcPr>
          <w:p w14:paraId="4C5A1919" w14:textId="05549E7A" w:rsidR="002C4C41" w:rsidRDefault="002C4C41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sz w:val="24"/>
                <w:szCs w:val="24"/>
              </w:rPr>
              <w:t xml:space="preserve">Appendix </w:t>
            </w:r>
            <w:r w:rsidR="004941F1" w:rsidRPr="0052600A">
              <w:rPr>
                <w:rFonts w:ascii="Times New Roman" w:hAnsi="Times New Roman" w:cs="Times New Roman"/>
                <w:sz w:val="24"/>
                <w:szCs w:val="24"/>
              </w:rPr>
              <w:t>E.1</w:t>
            </w:r>
          </w:p>
        </w:tc>
        <w:tc>
          <w:tcPr>
            <w:tcW w:w="4047" w:type="dxa"/>
          </w:tcPr>
          <w:p w14:paraId="3781BB8F" w14:textId="77777777" w:rsidR="002C4C41" w:rsidRDefault="00847ED0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</w:p>
        </w:tc>
      </w:tr>
      <w:tr w:rsidR="002C4C41" w14:paraId="28065DAE" w14:textId="77777777" w:rsidTr="002C4C41">
        <w:tc>
          <w:tcPr>
            <w:tcW w:w="0" w:type="auto"/>
            <w:shd w:val="clear" w:color="auto" w:fill="000000"/>
          </w:tcPr>
          <w:p w14:paraId="6D309F45" w14:textId="77777777" w:rsidR="002C4C41" w:rsidRDefault="002C4C41" w:rsidP="002E5EEF">
            <w:pPr>
              <w:pStyle w:val="TableHeading-Side"/>
              <w:spacing w:before="0" w:after="0"/>
              <w:contextualSpacing/>
              <w:jc w:val="center"/>
              <w:rPr>
                <w:rFonts w:ascii="Times New Roman" w:hAnsi="Times New Roman" w:cs="Times New Roman"/>
                <w:smallCaps w:val="0"/>
              </w:rPr>
            </w:pPr>
            <w:r>
              <w:rPr>
                <w:rFonts w:ascii="Times New Roman" w:hAnsi="Times New Roman" w:cs="Times New Roman"/>
                <w:smallCaps w:val="0"/>
              </w:rPr>
              <w:t>Attachment/Exhibit</w:t>
            </w:r>
          </w:p>
        </w:tc>
        <w:tc>
          <w:tcPr>
            <w:tcW w:w="4047" w:type="dxa"/>
            <w:shd w:val="clear" w:color="auto" w:fill="000000"/>
          </w:tcPr>
          <w:p w14:paraId="7D5B061C" w14:textId="77777777" w:rsidR="002C4C41" w:rsidRDefault="002C4C41" w:rsidP="002E5EEF">
            <w:pPr>
              <w:pStyle w:val="TableHeading-Side"/>
              <w:spacing w:before="0" w:after="0"/>
              <w:contextualSpacing/>
              <w:jc w:val="center"/>
              <w:rPr>
                <w:rFonts w:ascii="Times New Roman" w:hAnsi="Times New Roman" w:cs="Times New Roman"/>
                <w:smallCaps w:val="0"/>
              </w:rPr>
            </w:pPr>
            <w:r>
              <w:rPr>
                <w:rFonts w:ascii="Times New Roman" w:hAnsi="Times New Roman" w:cs="Times New Roman"/>
                <w:smallCaps w:val="0"/>
              </w:rPr>
              <w:t>Description</w:t>
            </w:r>
          </w:p>
        </w:tc>
      </w:tr>
      <w:tr w:rsidR="002C4C41" w14:paraId="00434012" w14:textId="77777777" w:rsidTr="002C4C41">
        <w:tc>
          <w:tcPr>
            <w:tcW w:w="0" w:type="auto"/>
          </w:tcPr>
          <w:p w14:paraId="17449948" w14:textId="32FCCF70" w:rsidR="002C4C41" w:rsidRDefault="002C4C41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Exhibit </w:t>
            </w:r>
            <w:r w:rsidR="004941F1" w:rsidRPr="004941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4047" w:type="dxa"/>
          </w:tcPr>
          <w:p w14:paraId="3DB9140E" w14:textId="64A3C1A4" w:rsidR="002C4C41" w:rsidRDefault="002C4C41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Relationship Management </w:t>
            </w:r>
            <w:r w:rsidR="004941F1">
              <w:rPr>
                <w:rFonts w:ascii="Times New Roman" w:hAnsi="Times New Roman" w:cs="Times New Roman"/>
                <w:sz w:val="24"/>
                <w:szCs w:val="24"/>
              </w:rPr>
              <w:t>and Contract Change Management</w:t>
            </w:r>
          </w:p>
        </w:tc>
      </w:tr>
      <w:tr w:rsidR="002C4C41" w14:paraId="4E1BBD5A" w14:textId="77777777" w:rsidTr="00476DB7">
        <w:trPr>
          <w:trHeight w:val="639"/>
        </w:trPr>
        <w:tc>
          <w:tcPr>
            <w:tcW w:w="0" w:type="auto"/>
          </w:tcPr>
          <w:p w14:paraId="2EFDA3FE" w14:textId="23BB292E" w:rsidR="002C4C41" w:rsidRDefault="002C4C41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7" w:type="dxa"/>
          </w:tcPr>
          <w:p w14:paraId="53891C9E" w14:textId="5E279949" w:rsidR="002C4C41" w:rsidRDefault="002C4C41" w:rsidP="002E5EEF">
            <w:pPr>
              <w:pStyle w:val="TableText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3C0B60" w14:textId="62D5ACC5" w:rsidR="00397098" w:rsidRDefault="00397098" w:rsidP="002E5EEF">
      <w:pPr>
        <w:contextualSpacing/>
      </w:pPr>
    </w:p>
    <w:p w14:paraId="3A51F867" w14:textId="3BC2DB11" w:rsidR="005B147D" w:rsidRDefault="005B147D" w:rsidP="002E5EEF">
      <w:pPr>
        <w:contextualSpacing/>
      </w:pPr>
    </w:p>
    <w:p w14:paraId="0A03ED73" w14:textId="0F3163FC" w:rsidR="005B147D" w:rsidRDefault="005B147D" w:rsidP="002E5EEF">
      <w:pPr>
        <w:contextualSpacing/>
      </w:pPr>
    </w:p>
    <w:p w14:paraId="74D57A88" w14:textId="1723F150" w:rsidR="005B147D" w:rsidRDefault="005B147D" w:rsidP="002E5EEF">
      <w:pPr>
        <w:contextualSpacing/>
      </w:pPr>
    </w:p>
    <w:p w14:paraId="58ED488D" w14:textId="75B56568" w:rsidR="005B147D" w:rsidRDefault="005B147D" w:rsidP="002E5EEF">
      <w:pPr>
        <w:contextualSpacing/>
      </w:pPr>
    </w:p>
    <w:p w14:paraId="4B00379F" w14:textId="1B35E784" w:rsidR="005B147D" w:rsidRDefault="005B147D" w:rsidP="002E5EEF">
      <w:pPr>
        <w:contextualSpacing/>
      </w:pPr>
    </w:p>
    <w:p w14:paraId="7DFF64C7" w14:textId="183FAA9B" w:rsidR="005B147D" w:rsidRDefault="005B147D" w:rsidP="002E5EEF">
      <w:pPr>
        <w:contextualSpacing/>
      </w:pPr>
    </w:p>
    <w:p w14:paraId="5D80A91D" w14:textId="6D9896F8" w:rsidR="005B147D" w:rsidRDefault="005B147D" w:rsidP="002E5EEF">
      <w:pPr>
        <w:contextualSpacing/>
      </w:pPr>
    </w:p>
    <w:p w14:paraId="11E4883B" w14:textId="60DEA525" w:rsidR="005B147D" w:rsidRDefault="005B147D" w:rsidP="002E5EEF">
      <w:pPr>
        <w:contextualSpacing/>
      </w:pPr>
    </w:p>
    <w:p w14:paraId="587256E1" w14:textId="79A8857D" w:rsidR="005B147D" w:rsidRDefault="005B147D" w:rsidP="002E5EEF">
      <w:pPr>
        <w:contextualSpacing/>
      </w:pPr>
    </w:p>
    <w:p w14:paraId="5115F4DC" w14:textId="7056EE5D" w:rsidR="005B147D" w:rsidRDefault="005B147D" w:rsidP="002E5EEF">
      <w:pPr>
        <w:contextualSpacing/>
      </w:pPr>
    </w:p>
    <w:p w14:paraId="52034791" w14:textId="1B1C66C7" w:rsidR="005B147D" w:rsidRDefault="005B147D" w:rsidP="002E5EEF">
      <w:pPr>
        <w:contextualSpacing/>
      </w:pPr>
    </w:p>
    <w:p w14:paraId="2B9FADD8" w14:textId="7736110B" w:rsidR="005B147D" w:rsidRDefault="005B147D" w:rsidP="002E5EEF">
      <w:pPr>
        <w:contextualSpacing/>
      </w:pPr>
    </w:p>
    <w:p w14:paraId="7038D61E" w14:textId="109F9735" w:rsidR="005B147D" w:rsidRDefault="005B147D" w:rsidP="002E5EEF">
      <w:pPr>
        <w:contextualSpacing/>
      </w:pPr>
    </w:p>
    <w:p w14:paraId="55788C3E" w14:textId="36093506" w:rsidR="005B147D" w:rsidRDefault="005B147D" w:rsidP="002E5EEF">
      <w:pPr>
        <w:contextualSpacing/>
      </w:pPr>
    </w:p>
    <w:p w14:paraId="1A43F94E" w14:textId="19ECCABE" w:rsidR="005B147D" w:rsidRDefault="005B147D" w:rsidP="002E5EEF">
      <w:pPr>
        <w:contextualSpacing/>
      </w:pPr>
    </w:p>
    <w:p w14:paraId="2C2A98FE" w14:textId="10231CDE" w:rsidR="005B147D" w:rsidRDefault="005B147D" w:rsidP="002E5EEF">
      <w:pPr>
        <w:contextualSpacing/>
      </w:pPr>
    </w:p>
    <w:p w14:paraId="2E172E3E" w14:textId="1CEEF0B2" w:rsidR="005B147D" w:rsidRDefault="005B147D" w:rsidP="002E5EEF">
      <w:pPr>
        <w:contextualSpacing/>
      </w:pPr>
    </w:p>
    <w:p w14:paraId="15949264" w14:textId="7B16D9D0" w:rsidR="005B147D" w:rsidRDefault="005B147D" w:rsidP="002E5EEF">
      <w:pPr>
        <w:contextualSpacing/>
      </w:pPr>
    </w:p>
    <w:p w14:paraId="36AF0436" w14:textId="48CAE594" w:rsidR="005B147D" w:rsidRDefault="005B147D" w:rsidP="002E5EEF">
      <w:pPr>
        <w:contextualSpacing/>
      </w:pPr>
    </w:p>
    <w:p w14:paraId="2AD64006" w14:textId="3305C03B" w:rsidR="005B147D" w:rsidRDefault="005B147D" w:rsidP="002E5EEF">
      <w:pPr>
        <w:contextualSpacing/>
      </w:pPr>
    </w:p>
    <w:p w14:paraId="7EAC685A" w14:textId="372C4B7E" w:rsidR="005B147D" w:rsidRDefault="005B147D" w:rsidP="002E5EEF">
      <w:pPr>
        <w:contextualSpacing/>
      </w:pPr>
    </w:p>
    <w:p w14:paraId="3958F1EC" w14:textId="03BC3651" w:rsidR="005B147D" w:rsidRDefault="005B147D" w:rsidP="002E5EEF">
      <w:pPr>
        <w:contextualSpacing/>
      </w:pPr>
    </w:p>
    <w:p w14:paraId="667C6D42" w14:textId="4C130B4E" w:rsidR="002D7389" w:rsidRDefault="002D7389" w:rsidP="002E5EEF">
      <w:pPr>
        <w:contextualSpacing/>
      </w:pPr>
    </w:p>
    <w:p w14:paraId="11A5861B" w14:textId="6B468B10" w:rsidR="002D7389" w:rsidRDefault="002D7389" w:rsidP="002E5EEF">
      <w:pPr>
        <w:contextualSpacing/>
      </w:pPr>
    </w:p>
    <w:p w14:paraId="0C51C459" w14:textId="5D653B46" w:rsidR="002D7389" w:rsidRDefault="002D7389" w:rsidP="002E5EEF">
      <w:pPr>
        <w:contextualSpacing/>
      </w:pPr>
    </w:p>
    <w:p w14:paraId="0F9FD39C" w14:textId="77777777" w:rsidR="002D7389" w:rsidRDefault="002D7389" w:rsidP="002E5EEF">
      <w:pPr>
        <w:contextualSpacing/>
      </w:pPr>
    </w:p>
    <w:p w14:paraId="5E496655" w14:textId="151D5A47" w:rsidR="005B147D" w:rsidRPr="00222EB3" w:rsidRDefault="005B147D" w:rsidP="002E5EEF">
      <w:pPr>
        <w:contextualSpacing/>
        <w:jc w:val="center"/>
        <w:rPr>
          <w:b/>
          <w:bCs/>
          <w:sz w:val="24"/>
          <w:szCs w:val="24"/>
        </w:rPr>
      </w:pPr>
      <w:r w:rsidRPr="00222EB3">
        <w:rPr>
          <w:b/>
          <w:bCs/>
          <w:sz w:val="24"/>
          <w:szCs w:val="24"/>
        </w:rPr>
        <w:lastRenderedPageBreak/>
        <w:t>Appendix E.1</w:t>
      </w:r>
    </w:p>
    <w:sectPr w:rsidR="005B147D" w:rsidRPr="00222EB3" w:rsidSect="00B940B1">
      <w:pgSz w:w="12240" w:h="15840"/>
      <w:pgMar w:top="683" w:right="1937" w:bottom="661" w:left="1443" w:header="720" w:footer="6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1701E" w14:textId="77777777" w:rsidR="00143301" w:rsidRDefault="00143301">
      <w:r>
        <w:separator/>
      </w:r>
    </w:p>
  </w:endnote>
  <w:endnote w:type="continuationSeparator" w:id="0">
    <w:p w14:paraId="7D04E93A" w14:textId="77777777" w:rsidR="00143301" w:rsidRDefault="00143301">
      <w:r>
        <w:continuationSeparator/>
      </w:r>
    </w:p>
  </w:endnote>
  <w:endnote w:type="continuationNotice" w:id="1">
    <w:p w14:paraId="49D6B07C" w14:textId="77777777" w:rsidR="00143301" w:rsidRDefault="00143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E525" w14:textId="77777777" w:rsidR="00143301" w:rsidRDefault="00143301">
      <w:r>
        <w:separator/>
      </w:r>
    </w:p>
  </w:footnote>
  <w:footnote w:type="continuationSeparator" w:id="0">
    <w:p w14:paraId="4EFEB673" w14:textId="77777777" w:rsidR="00143301" w:rsidRDefault="00143301">
      <w:r>
        <w:continuationSeparator/>
      </w:r>
    </w:p>
  </w:footnote>
  <w:footnote w:type="continuationNotice" w:id="1">
    <w:p w14:paraId="48AD8485" w14:textId="77777777" w:rsidR="00143301" w:rsidRDefault="00143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BB72"/>
    <w:multiLevelType w:val="singleLevel"/>
    <w:tmpl w:val="28CD2634"/>
    <w:lvl w:ilvl="0">
      <w:start w:val="1"/>
      <w:numFmt w:val="lowerLetter"/>
      <w:lvlText w:val="%1."/>
      <w:lvlJc w:val="left"/>
      <w:pPr>
        <w:tabs>
          <w:tab w:val="num" w:pos="432"/>
        </w:tabs>
        <w:ind w:left="1440" w:hanging="432"/>
      </w:pPr>
      <w:rPr>
        <w:snapToGrid/>
        <w:spacing w:val="-4"/>
        <w:sz w:val="24"/>
        <w:szCs w:val="24"/>
      </w:rPr>
    </w:lvl>
  </w:abstractNum>
  <w:abstractNum w:abstractNumId="1" w15:restartNumberingAfterBreak="0">
    <w:nsid w:val="02DEADA3"/>
    <w:multiLevelType w:val="singleLevel"/>
    <w:tmpl w:val="27FA26E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snapToGrid/>
        <w:sz w:val="24"/>
        <w:szCs w:val="24"/>
      </w:rPr>
    </w:lvl>
  </w:abstractNum>
  <w:abstractNum w:abstractNumId="2" w15:restartNumberingAfterBreak="0">
    <w:nsid w:val="1FEC4B86"/>
    <w:multiLevelType w:val="hybridMultilevel"/>
    <w:tmpl w:val="1C8816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0A42E56"/>
    <w:multiLevelType w:val="hybridMultilevel"/>
    <w:tmpl w:val="8C02A8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2659"/>
    <w:multiLevelType w:val="hybridMultilevel"/>
    <w:tmpl w:val="64DCCF72"/>
    <w:lvl w:ilvl="0" w:tplc="D30279F0">
      <w:start w:val="42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29">
    <w:abstractNumId w:val="1"/>
  </w:num>
  <w:num w:numId="2" w16cid:durableId="1843423475">
    <w:abstractNumId w:val="0"/>
  </w:num>
  <w:num w:numId="3" w16cid:durableId="1055591308">
    <w:abstractNumId w:val="0"/>
    <w:lvlOverride w:ilvl="0">
      <w:lvl w:ilvl="0">
        <w:numFmt w:val="lowerLetter"/>
        <w:lvlText w:val="%1."/>
        <w:lvlJc w:val="left"/>
        <w:pPr>
          <w:tabs>
            <w:tab w:val="num" w:pos="360"/>
          </w:tabs>
          <w:ind w:left="1368" w:hanging="360"/>
        </w:pPr>
        <w:rPr>
          <w:snapToGrid/>
          <w:sz w:val="24"/>
          <w:szCs w:val="24"/>
        </w:rPr>
      </w:lvl>
    </w:lvlOverride>
  </w:num>
  <w:num w:numId="4" w16cid:durableId="286543982">
    <w:abstractNumId w:val="3"/>
  </w:num>
  <w:num w:numId="5" w16cid:durableId="514224920">
    <w:abstractNumId w:val="4"/>
  </w:num>
  <w:num w:numId="6" w16cid:durableId="101249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F42"/>
    <w:rsid w:val="0000710E"/>
    <w:rsid w:val="00011202"/>
    <w:rsid w:val="00012154"/>
    <w:rsid w:val="00024855"/>
    <w:rsid w:val="000521AA"/>
    <w:rsid w:val="00053A81"/>
    <w:rsid w:val="00057552"/>
    <w:rsid w:val="00060F47"/>
    <w:rsid w:val="000620EA"/>
    <w:rsid w:val="0006293B"/>
    <w:rsid w:val="00070D74"/>
    <w:rsid w:val="00071861"/>
    <w:rsid w:val="00071FFA"/>
    <w:rsid w:val="00074618"/>
    <w:rsid w:val="00077498"/>
    <w:rsid w:val="0008012E"/>
    <w:rsid w:val="00084F18"/>
    <w:rsid w:val="0008568B"/>
    <w:rsid w:val="000861A5"/>
    <w:rsid w:val="00086B2D"/>
    <w:rsid w:val="000873A6"/>
    <w:rsid w:val="000925F1"/>
    <w:rsid w:val="00093EBE"/>
    <w:rsid w:val="00095518"/>
    <w:rsid w:val="000A2665"/>
    <w:rsid w:val="000A6DAE"/>
    <w:rsid w:val="000A7B3F"/>
    <w:rsid w:val="000B04A6"/>
    <w:rsid w:val="000B2ED2"/>
    <w:rsid w:val="000B3045"/>
    <w:rsid w:val="000B46DD"/>
    <w:rsid w:val="000B7205"/>
    <w:rsid w:val="000C2632"/>
    <w:rsid w:val="000C6482"/>
    <w:rsid w:val="000D53F4"/>
    <w:rsid w:val="000D63D9"/>
    <w:rsid w:val="000E1973"/>
    <w:rsid w:val="000E2E99"/>
    <w:rsid w:val="000E6A77"/>
    <w:rsid w:val="000F157D"/>
    <w:rsid w:val="000F2E5F"/>
    <w:rsid w:val="00102673"/>
    <w:rsid w:val="00107F55"/>
    <w:rsid w:val="0011294D"/>
    <w:rsid w:val="001163EB"/>
    <w:rsid w:val="00120301"/>
    <w:rsid w:val="00123F1C"/>
    <w:rsid w:val="00126244"/>
    <w:rsid w:val="0013295D"/>
    <w:rsid w:val="00133664"/>
    <w:rsid w:val="001374EA"/>
    <w:rsid w:val="001407AF"/>
    <w:rsid w:val="0014123C"/>
    <w:rsid w:val="00143301"/>
    <w:rsid w:val="001523B8"/>
    <w:rsid w:val="001534F7"/>
    <w:rsid w:val="00154B45"/>
    <w:rsid w:val="00165D71"/>
    <w:rsid w:val="00181370"/>
    <w:rsid w:val="001829ED"/>
    <w:rsid w:val="00187C13"/>
    <w:rsid w:val="0019052B"/>
    <w:rsid w:val="00196535"/>
    <w:rsid w:val="00196996"/>
    <w:rsid w:val="00196AC1"/>
    <w:rsid w:val="001A01EE"/>
    <w:rsid w:val="001A0A95"/>
    <w:rsid w:val="001A75E0"/>
    <w:rsid w:val="001B54B8"/>
    <w:rsid w:val="001B6977"/>
    <w:rsid w:val="001C1D31"/>
    <w:rsid w:val="001C45E2"/>
    <w:rsid w:val="001C7C12"/>
    <w:rsid w:val="001D02B4"/>
    <w:rsid w:val="001D1683"/>
    <w:rsid w:val="001D3534"/>
    <w:rsid w:val="001D528E"/>
    <w:rsid w:val="001E1810"/>
    <w:rsid w:val="001E4F09"/>
    <w:rsid w:val="001F01D3"/>
    <w:rsid w:val="001F0B5B"/>
    <w:rsid w:val="00212E06"/>
    <w:rsid w:val="00222EB3"/>
    <w:rsid w:val="002376B5"/>
    <w:rsid w:val="00237E7C"/>
    <w:rsid w:val="00240814"/>
    <w:rsid w:val="00241724"/>
    <w:rsid w:val="002454C9"/>
    <w:rsid w:val="00247173"/>
    <w:rsid w:val="00247ADF"/>
    <w:rsid w:val="0025004B"/>
    <w:rsid w:val="0025085C"/>
    <w:rsid w:val="002573BE"/>
    <w:rsid w:val="00257CB9"/>
    <w:rsid w:val="00260096"/>
    <w:rsid w:val="00264751"/>
    <w:rsid w:val="002753A0"/>
    <w:rsid w:val="00277BD0"/>
    <w:rsid w:val="002830B2"/>
    <w:rsid w:val="0028389B"/>
    <w:rsid w:val="002877FE"/>
    <w:rsid w:val="002931D2"/>
    <w:rsid w:val="00293784"/>
    <w:rsid w:val="00295470"/>
    <w:rsid w:val="00297E60"/>
    <w:rsid w:val="002A2F4F"/>
    <w:rsid w:val="002A5794"/>
    <w:rsid w:val="002A6730"/>
    <w:rsid w:val="002B2193"/>
    <w:rsid w:val="002B46BE"/>
    <w:rsid w:val="002C0040"/>
    <w:rsid w:val="002C1FD3"/>
    <w:rsid w:val="002C4C41"/>
    <w:rsid w:val="002D22C4"/>
    <w:rsid w:val="002D255D"/>
    <w:rsid w:val="002D4E7C"/>
    <w:rsid w:val="002D6417"/>
    <w:rsid w:val="002D7389"/>
    <w:rsid w:val="002E2BE7"/>
    <w:rsid w:val="002E5B64"/>
    <w:rsid w:val="002E5EEF"/>
    <w:rsid w:val="002E7A0B"/>
    <w:rsid w:val="002E7DDF"/>
    <w:rsid w:val="002F26B8"/>
    <w:rsid w:val="00303074"/>
    <w:rsid w:val="00306622"/>
    <w:rsid w:val="00306CF9"/>
    <w:rsid w:val="00312745"/>
    <w:rsid w:val="00312E12"/>
    <w:rsid w:val="003135FC"/>
    <w:rsid w:val="003165EC"/>
    <w:rsid w:val="00320D23"/>
    <w:rsid w:val="00330673"/>
    <w:rsid w:val="003308BF"/>
    <w:rsid w:val="00337C4F"/>
    <w:rsid w:val="00354070"/>
    <w:rsid w:val="00354FFC"/>
    <w:rsid w:val="003573E8"/>
    <w:rsid w:val="0036017F"/>
    <w:rsid w:val="00360819"/>
    <w:rsid w:val="003619C7"/>
    <w:rsid w:val="003666D8"/>
    <w:rsid w:val="00367BF0"/>
    <w:rsid w:val="00372810"/>
    <w:rsid w:val="00374C1D"/>
    <w:rsid w:val="0038438D"/>
    <w:rsid w:val="003855F6"/>
    <w:rsid w:val="00391C71"/>
    <w:rsid w:val="00397098"/>
    <w:rsid w:val="0039789B"/>
    <w:rsid w:val="003A2BBE"/>
    <w:rsid w:val="003A3BE8"/>
    <w:rsid w:val="003B0362"/>
    <w:rsid w:val="003B35B5"/>
    <w:rsid w:val="003B3A25"/>
    <w:rsid w:val="003B59FA"/>
    <w:rsid w:val="003C03A5"/>
    <w:rsid w:val="003C2C18"/>
    <w:rsid w:val="003C6567"/>
    <w:rsid w:val="003C78F8"/>
    <w:rsid w:val="003E080F"/>
    <w:rsid w:val="003E1DAF"/>
    <w:rsid w:val="003E50BA"/>
    <w:rsid w:val="003E64F5"/>
    <w:rsid w:val="003E6569"/>
    <w:rsid w:val="003F4899"/>
    <w:rsid w:val="003F7C21"/>
    <w:rsid w:val="00416548"/>
    <w:rsid w:val="00424663"/>
    <w:rsid w:val="00424BC7"/>
    <w:rsid w:val="0042551A"/>
    <w:rsid w:val="00425C07"/>
    <w:rsid w:val="00425C33"/>
    <w:rsid w:val="0043561E"/>
    <w:rsid w:val="00447E59"/>
    <w:rsid w:val="004574DD"/>
    <w:rsid w:val="004726D0"/>
    <w:rsid w:val="004756A8"/>
    <w:rsid w:val="00476DB7"/>
    <w:rsid w:val="004772A4"/>
    <w:rsid w:val="00477556"/>
    <w:rsid w:val="00480FDC"/>
    <w:rsid w:val="004816B9"/>
    <w:rsid w:val="00481BEA"/>
    <w:rsid w:val="00487FC9"/>
    <w:rsid w:val="004918D5"/>
    <w:rsid w:val="00492261"/>
    <w:rsid w:val="004941F1"/>
    <w:rsid w:val="004954B5"/>
    <w:rsid w:val="0049743F"/>
    <w:rsid w:val="004A111E"/>
    <w:rsid w:val="004A25C1"/>
    <w:rsid w:val="004A687A"/>
    <w:rsid w:val="004C3565"/>
    <w:rsid w:val="004C3D55"/>
    <w:rsid w:val="004D1011"/>
    <w:rsid w:val="004D138B"/>
    <w:rsid w:val="004D17B7"/>
    <w:rsid w:val="004D6E02"/>
    <w:rsid w:val="004E760B"/>
    <w:rsid w:val="004F0447"/>
    <w:rsid w:val="004F27C2"/>
    <w:rsid w:val="004F29C2"/>
    <w:rsid w:val="004F2D72"/>
    <w:rsid w:val="004F5A98"/>
    <w:rsid w:val="004F6D72"/>
    <w:rsid w:val="00502335"/>
    <w:rsid w:val="00507CCD"/>
    <w:rsid w:val="00513260"/>
    <w:rsid w:val="0051345E"/>
    <w:rsid w:val="005173A4"/>
    <w:rsid w:val="00520B44"/>
    <w:rsid w:val="00522C5E"/>
    <w:rsid w:val="0052600A"/>
    <w:rsid w:val="0052654C"/>
    <w:rsid w:val="005270E5"/>
    <w:rsid w:val="00527857"/>
    <w:rsid w:val="00537DE9"/>
    <w:rsid w:val="00541532"/>
    <w:rsid w:val="00546D27"/>
    <w:rsid w:val="005512DA"/>
    <w:rsid w:val="0055462F"/>
    <w:rsid w:val="00556753"/>
    <w:rsid w:val="00557309"/>
    <w:rsid w:val="0055781F"/>
    <w:rsid w:val="0056195D"/>
    <w:rsid w:val="005629AD"/>
    <w:rsid w:val="00563501"/>
    <w:rsid w:val="005643A5"/>
    <w:rsid w:val="00566768"/>
    <w:rsid w:val="005676FA"/>
    <w:rsid w:val="00572A68"/>
    <w:rsid w:val="00573F26"/>
    <w:rsid w:val="005820E7"/>
    <w:rsid w:val="0058480E"/>
    <w:rsid w:val="005929DC"/>
    <w:rsid w:val="005A2F47"/>
    <w:rsid w:val="005A3326"/>
    <w:rsid w:val="005B0ABB"/>
    <w:rsid w:val="005B0D70"/>
    <w:rsid w:val="005B147D"/>
    <w:rsid w:val="005B60BD"/>
    <w:rsid w:val="005B7459"/>
    <w:rsid w:val="005C1684"/>
    <w:rsid w:val="005C44E3"/>
    <w:rsid w:val="005C4B4A"/>
    <w:rsid w:val="005D075E"/>
    <w:rsid w:val="005D09EB"/>
    <w:rsid w:val="005D6C73"/>
    <w:rsid w:val="005E0CC9"/>
    <w:rsid w:val="005E4C97"/>
    <w:rsid w:val="005E4F96"/>
    <w:rsid w:val="005E5A43"/>
    <w:rsid w:val="005F0AF1"/>
    <w:rsid w:val="005F0D7F"/>
    <w:rsid w:val="005F5D80"/>
    <w:rsid w:val="005F6BC5"/>
    <w:rsid w:val="00604967"/>
    <w:rsid w:val="00610E1C"/>
    <w:rsid w:val="0061473D"/>
    <w:rsid w:val="00620599"/>
    <w:rsid w:val="00621F42"/>
    <w:rsid w:val="00631B73"/>
    <w:rsid w:val="006339AF"/>
    <w:rsid w:val="00637DE3"/>
    <w:rsid w:val="00637F41"/>
    <w:rsid w:val="00641DD5"/>
    <w:rsid w:val="00642693"/>
    <w:rsid w:val="00646441"/>
    <w:rsid w:val="00647C9E"/>
    <w:rsid w:val="00654A69"/>
    <w:rsid w:val="00665D72"/>
    <w:rsid w:val="00670509"/>
    <w:rsid w:val="0067130E"/>
    <w:rsid w:val="0067176E"/>
    <w:rsid w:val="00693510"/>
    <w:rsid w:val="0069499E"/>
    <w:rsid w:val="00697234"/>
    <w:rsid w:val="006A2174"/>
    <w:rsid w:val="006B285C"/>
    <w:rsid w:val="006B37C3"/>
    <w:rsid w:val="006B76F9"/>
    <w:rsid w:val="006C0367"/>
    <w:rsid w:val="006C15DB"/>
    <w:rsid w:val="006C1A3E"/>
    <w:rsid w:val="006C5C0E"/>
    <w:rsid w:val="006C6502"/>
    <w:rsid w:val="006C6E3B"/>
    <w:rsid w:val="006C7F65"/>
    <w:rsid w:val="006D3828"/>
    <w:rsid w:val="006D67B8"/>
    <w:rsid w:val="006D7133"/>
    <w:rsid w:val="006E0CC7"/>
    <w:rsid w:val="006E1139"/>
    <w:rsid w:val="006E4106"/>
    <w:rsid w:val="006E7639"/>
    <w:rsid w:val="006F16CD"/>
    <w:rsid w:val="006F31FC"/>
    <w:rsid w:val="00702C8B"/>
    <w:rsid w:val="00702F2D"/>
    <w:rsid w:val="00710BFB"/>
    <w:rsid w:val="00710DD5"/>
    <w:rsid w:val="00712EB5"/>
    <w:rsid w:val="00715126"/>
    <w:rsid w:val="007256A8"/>
    <w:rsid w:val="00730E5D"/>
    <w:rsid w:val="00733775"/>
    <w:rsid w:val="007348E7"/>
    <w:rsid w:val="00745081"/>
    <w:rsid w:val="007509E4"/>
    <w:rsid w:val="00752D02"/>
    <w:rsid w:val="00753E9C"/>
    <w:rsid w:val="007549E5"/>
    <w:rsid w:val="007579EC"/>
    <w:rsid w:val="00763918"/>
    <w:rsid w:val="007644BE"/>
    <w:rsid w:val="00764DF4"/>
    <w:rsid w:val="00765CB2"/>
    <w:rsid w:val="00771241"/>
    <w:rsid w:val="00773E8C"/>
    <w:rsid w:val="00783B34"/>
    <w:rsid w:val="00786DFC"/>
    <w:rsid w:val="00790A52"/>
    <w:rsid w:val="00792D98"/>
    <w:rsid w:val="007A02E4"/>
    <w:rsid w:val="007A3998"/>
    <w:rsid w:val="007B49F2"/>
    <w:rsid w:val="007B6049"/>
    <w:rsid w:val="007B6EAC"/>
    <w:rsid w:val="007B7839"/>
    <w:rsid w:val="007C2678"/>
    <w:rsid w:val="007C2CC9"/>
    <w:rsid w:val="007D4B6B"/>
    <w:rsid w:val="007D562F"/>
    <w:rsid w:val="007D6066"/>
    <w:rsid w:val="007D762B"/>
    <w:rsid w:val="007E20C1"/>
    <w:rsid w:val="007E448C"/>
    <w:rsid w:val="007F27F3"/>
    <w:rsid w:val="007F585E"/>
    <w:rsid w:val="007F6A70"/>
    <w:rsid w:val="00802F02"/>
    <w:rsid w:val="00806997"/>
    <w:rsid w:val="00807898"/>
    <w:rsid w:val="008158D7"/>
    <w:rsid w:val="00826A7C"/>
    <w:rsid w:val="00826CA5"/>
    <w:rsid w:val="00830E3E"/>
    <w:rsid w:val="00835CF6"/>
    <w:rsid w:val="00835DDB"/>
    <w:rsid w:val="00835EAA"/>
    <w:rsid w:val="0084070C"/>
    <w:rsid w:val="0084383F"/>
    <w:rsid w:val="00847ED0"/>
    <w:rsid w:val="008529D0"/>
    <w:rsid w:val="00855C28"/>
    <w:rsid w:val="00872A5F"/>
    <w:rsid w:val="008806FB"/>
    <w:rsid w:val="00887509"/>
    <w:rsid w:val="008942B7"/>
    <w:rsid w:val="008942FC"/>
    <w:rsid w:val="0089489C"/>
    <w:rsid w:val="00897F53"/>
    <w:rsid w:val="008A48C1"/>
    <w:rsid w:val="008B08F4"/>
    <w:rsid w:val="008B422C"/>
    <w:rsid w:val="008B61F3"/>
    <w:rsid w:val="008B7E7D"/>
    <w:rsid w:val="008C2006"/>
    <w:rsid w:val="008D4DBF"/>
    <w:rsid w:val="008D63A0"/>
    <w:rsid w:val="008D7880"/>
    <w:rsid w:val="008E502D"/>
    <w:rsid w:val="008E5551"/>
    <w:rsid w:val="008E63C1"/>
    <w:rsid w:val="008E7C44"/>
    <w:rsid w:val="008F1B06"/>
    <w:rsid w:val="008F393B"/>
    <w:rsid w:val="008F3A06"/>
    <w:rsid w:val="008F3DF7"/>
    <w:rsid w:val="008F5780"/>
    <w:rsid w:val="008F7B0A"/>
    <w:rsid w:val="009040EB"/>
    <w:rsid w:val="0090414F"/>
    <w:rsid w:val="00911EDD"/>
    <w:rsid w:val="009141A6"/>
    <w:rsid w:val="009147A5"/>
    <w:rsid w:val="00917DF6"/>
    <w:rsid w:val="009250FA"/>
    <w:rsid w:val="00926B07"/>
    <w:rsid w:val="00931D9E"/>
    <w:rsid w:val="009418D1"/>
    <w:rsid w:val="00943CFC"/>
    <w:rsid w:val="00947F10"/>
    <w:rsid w:val="00954209"/>
    <w:rsid w:val="00957C29"/>
    <w:rsid w:val="00964235"/>
    <w:rsid w:val="00966DF5"/>
    <w:rsid w:val="009742C4"/>
    <w:rsid w:val="00981562"/>
    <w:rsid w:val="0098330D"/>
    <w:rsid w:val="0098613D"/>
    <w:rsid w:val="00986410"/>
    <w:rsid w:val="0099137C"/>
    <w:rsid w:val="009932EE"/>
    <w:rsid w:val="0099585C"/>
    <w:rsid w:val="009A1813"/>
    <w:rsid w:val="009A2629"/>
    <w:rsid w:val="009A63E2"/>
    <w:rsid w:val="009A68F1"/>
    <w:rsid w:val="009B20BF"/>
    <w:rsid w:val="009B2FE3"/>
    <w:rsid w:val="009B520E"/>
    <w:rsid w:val="009B7B22"/>
    <w:rsid w:val="009C6C5B"/>
    <w:rsid w:val="009D1677"/>
    <w:rsid w:val="009D4E80"/>
    <w:rsid w:val="009E221C"/>
    <w:rsid w:val="009E3540"/>
    <w:rsid w:val="009F1171"/>
    <w:rsid w:val="009F6D9D"/>
    <w:rsid w:val="00A049AC"/>
    <w:rsid w:val="00A16CAA"/>
    <w:rsid w:val="00A21DE5"/>
    <w:rsid w:val="00A2548E"/>
    <w:rsid w:val="00A32636"/>
    <w:rsid w:val="00A37DD1"/>
    <w:rsid w:val="00A41436"/>
    <w:rsid w:val="00A44C25"/>
    <w:rsid w:val="00A47586"/>
    <w:rsid w:val="00A53566"/>
    <w:rsid w:val="00A56D7D"/>
    <w:rsid w:val="00A61256"/>
    <w:rsid w:val="00A676D9"/>
    <w:rsid w:val="00A7217F"/>
    <w:rsid w:val="00A803A8"/>
    <w:rsid w:val="00A80EC7"/>
    <w:rsid w:val="00A82B2B"/>
    <w:rsid w:val="00A83061"/>
    <w:rsid w:val="00A8650C"/>
    <w:rsid w:val="00A87689"/>
    <w:rsid w:val="00A87E79"/>
    <w:rsid w:val="00A90221"/>
    <w:rsid w:val="00A957DA"/>
    <w:rsid w:val="00AA1A9F"/>
    <w:rsid w:val="00AA2ADB"/>
    <w:rsid w:val="00AA3B88"/>
    <w:rsid w:val="00AA5812"/>
    <w:rsid w:val="00AA644C"/>
    <w:rsid w:val="00AB1A65"/>
    <w:rsid w:val="00AC185F"/>
    <w:rsid w:val="00AC2C57"/>
    <w:rsid w:val="00AD729D"/>
    <w:rsid w:val="00AE2E1F"/>
    <w:rsid w:val="00AE79FB"/>
    <w:rsid w:val="00B04300"/>
    <w:rsid w:val="00B04714"/>
    <w:rsid w:val="00B1279D"/>
    <w:rsid w:val="00B12B57"/>
    <w:rsid w:val="00B1464B"/>
    <w:rsid w:val="00B146CC"/>
    <w:rsid w:val="00B149E2"/>
    <w:rsid w:val="00B158AC"/>
    <w:rsid w:val="00B168DB"/>
    <w:rsid w:val="00B16A96"/>
    <w:rsid w:val="00B17A29"/>
    <w:rsid w:val="00B20DDA"/>
    <w:rsid w:val="00B20FA8"/>
    <w:rsid w:val="00B22D05"/>
    <w:rsid w:val="00B242B7"/>
    <w:rsid w:val="00B24449"/>
    <w:rsid w:val="00B26494"/>
    <w:rsid w:val="00B27643"/>
    <w:rsid w:val="00B30CEF"/>
    <w:rsid w:val="00B32244"/>
    <w:rsid w:val="00B32C54"/>
    <w:rsid w:val="00B33E8C"/>
    <w:rsid w:val="00B46A32"/>
    <w:rsid w:val="00B4772B"/>
    <w:rsid w:val="00B529B5"/>
    <w:rsid w:val="00B606DF"/>
    <w:rsid w:val="00B6174C"/>
    <w:rsid w:val="00B6283A"/>
    <w:rsid w:val="00B65DCC"/>
    <w:rsid w:val="00B65DE2"/>
    <w:rsid w:val="00B670FC"/>
    <w:rsid w:val="00B73415"/>
    <w:rsid w:val="00B74F88"/>
    <w:rsid w:val="00B750DA"/>
    <w:rsid w:val="00B82D83"/>
    <w:rsid w:val="00B84E88"/>
    <w:rsid w:val="00B90534"/>
    <w:rsid w:val="00B940B1"/>
    <w:rsid w:val="00B962A2"/>
    <w:rsid w:val="00BA2DB3"/>
    <w:rsid w:val="00BA44F7"/>
    <w:rsid w:val="00BA6B2F"/>
    <w:rsid w:val="00BA7B39"/>
    <w:rsid w:val="00BC3EF4"/>
    <w:rsid w:val="00BC71DE"/>
    <w:rsid w:val="00BD0C48"/>
    <w:rsid w:val="00BE03F7"/>
    <w:rsid w:val="00BE43C6"/>
    <w:rsid w:val="00BE4CD1"/>
    <w:rsid w:val="00C05087"/>
    <w:rsid w:val="00C10DDC"/>
    <w:rsid w:val="00C11E73"/>
    <w:rsid w:val="00C131B6"/>
    <w:rsid w:val="00C167E1"/>
    <w:rsid w:val="00C17365"/>
    <w:rsid w:val="00C17D8C"/>
    <w:rsid w:val="00C22FE1"/>
    <w:rsid w:val="00C31EC8"/>
    <w:rsid w:val="00C33125"/>
    <w:rsid w:val="00C44047"/>
    <w:rsid w:val="00C45576"/>
    <w:rsid w:val="00C56BF5"/>
    <w:rsid w:val="00C579E5"/>
    <w:rsid w:val="00C6274B"/>
    <w:rsid w:val="00C7357A"/>
    <w:rsid w:val="00C75095"/>
    <w:rsid w:val="00C76236"/>
    <w:rsid w:val="00C8156C"/>
    <w:rsid w:val="00C83488"/>
    <w:rsid w:val="00C847B8"/>
    <w:rsid w:val="00C85407"/>
    <w:rsid w:val="00C862E0"/>
    <w:rsid w:val="00C90999"/>
    <w:rsid w:val="00CA0760"/>
    <w:rsid w:val="00CA1C58"/>
    <w:rsid w:val="00CA3F9A"/>
    <w:rsid w:val="00CA421A"/>
    <w:rsid w:val="00CA56D9"/>
    <w:rsid w:val="00CB1930"/>
    <w:rsid w:val="00CB1FF1"/>
    <w:rsid w:val="00CB29BD"/>
    <w:rsid w:val="00CB64B0"/>
    <w:rsid w:val="00CB7FA8"/>
    <w:rsid w:val="00CC04A5"/>
    <w:rsid w:val="00CC3F04"/>
    <w:rsid w:val="00CC4900"/>
    <w:rsid w:val="00CC729B"/>
    <w:rsid w:val="00CD6718"/>
    <w:rsid w:val="00CD6755"/>
    <w:rsid w:val="00CD7652"/>
    <w:rsid w:val="00CE295A"/>
    <w:rsid w:val="00CF160A"/>
    <w:rsid w:val="00CF6E0C"/>
    <w:rsid w:val="00D026F2"/>
    <w:rsid w:val="00D066C5"/>
    <w:rsid w:val="00D06B55"/>
    <w:rsid w:val="00D13410"/>
    <w:rsid w:val="00D1456E"/>
    <w:rsid w:val="00D153D0"/>
    <w:rsid w:val="00D22A1D"/>
    <w:rsid w:val="00D26508"/>
    <w:rsid w:val="00D414C4"/>
    <w:rsid w:val="00D427D3"/>
    <w:rsid w:val="00D43EF2"/>
    <w:rsid w:val="00D4425F"/>
    <w:rsid w:val="00D534F1"/>
    <w:rsid w:val="00D60B74"/>
    <w:rsid w:val="00D64D36"/>
    <w:rsid w:val="00D65956"/>
    <w:rsid w:val="00D7214C"/>
    <w:rsid w:val="00D8189A"/>
    <w:rsid w:val="00D83A63"/>
    <w:rsid w:val="00D96078"/>
    <w:rsid w:val="00D96E98"/>
    <w:rsid w:val="00DA3EEB"/>
    <w:rsid w:val="00DA410B"/>
    <w:rsid w:val="00DA74F5"/>
    <w:rsid w:val="00DC14FF"/>
    <w:rsid w:val="00DC19AF"/>
    <w:rsid w:val="00DC33FF"/>
    <w:rsid w:val="00DC4394"/>
    <w:rsid w:val="00DC486F"/>
    <w:rsid w:val="00DD0389"/>
    <w:rsid w:val="00DD3296"/>
    <w:rsid w:val="00DD381E"/>
    <w:rsid w:val="00DD6AF2"/>
    <w:rsid w:val="00DE0AF4"/>
    <w:rsid w:val="00DE2AF3"/>
    <w:rsid w:val="00DF6A1B"/>
    <w:rsid w:val="00E01EAE"/>
    <w:rsid w:val="00E022F5"/>
    <w:rsid w:val="00E06B4F"/>
    <w:rsid w:val="00E116E1"/>
    <w:rsid w:val="00E12613"/>
    <w:rsid w:val="00E17EBE"/>
    <w:rsid w:val="00E21442"/>
    <w:rsid w:val="00E25AAD"/>
    <w:rsid w:val="00E304B6"/>
    <w:rsid w:val="00E304D1"/>
    <w:rsid w:val="00E3254C"/>
    <w:rsid w:val="00E327CE"/>
    <w:rsid w:val="00E360AA"/>
    <w:rsid w:val="00E37705"/>
    <w:rsid w:val="00E40AD8"/>
    <w:rsid w:val="00E4112B"/>
    <w:rsid w:val="00E43D59"/>
    <w:rsid w:val="00E47935"/>
    <w:rsid w:val="00E634C4"/>
    <w:rsid w:val="00E658B6"/>
    <w:rsid w:val="00E72B0E"/>
    <w:rsid w:val="00E7501C"/>
    <w:rsid w:val="00E90DC4"/>
    <w:rsid w:val="00EB2C08"/>
    <w:rsid w:val="00EC1C0E"/>
    <w:rsid w:val="00ED3D94"/>
    <w:rsid w:val="00ED4706"/>
    <w:rsid w:val="00ED6C44"/>
    <w:rsid w:val="00EE2A69"/>
    <w:rsid w:val="00EE44E9"/>
    <w:rsid w:val="00EE7B1D"/>
    <w:rsid w:val="00EF5672"/>
    <w:rsid w:val="00F04D38"/>
    <w:rsid w:val="00F05113"/>
    <w:rsid w:val="00F06339"/>
    <w:rsid w:val="00F0728F"/>
    <w:rsid w:val="00F1528A"/>
    <w:rsid w:val="00F16377"/>
    <w:rsid w:val="00F25004"/>
    <w:rsid w:val="00F2590E"/>
    <w:rsid w:val="00F25A0C"/>
    <w:rsid w:val="00F308B6"/>
    <w:rsid w:val="00F31AF0"/>
    <w:rsid w:val="00F50086"/>
    <w:rsid w:val="00F504F5"/>
    <w:rsid w:val="00F514E1"/>
    <w:rsid w:val="00F5268C"/>
    <w:rsid w:val="00F549C9"/>
    <w:rsid w:val="00F55BCF"/>
    <w:rsid w:val="00F61448"/>
    <w:rsid w:val="00F61724"/>
    <w:rsid w:val="00F635CA"/>
    <w:rsid w:val="00F6696A"/>
    <w:rsid w:val="00F73684"/>
    <w:rsid w:val="00F75A9F"/>
    <w:rsid w:val="00F80F2C"/>
    <w:rsid w:val="00F84C63"/>
    <w:rsid w:val="00F84D80"/>
    <w:rsid w:val="00F96BC7"/>
    <w:rsid w:val="00FA446C"/>
    <w:rsid w:val="00FA7812"/>
    <w:rsid w:val="00FA79DB"/>
    <w:rsid w:val="00FB6AED"/>
    <w:rsid w:val="00FD2058"/>
    <w:rsid w:val="00FD3A24"/>
    <w:rsid w:val="00FD5F9A"/>
    <w:rsid w:val="00FE3CB2"/>
    <w:rsid w:val="00FE5392"/>
    <w:rsid w:val="00FE6C55"/>
    <w:rsid w:val="00FF68ED"/>
    <w:rsid w:val="7C06F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DCB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0B1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B1A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A6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E90DC4"/>
    <w:rPr>
      <w:b/>
      <w:bCs/>
    </w:rPr>
  </w:style>
  <w:style w:type="character" w:styleId="PageNumber">
    <w:name w:val="page number"/>
    <w:basedOn w:val="DefaultParagraphFont"/>
    <w:rsid w:val="00E90DC4"/>
  </w:style>
  <w:style w:type="paragraph" w:styleId="BalloonText">
    <w:name w:val="Balloon Text"/>
    <w:basedOn w:val="Normal"/>
    <w:semiHidden/>
    <w:rsid w:val="00DC48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C486F"/>
    <w:rPr>
      <w:sz w:val="16"/>
      <w:szCs w:val="16"/>
    </w:rPr>
  </w:style>
  <w:style w:type="paragraph" w:styleId="CommentText">
    <w:name w:val="annotation text"/>
    <w:basedOn w:val="Normal"/>
    <w:semiHidden/>
    <w:rsid w:val="00DC486F"/>
  </w:style>
  <w:style w:type="paragraph" w:styleId="CommentSubject">
    <w:name w:val="annotation subject"/>
    <w:basedOn w:val="CommentText"/>
    <w:next w:val="CommentText"/>
    <w:semiHidden/>
    <w:rsid w:val="00DC486F"/>
    <w:rPr>
      <w:b/>
      <w:bCs/>
    </w:rPr>
  </w:style>
  <w:style w:type="table" w:styleId="TableGrid">
    <w:name w:val="Table Grid"/>
    <w:basedOn w:val="TableNormal"/>
    <w:rsid w:val="00DE2A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Char Char Char Char"/>
    <w:basedOn w:val="Normal"/>
    <w:rsid w:val="00DE2AF3"/>
    <w:pPr>
      <w:widowControl/>
      <w:autoSpaceDE/>
      <w:autoSpaceDN/>
      <w:adjustRightInd/>
      <w:spacing w:after="160" w:line="240" w:lineRule="exact"/>
    </w:pPr>
    <w:rPr>
      <w:rFonts w:ascii="Arial" w:hAnsi="Arial" w:cs="Arial"/>
    </w:rPr>
  </w:style>
  <w:style w:type="paragraph" w:customStyle="1" w:styleId="TableHeading-Side">
    <w:name w:val="Table Heading-Side"/>
    <w:basedOn w:val="Normal"/>
    <w:rsid w:val="002C4C41"/>
    <w:pPr>
      <w:widowControl/>
      <w:autoSpaceDE/>
      <w:autoSpaceDN/>
      <w:adjustRightInd/>
      <w:spacing w:before="40" w:after="40"/>
    </w:pPr>
    <w:rPr>
      <w:rFonts w:ascii="Arial" w:hAnsi="Arial" w:cs="Arial"/>
      <w:b/>
      <w:bCs/>
      <w:smallCaps/>
      <w:sz w:val="24"/>
      <w:szCs w:val="24"/>
    </w:rPr>
  </w:style>
  <w:style w:type="paragraph" w:customStyle="1" w:styleId="TableText">
    <w:name w:val="Table Text"/>
    <w:aliases w:val="table text,tt"/>
    <w:basedOn w:val="Normal"/>
    <w:rsid w:val="002C4C41"/>
    <w:pPr>
      <w:keepNext/>
      <w:widowControl/>
      <w:suppressAutoHyphens/>
      <w:autoSpaceDE/>
      <w:autoSpaceDN/>
      <w:adjustRightInd/>
      <w:spacing w:before="40" w:after="4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B84E88"/>
  </w:style>
  <w:style w:type="paragraph" w:styleId="ListParagraph">
    <w:name w:val="List Paragraph"/>
    <w:basedOn w:val="Normal"/>
    <w:uiPriority w:val="34"/>
    <w:qFormat/>
    <w:rsid w:val="00A87689"/>
    <w:pPr>
      <w:ind w:left="720"/>
      <w:contextualSpacing/>
    </w:pPr>
  </w:style>
  <w:style w:type="character" w:customStyle="1" w:styleId="SingleChar">
    <w:name w:val="Single Char"/>
    <w:link w:val="Single"/>
    <w:locked/>
    <w:rsid w:val="00A957DA"/>
  </w:style>
  <w:style w:type="paragraph" w:customStyle="1" w:styleId="Single">
    <w:name w:val="Single"/>
    <w:basedOn w:val="BodyText"/>
    <w:link w:val="SingleChar"/>
    <w:qFormat/>
    <w:rsid w:val="00A957DA"/>
    <w:pPr>
      <w:widowControl/>
      <w:autoSpaceDE/>
      <w:autoSpaceDN/>
      <w:adjustRightInd/>
      <w:spacing w:after="240"/>
      <w:ind w:left="720"/>
    </w:pPr>
  </w:style>
  <w:style w:type="paragraph" w:styleId="BodyText">
    <w:name w:val="Body Text"/>
    <w:basedOn w:val="Normal"/>
    <w:link w:val="BodyTextChar"/>
    <w:semiHidden/>
    <w:unhideWhenUsed/>
    <w:rsid w:val="00A957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957DA"/>
  </w:style>
  <w:style w:type="character" w:customStyle="1" w:styleId="HeaderChar">
    <w:name w:val="Header Char"/>
    <w:link w:val="Header"/>
    <w:rsid w:val="00306622"/>
  </w:style>
  <w:style w:type="paragraph" w:customStyle="1" w:styleId="CoverDetail">
    <w:name w:val="CoverDetail"/>
    <w:basedOn w:val="Normal"/>
    <w:next w:val="Normal"/>
    <w:rsid w:val="005D09EB"/>
    <w:pPr>
      <w:widowControl/>
      <w:autoSpaceDE/>
      <w:autoSpaceDN/>
      <w:adjustRightInd/>
      <w:spacing w:after="12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CoverClient-center">
    <w:name w:val="CoverClient-center"/>
    <w:basedOn w:val="Normal"/>
    <w:next w:val="Normal"/>
    <w:rsid w:val="005D09EB"/>
    <w:pPr>
      <w:widowControl/>
      <w:autoSpaceDE/>
      <w:autoSpaceDN/>
      <w:adjustRightInd/>
      <w:spacing w:after="120"/>
      <w:jc w:val="center"/>
    </w:pPr>
    <w:rPr>
      <w:rFonts w:ascii="Arial" w:hAnsi="Arial" w:cs="Arial"/>
      <w:b/>
      <w:bCs/>
      <w:smallCaps/>
      <w:sz w:val="22"/>
      <w:szCs w:val="22"/>
    </w:rPr>
  </w:style>
  <w:style w:type="paragraph" w:customStyle="1" w:styleId="CoverName-center">
    <w:name w:val="CoverName-center"/>
    <w:basedOn w:val="Normal"/>
    <w:next w:val="Normal"/>
    <w:rsid w:val="00E7501C"/>
    <w:pPr>
      <w:widowControl/>
      <w:autoSpaceDE/>
      <w:autoSpaceDN/>
      <w:adjustRightInd/>
      <w:spacing w:after="240"/>
      <w:jc w:val="center"/>
    </w:pPr>
    <w:rPr>
      <w:rFonts w:ascii="Arial" w:hAnsi="Arial" w:cs="Arial"/>
      <w:b/>
      <w:bCs/>
      <w:smallCaps/>
      <w:sz w:val="28"/>
      <w:szCs w:val="28"/>
    </w:rPr>
  </w:style>
  <w:style w:type="paragraph" w:customStyle="1" w:styleId="CoverTitle-center">
    <w:name w:val="CoverTitle-center"/>
    <w:basedOn w:val="Normal"/>
    <w:next w:val="Normal"/>
    <w:rsid w:val="00E7501C"/>
    <w:pPr>
      <w:widowControl/>
      <w:autoSpaceDE/>
      <w:autoSpaceDN/>
      <w:adjustRightInd/>
      <w:spacing w:before="240" w:after="240"/>
      <w:jc w:val="center"/>
    </w:pPr>
    <w:rPr>
      <w:rFonts w:ascii="Arial" w:hAnsi="Arial" w:cs="Arial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D094-7F69-48CB-A882-494AF401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2244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2023-03-16T19:37:00Z</dcterms:created>
  <dcterms:modified xsi:type="dcterms:W3CDTF">2023-03-16T19:38:00Z</dcterms:modified>
</cp:coreProperties>
</file>