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8F" w:rsidRPr="00C206A0" w:rsidRDefault="00355F8F" w:rsidP="00355F8F">
      <w:pPr>
        <w:pStyle w:val="MemoHeaderText"/>
        <w:rPr>
          <w:b/>
          <w:u w:val="single"/>
        </w:rPr>
      </w:pPr>
      <w:r w:rsidRPr="00C206A0">
        <w:rPr>
          <w:b/>
          <w:u w:val="single"/>
        </w:rPr>
        <w:t>R</w:t>
      </w:r>
      <w:r w:rsidR="006B6FA4">
        <w:rPr>
          <w:b/>
          <w:u w:val="single"/>
        </w:rPr>
        <w:t>ESPONSES TO BIDDER QUESTIONS</w:t>
      </w:r>
    </w:p>
    <w:p w:rsidR="00355F8F" w:rsidRDefault="00355F8F" w:rsidP="00355F8F">
      <w:pPr>
        <w:pStyle w:val="MemoHeaderText"/>
      </w:pPr>
    </w:p>
    <w:p w:rsidR="002C169F" w:rsidRPr="002C169F" w:rsidRDefault="00355F8F" w:rsidP="00E940FB">
      <w:pPr>
        <w:pStyle w:val="MemoHeaderText"/>
        <w:keepNext/>
        <w:spacing w:before="120"/>
        <w:ind w:left="2160" w:hanging="2246"/>
        <w:rPr>
          <w:b/>
        </w:rPr>
      </w:pPr>
      <w:r w:rsidRPr="00DF4137">
        <w:rPr>
          <w:b/>
        </w:rPr>
        <w:t>Question 1:</w:t>
      </w:r>
      <w:r w:rsidRPr="002C169F">
        <w:rPr>
          <w:b/>
        </w:rPr>
        <w:tab/>
      </w:r>
      <w:r w:rsidR="00E940FB">
        <w:t xml:space="preserve">Please confirm the due date for this procurement is </w:t>
      </w:r>
      <w:r w:rsidR="00E940FB">
        <w:rPr>
          <w:rStyle w:val="Strong"/>
        </w:rPr>
        <w:t>11/1/2013</w:t>
      </w:r>
    </w:p>
    <w:p w:rsidR="00355F8F" w:rsidRPr="00E940FB" w:rsidRDefault="00355F8F"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E940FB" w:rsidRPr="00E940FB">
        <w:rPr>
          <w:b/>
        </w:rPr>
        <w:t>Yes, the current Proposal Due Date is November 1, 2013.</w:t>
      </w:r>
    </w:p>
    <w:p w:rsidR="00E940FB" w:rsidRPr="002C169F" w:rsidRDefault="00E940FB" w:rsidP="00E940FB">
      <w:pPr>
        <w:pStyle w:val="MemoHeaderText"/>
        <w:keepNext/>
        <w:spacing w:before="240"/>
        <w:ind w:left="2160" w:hanging="2246"/>
        <w:rPr>
          <w:b/>
        </w:rPr>
      </w:pPr>
      <w:r w:rsidRPr="00DF4137">
        <w:rPr>
          <w:b/>
        </w:rPr>
        <w:t xml:space="preserve">Question </w:t>
      </w:r>
      <w:r>
        <w:rPr>
          <w:b/>
        </w:rPr>
        <w:t>2</w:t>
      </w:r>
      <w:r w:rsidRPr="00DF4137">
        <w:rPr>
          <w:b/>
        </w:rPr>
        <w:t>:</w:t>
      </w:r>
      <w:r w:rsidRPr="002C169F">
        <w:rPr>
          <w:b/>
        </w:rPr>
        <w:tab/>
      </w:r>
      <w:r>
        <w:t>To how many vendors are you seeking to award a contract?</w:t>
      </w:r>
    </w:p>
    <w:p w:rsidR="00E940FB" w:rsidRPr="00E940FB" w:rsidRDefault="00E940FB"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045B1C">
        <w:rPr>
          <w:b/>
        </w:rPr>
        <w:t>This is unknown at this time and depends how well proposers meet the requirements of the RFP.  The solicitation in 2004 resulted in 4 awards</w:t>
      </w:r>
      <w:r w:rsidR="00045B1C" w:rsidRPr="00E940FB">
        <w:rPr>
          <w:b/>
        </w:rPr>
        <w:t>.</w:t>
      </w:r>
      <w:r w:rsidR="00045B1C">
        <w:rPr>
          <w:b/>
        </w:rPr>
        <w:t xml:space="preserve">  The solicitation in 2008 resulted in 7 awards.</w:t>
      </w:r>
    </w:p>
    <w:p w:rsidR="00E940FB" w:rsidRPr="002C169F" w:rsidRDefault="00E940FB" w:rsidP="00E940FB">
      <w:pPr>
        <w:pStyle w:val="MemoHeaderText"/>
        <w:keepNext/>
        <w:spacing w:before="240"/>
        <w:ind w:left="2160" w:hanging="2246"/>
        <w:rPr>
          <w:b/>
        </w:rPr>
      </w:pPr>
      <w:r w:rsidRPr="00DF4137">
        <w:rPr>
          <w:b/>
        </w:rPr>
        <w:t xml:space="preserve">Question </w:t>
      </w:r>
      <w:r>
        <w:rPr>
          <w:b/>
        </w:rPr>
        <w:t>3</w:t>
      </w:r>
      <w:r w:rsidRPr="00DF4137">
        <w:rPr>
          <w:b/>
        </w:rPr>
        <w:t>:</w:t>
      </w:r>
      <w:r w:rsidRPr="002C169F">
        <w:rPr>
          <w:b/>
        </w:rPr>
        <w:tab/>
      </w:r>
      <w:r>
        <w:t>Have all options to extend the current contract been exercised?</w:t>
      </w:r>
    </w:p>
    <w:p w:rsidR="00E940FB" w:rsidRPr="00E940FB" w:rsidRDefault="00E940FB"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Yes, all options to extend the current master agreements have been exercised.</w:t>
      </w:r>
    </w:p>
    <w:p w:rsidR="00E940FB" w:rsidRPr="002C169F" w:rsidRDefault="00E940FB" w:rsidP="00E940FB">
      <w:pPr>
        <w:pStyle w:val="MemoHeaderText"/>
        <w:keepNext/>
        <w:spacing w:before="240"/>
        <w:ind w:left="2160" w:hanging="2246"/>
        <w:rPr>
          <w:b/>
        </w:rPr>
      </w:pPr>
      <w:r w:rsidRPr="00DF4137">
        <w:rPr>
          <w:b/>
        </w:rPr>
        <w:t xml:space="preserve">Question </w:t>
      </w:r>
      <w:r>
        <w:rPr>
          <w:b/>
        </w:rPr>
        <w:t>4</w:t>
      </w:r>
      <w:r w:rsidRPr="00DF4137">
        <w:rPr>
          <w:b/>
        </w:rPr>
        <w:t>:</w:t>
      </w:r>
      <w:r w:rsidRPr="002C169F">
        <w:rPr>
          <w:b/>
        </w:rPr>
        <w:tab/>
      </w:r>
      <w:r>
        <w:t>What is the average age of accounts at placement (at time of award and/or on a going-forward basis), by category?</w:t>
      </w:r>
    </w:p>
    <w:p w:rsidR="00E940FB" w:rsidRPr="00E940FB" w:rsidRDefault="00E940FB"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D71D80">
        <w:rPr>
          <w:b/>
        </w:rPr>
        <w:t>This information is u</w:t>
      </w:r>
      <w:r w:rsidR="00B541FD">
        <w:rPr>
          <w:b/>
        </w:rPr>
        <w:t xml:space="preserve">nknown.  </w:t>
      </w:r>
      <w:r w:rsidR="004B11A2">
        <w:rPr>
          <w:b/>
        </w:rPr>
        <w:t xml:space="preserve">Please see </w:t>
      </w:r>
      <w:r w:rsidR="00B541FD">
        <w:rPr>
          <w:b/>
        </w:rPr>
        <w:t xml:space="preserve">Section 4.9, </w:t>
      </w:r>
      <w:r w:rsidR="004B11A2">
        <w:rPr>
          <w:b/>
        </w:rPr>
        <w:t>Historica</w:t>
      </w:r>
      <w:r w:rsidR="00B541FD">
        <w:rPr>
          <w:b/>
        </w:rPr>
        <w:t>l Data</w:t>
      </w:r>
      <w:r>
        <w:rPr>
          <w:b/>
        </w:rPr>
        <w:t>.</w:t>
      </w:r>
    </w:p>
    <w:p w:rsidR="00E940FB" w:rsidRPr="002C169F" w:rsidRDefault="00E940FB" w:rsidP="00E940FB">
      <w:pPr>
        <w:pStyle w:val="MemoHeaderText"/>
        <w:keepNext/>
        <w:spacing w:before="240"/>
        <w:ind w:left="2160" w:hanging="2246"/>
        <w:rPr>
          <w:b/>
        </w:rPr>
      </w:pPr>
      <w:r w:rsidRPr="00DF4137">
        <w:rPr>
          <w:b/>
        </w:rPr>
        <w:t xml:space="preserve">Question </w:t>
      </w:r>
      <w:r>
        <w:rPr>
          <w:b/>
        </w:rPr>
        <w:t>5</w:t>
      </w:r>
      <w:r w:rsidRPr="00DF4137">
        <w:rPr>
          <w:b/>
        </w:rPr>
        <w:t>:</w:t>
      </w:r>
      <w:r w:rsidRPr="002C169F">
        <w:rPr>
          <w:b/>
        </w:rPr>
        <w:tab/>
      </w:r>
      <w:r>
        <w:t>What estimated or actual dollars were paid last year, last month, or last quarter to any incumbent(s)?</w:t>
      </w:r>
    </w:p>
    <w:p w:rsidR="004B11A2" w:rsidRPr="00E940FB" w:rsidRDefault="004B11A2"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B541FD">
        <w:rPr>
          <w:b/>
        </w:rPr>
        <w:t xml:space="preserve">In FY 2011-12, </w:t>
      </w:r>
      <w:r w:rsidR="00EE0E31">
        <w:rPr>
          <w:b/>
        </w:rPr>
        <w:t xml:space="preserve">private vendors </w:t>
      </w:r>
      <w:r w:rsidR="00B541FD">
        <w:rPr>
          <w:b/>
        </w:rPr>
        <w:t>were paid a total of $28,222,241</w:t>
      </w:r>
      <w:r w:rsidR="0057409D">
        <w:rPr>
          <w:b/>
        </w:rPr>
        <w:t>,</w:t>
      </w:r>
      <w:r w:rsidR="00B541FD">
        <w:rPr>
          <w:b/>
        </w:rPr>
        <w:t xml:space="preserve"> in commission fees</w:t>
      </w:r>
      <w:r w:rsidR="00EE0E31">
        <w:rPr>
          <w:b/>
        </w:rPr>
        <w:t>. The total amount includes commission fees paid to private vendors that are not under the Master Agreement</w:t>
      </w:r>
      <w:r>
        <w:rPr>
          <w:b/>
        </w:rPr>
        <w:t>.</w:t>
      </w:r>
    </w:p>
    <w:p w:rsidR="00E940FB" w:rsidRPr="002C169F" w:rsidRDefault="00E940FB" w:rsidP="00E940FB">
      <w:pPr>
        <w:pStyle w:val="MemoHeaderText"/>
        <w:keepNext/>
        <w:spacing w:before="240"/>
        <w:ind w:left="2160" w:hanging="2246"/>
        <w:rPr>
          <w:b/>
        </w:rPr>
      </w:pPr>
      <w:r w:rsidRPr="00DF4137">
        <w:rPr>
          <w:b/>
        </w:rPr>
        <w:t xml:space="preserve">Question </w:t>
      </w:r>
      <w:r>
        <w:rPr>
          <w:b/>
        </w:rPr>
        <w:t>6</w:t>
      </w:r>
      <w:r w:rsidRPr="00DF4137">
        <w:rPr>
          <w:b/>
        </w:rPr>
        <w:t>:</w:t>
      </w:r>
      <w:r w:rsidRPr="002C169F">
        <w:rPr>
          <w:b/>
        </w:rPr>
        <w:tab/>
      </w:r>
      <w:r>
        <w:t>What is the monthly or quarterly number of accounts expected to be placed with the vendor(s) by category?</w:t>
      </w:r>
    </w:p>
    <w:p w:rsidR="004B11A2" w:rsidRPr="00E940FB" w:rsidRDefault="004B11A2"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D71D80">
        <w:rPr>
          <w:b/>
        </w:rPr>
        <w:t>This information is u</w:t>
      </w:r>
      <w:r w:rsidR="00B541FD">
        <w:rPr>
          <w:b/>
        </w:rPr>
        <w:t xml:space="preserve">nknown.  </w:t>
      </w:r>
      <w:r>
        <w:rPr>
          <w:b/>
        </w:rPr>
        <w:t xml:space="preserve">Please see </w:t>
      </w:r>
      <w:r w:rsidR="00B541FD">
        <w:rPr>
          <w:b/>
        </w:rPr>
        <w:t xml:space="preserve">Section 4.9, </w:t>
      </w:r>
      <w:r>
        <w:rPr>
          <w:b/>
        </w:rPr>
        <w:t>Historica</w:t>
      </w:r>
      <w:r w:rsidR="00B541FD">
        <w:rPr>
          <w:b/>
        </w:rPr>
        <w:t>l Data</w:t>
      </w:r>
      <w:r>
        <w:rPr>
          <w:b/>
        </w:rPr>
        <w:t>.</w:t>
      </w:r>
    </w:p>
    <w:p w:rsidR="00E940FB" w:rsidRPr="002C169F" w:rsidRDefault="00E940FB" w:rsidP="00E940FB">
      <w:pPr>
        <w:pStyle w:val="MemoHeaderText"/>
        <w:keepNext/>
        <w:spacing w:before="240"/>
        <w:ind w:left="2160" w:hanging="2246"/>
        <w:rPr>
          <w:b/>
        </w:rPr>
      </w:pPr>
      <w:r w:rsidRPr="00DF4137">
        <w:rPr>
          <w:b/>
        </w:rPr>
        <w:t xml:space="preserve">Question </w:t>
      </w:r>
      <w:r>
        <w:rPr>
          <w:b/>
        </w:rPr>
        <w:t>7</w:t>
      </w:r>
      <w:r w:rsidRPr="00DF4137">
        <w:rPr>
          <w:b/>
        </w:rPr>
        <w:t>:</w:t>
      </w:r>
      <w:r w:rsidRPr="002C169F">
        <w:rPr>
          <w:b/>
        </w:rPr>
        <w:tab/>
      </w:r>
      <w:r>
        <w:t>What is the monthly or quarterly dollar value of accounts expected to be placed with the vendor(s) by category?</w:t>
      </w:r>
    </w:p>
    <w:p w:rsidR="004B11A2" w:rsidRPr="00E940FB" w:rsidRDefault="004B11A2"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D71D80">
        <w:rPr>
          <w:b/>
        </w:rPr>
        <w:t>This information is u</w:t>
      </w:r>
      <w:r w:rsidR="00B541FD">
        <w:rPr>
          <w:b/>
        </w:rPr>
        <w:t>nknown.  Please see Section 4.9, Historical Data</w:t>
      </w:r>
      <w:r>
        <w:rPr>
          <w:b/>
        </w:rPr>
        <w:t>.</w:t>
      </w:r>
    </w:p>
    <w:p w:rsidR="004B11A2" w:rsidRPr="002C169F" w:rsidRDefault="004B11A2" w:rsidP="004B11A2">
      <w:pPr>
        <w:pStyle w:val="MemoHeaderText"/>
        <w:keepNext/>
        <w:spacing w:before="240"/>
        <w:ind w:left="2160" w:hanging="2246"/>
        <w:rPr>
          <w:b/>
        </w:rPr>
      </w:pPr>
      <w:r w:rsidRPr="00DF4137">
        <w:rPr>
          <w:b/>
        </w:rPr>
        <w:t xml:space="preserve">Question </w:t>
      </w:r>
      <w:r>
        <w:rPr>
          <w:b/>
        </w:rPr>
        <w:t>8</w:t>
      </w:r>
      <w:r w:rsidRPr="00DF4137">
        <w:rPr>
          <w:b/>
        </w:rPr>
        <w:t>:</w:t>
      </w:r>
      <w:r w:rsidRPr="002C169F">
        <w:rPr>
          <w:b/>
        </w:rPr>
        <w:tab/>
      </w:r>
      <w:r>
        <w:t>What has been the historical rate of return or liquidation rate provided by any incumbent(s), and/or what is anticipated or expected as a result of this procurement?</w:t>
      </w:r>
    </w:p>
    <w:p w:rsidR="004B11A2" w:rsidRPr="00E940FB" w:rsidRDefault="004B11A2"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B541FD">
        <w:rPr>
          <w:b/>
        </w:rPr>
        <w:t>Please see Section 4.9, Historical Data</w:t>
      </w:r>
      <w:r>
        <w:rPr>
          <w:b/>
        </w:rPr>
        <w:t>.</w:t>
      </w:r>
    </w:p>
    <w:p w:rsidR="004B11A2" w:rsidRPr="002C169F" w:rsidRDefault="004B11A2" w:rsidP="004B11A2">
      <w:pPr>
        <w:pStyle w:val="MemoHeaderText"/>
        <w:keepNext/>
        <w:spacing w:before="240"/>
        <w:ind w:left="2160" w:hanging="2246"/>
        <w:rPr>
          <w:b/>
        </w:rPr>
      </w:pPr>
      <w:r w:rsidRPr="00DF4137">
        <w:rPr>
          <w:b/>
        </w:rPr>
        <w:lastRenderedPageBreak/>
        <w:t xml:space="preserve">Question </w:t>
      </w:r>
      <w:r>
        <w:rPr>
          <w:b/>
        </w:rPr>
        <w:t>9</w:t>
      </w:r>
      <w:r w:rsidRPr="00DF4137">
        <w:rPr>
          <w:b/>
        </w:rPr>
        <w:t>:</w:t>
      </w:r>
      <w:r w:rsidRPr="002C169F">
        <w:rPr>
          <w:b/>
        </w:rPr>
        <w:tab/>
      </w:r>
      <w:r>
        <w:t>What is your current internal process if you determine the debtor may be deceased?</w:t>
      </w:r>
    </w:p>
    <w:p w:rsidR="004B11A2" w:rsidRPr="00E940FB" w:rsidRDefault="004B11A2" w:rsidP="004042E7">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3A6131">
        <w:rPr>
          <w:b/>
          <w:color w:val="17365D"/>
        </w:rPr>
        <w:t xml:space="preserve"> </w:t>
      </w:r>
      <w:r w:rsidR="003A6131" w:rsidRPr="00742F84">
        <w:rPr>
          <w:b/>
        </w:rPr>
        <w:t>Internal processes vary between each Participating Entity</w:t>
      </w:r>
      <w:r w:rsidR="003A6131">
        <w:rPr>
          <w:b/>
          <w:color w:val="17365D"/>
        </w:rPr>
        <w:t xml:space="preserve">. </w:t>
      </w:r>
    </w:p>
    <w:p w:rsidR="004B11A2" w:rsidRPr="002C169F" w:rsidRDefault="004B11A2" w:rsidP="004B11A2">
      <w:pPr>
        <w:pStyle w:val="MemoHeaderText"/>
        <w:keepNext/>
        <w:spacing w:before="240"/>
        <w:ind w:left="2160" w:hanging="2246"/>
        <w:rPr>
          <w:b/>
        </w:rPr>
      </w:pPr>
      <w:r w:rsidRPr="00DF4137">
        <w:rPr>
          <w:b/>
        </w:rPr>
        <w:t xml:space="preserve">Question </w:t>
      </w:r>
      <w:r>
        <w:rPr>
          <w:b/>
        </w:rPr>
        <w:t>10</w:t>
      </w:r>
      <w:r w:rsidRPr="00DF4137">
        <w:rPr>
          <w:b/>
        </w:rPr>
        <w:t>:</w:t>
      </w:r>
      <w:r w:rsidRPr="002C169F">
        <w:rPr>
          <w:b/>
        </w:rPr>
        <w:tab/>
      </w:r>
      <w:r>
        <w:t>What is your current process if any external collection agency vendor informs you the debtor may be deceased?</w:t>
      </w:r>
    </w:p>
    <w:p w:rsidR="004B11A2" w:rsidRPr="00E940FB" w:rsidRDefault="004B11A2"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B541FD">
        <w:rPr>
          <w:b/>
        </w:rPr>
        <w:t>See Response to Question 9</w:t>
      </w:r>
      <w:r>
        <w:rPr>
          <w:b/>
        </w:rPr>
        <w:t>.</w:t>
      </w:r>
    </w:p>
    <w:p w:rsidR="00430841" w:rsidRPr="002C169F" w:rsidRDefault="00430841" w:rsidP="00430841">
      <w:pPr>
        <w:pStyle w:val="MemoHeaderText"/>
        <w:keepNext/>
        <w:spacing w:before="120"/>
        <w:ind w:left="2160" w:hanging="2246"/>
        <w:rPr>
          <w:b/>
        </w:rPr>
      </w:pPr>
      <w:r w:rsidRPr="00DF4137">
        <w:rPr>
          <w:b/>
        </w:rPr>
        <w:t>Question 1</w:t>
      </w:r>
      <w:r>
        <w:rPr>
          <w:b/>
        </w:rPr>
        <w:t>1</w:t>
      </w:r>
      <w:r w:rsidRPr="00DF4137">
        <w:rPr>
          <w:b/>
        </w:rPr>
        <w:t>:</w:t>
      </w:r>
      <w:r w:rsidRPr="002C169F">
        <w:rPr>
          <w:b/>
        </w:rPr>
        <w:tab/>
      </w:r>
      <w:r>
        <w:rPr>
          <w:sz w:val="22"/>
          <w:szCs w:val="22"/>
        </w:rPr>
        <w:t>In the third paragraph of Section 1.1, who are the “other governmental or regulatory entities identified for inclusion by the AOC”?  See 1.1 Issuing Body and Coordinated Procurement.</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57409D">
        <w:rPr>
          <w:b/>
        </w:rPr>
        <w:t xml:space="preserve">Superior Courts of California, California </w:t>
      </w:r>
      <w:r w:rsidR="00C14BED">
        <w:rPr>
          <w:b/>
        </w:rPr>
        <w:t>Counties</w:t>
      </w:r>
      <w:r w:rsidR="0057409D">
        <w:rPr>
          <w:b/>
        </w:rPr>
        <w:t xml:space="preserve"> and the California State Bar are currently using the Master Agreements.  One of the appellate court</w:t>
      </w:r>
      <w:r w:rsidR="0061726C">
        <w:rPr>
          <w:b/>
        </w:rPr>
        <w:t>s</w:t>
      </w:r>
      <w:r w:rsidR="0057409D">
        <w:rPr>
          <w:b/>
        </w:rPr>
        <w:t xml:space="preserve"> is currently in discussion with three Master Agreement vendors.  Other </w:t>
      </w:r>
      <w:r>
        <w:rPr>
          <w:b/>
        </w:rPr>
        <w:t>entities are not yet identified; however, this provision has been added to allow them to utilize the Master Agreements resulting from this solicitation</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12</w:t>
      </w:r>
      <w:r w:rsidRPr="00DF4137">
        <w:rPr>
          <w:b/>
        </w:rPr>
        <w:t>:</w:t>
      </w:r>
      <w:r w:rsidRPr="002C169F">
        <w:rPr>
          <w:b/>
        </w:rPr>
        <w:tab/>
      </w:r>
      <w:r>
        <w:rPr>
          <w:sz w:val="22"/>
          <w:szCs w:val="22"/>
        </w:rPr>
        <w:t>Have any “other governmental or regulatory entities identified for inclusion by the AOC” contracted with Private Collection Agencies under the current MSA? If yes, what government or regulatory entities utilized this MSA?  See 1.1 Issuing Body and Coordinated Procurement.</w:t>
      </w:r>
    </w:p>
    <w:p w:rsidR="00430841" w:rsidRPr="00E940FB" w:rsidRDefault="00430841" w:rsidP="00430841">
      <w:pPr>
        <w:pStyle w:val="MemoHeaderText"/>
        <w:spacing w:before="120" w:after="240"/>
        <w:ind w:left="2160" w:hanging="2246"/>
        <w:rPr>
          <w:b/>
        </w:rPr>
      </w:pPr>
      <w:r w:rsidRPr="00DE1D03">
        <w:rPr>
          <w:rFonts w:ascii="Times New Roman Bold" w:hAnsi="Times New Roman Bold"/>
          <w:b/>
          <w:color w:val="FF0000"/>
        </w:rPr>
        <w:t>AOC Response</w:t>
      </w:r>
      <w:r w:rsidRPr="00DE1D03">
        <w:rPr>
          <w:b/>
        </w:rPr>
        <w:t>:</w:t>
      </w:r>
      <w:r w:rsidRPr="00DE1D03">
        <w:rPr>
          <w:b/>
        </w:rPr>
        <w:tab/>
        <w:t>This information is unknown as these entities are not yet identified.</w:t>
      </w:r>
    </w:p>
    <w:p w:rsidR="00430841" w:rsidRPr="002C169F" w:rsidRDefault="00430841" w:rsidP="00430841">
      <w:pPr>
        <w:pStyle w:val="MemoHeaderText"/>
        <w:keepNext/>
        <w:spacing w:before="120"/>
        <w:ind w:left="2160" w:hanging="2246"/>
        <w:rPr>
          <w:b/>
        </w:rPr>
      </w:pPr>
      <w:r w:rsidRPr="00DF4137">
        <w:rPr>
          <w:b/>
        </w:rPr>
        <w:t xml:space="preserve">Question </w:t>
      </w:r>
      <w:r>
        <w:rPr>
          <w:b/>
        </w:rPr>
        <w:t>13</w:t>
      </w:r>
      <w:r w:rsidRPr="00DF4137">
        <w:rPr>
          <w:b/>
        </w:rPr>
        <w:t>:</w:t>
      </w:r>
      <w:r w:rsidRPr="002C169F">
        <w:rPr>
          <w:b/>
        </w:rPr>
        <w:tab/>
      </w:r>
      <w:r>
        <w:rPr>
          <w:sz w:val="22"/>
          <w:szCs w:val="22"/>
        </w:rPr>
        <w:t>Are superior courts and counties required to contract with Private Collection Agencies using this MSA? Or can they conduct their own procurement / contracting process?  See 1.1 Issuing Body and Coordinated Procurement.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Stated in the fourth paragraph of Section 1.1 of the RFP, Participating Entities may have in-house collection resources.  Superior courts and counties are not required to utilize any of the Master Agreements resulting from this solicitation; superior courts and counties may conduct their own procurements</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14</w:t>
      </w:r>
      <w:r w:rsidRPr="00DF4137">
        <w:rPr>
          <w:b/>
        </w:rPr>
        <w:t>:</w:t>
      </w:r>
      <w:r w:rsidRPr="002C169F">
        <w:rPr>
          <w:b/>
        </w:rPr>
        <w:tab/>
      </w:r>
      <w:r w:rsidRPr="00477DB3">
        <w:rPr>
          <w:sz w:val="22"/>
          <w:szCs w:val="22"/>
        </w:rPr>
        <w:t xml:space="preserve">What is the overall volume of accounts (number of accounts and total dollars) that you anticipate referring to </w:t>
      </w:r>
      <w:r>
        <w:rPr>
          <w:sz w:val="22"/>
          <w:szCs w:val="22"/>
        </w:rPr>
        <w:t>each</w:t>
      </w:r>
      <w:r w:rsidRPr="00477DB3">
        <w:rPr>
          <w:sz w:val="22"/>
          <w:szCs w:val="22"/>
        </w:rPr>
        <w:t xml:space="preserve"> vendor for collections?</w:t>
      </w:r>
      <w:r>
        <w:rPr>
          <w:sz w:val="22"/>
          <w:szCs w:val="22"/>
        </w:rPr>
        <w:t xml:space="preserve">  </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See Section 4.9, Historical Data</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15</w:t>
      </w:r>
      <w:r w:rsidRPr="00DF4137">
        <w:rPr>
          <w:b/>
        </w:rPr>
        <w:t>:</w:t>
      </w:r>
      <w:r w:rsidRPr="002C169F">
        <w:rPr>
          <w:b/>
        </w:rPr>
        <w:tab/>
      </w:r>
      <w:r w:rsidRPr="00477DB3">
        <w:rPr>
          <w:sz w:val="22"/>
          <w:szCs w:val="22"/>
        </w:rPr>
        <w:t xml:space="preserve">What is the average balance of the accounts </w:t>
      </w:r>
      <w:r>
        <w:rPr>
          <w:sz w:val="22"/>
          <w:szCs w:val="22"/>
        </w:rPr>
        <w:t>Participating Entities</w:t>
      </w:r>
      <w:r w:rsidRPr="00477DB3">
        <w:rPr>
          <w:sz w:val="22"/>
          <w:szCs w:val="22"/>
        </w:rPr>
        <w:t xml:space="preserve"> will refer for collections?</w:t>
      </w:r>
      <w:r>
        <w:rPr>
          <w:sz w:val="22"/>
          <w:szCs w:val="22"/>
        </w:rPr>
        <w:t xml:space="preserve">  </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information is unknown</w:t>
      </w:r>
      <w:r w:rsidRPr="00E940FB">
        <w:rPr>
          <w:b/>
        </w:rPr>
        <w:t>.</w:t>
      </w:r>
    </w:p>
    <w:p w:rsidR="00430841" w:rsidRPr="002C169F" w:rsidRDefault="00430841" w:rsidP="00430841">
      <w:pPr>
        <w:pStyle w:val="MemoHeaderText"/>
        <w:keepNext/>
        <w:spacing w:before="120"/>
        <w:ind w:left="2160" w:hanging="2246"/>
        <w:rPr>
          <w:b/>
        </w:rPr>
      </w:pPr>
      <w:r w:rsidRPr="00DF4137">
        <w:rPr>
          <w:b/>
        </w:rPr>
        <w:lastRenderedPageBreak/>
        <w:t xml:space="preserve">Question </w:t>
      </w:r>
      <w:r>
        <w:rPr>
          <w:b/>
        </w:rPr>
        <w:t>16</w:t>
      </w:r>
      <w:r w:rsidRPr="00DF4137">
        <w:rPr>
          <w:b/>
        </w:rPr>
        <w:t>:</w:t>
      </w:r>
      <w:r w:rsidRPr="002C169F">
        <w:rPr>
          <w:b/>
        </w:rPr>
        <w:tab/>
      </w:r>
      <w:r w:rsidRPr="00477DB3">
        <w:rPr>
          <w:sz w:val="22"/>
          <w:szCs w:val="22"/>
        </w:rPr>
        <w:t xml:space="preserve">What is the average age of the accounts you will </w:t>
      </w:r>
      <w:r>
        <w:rPr>
          <w:sz w:val="22"/>
          <w:szCs w:val="22"/>
        </w:rPr>
        <w:t>Participating Entities</w:t>
      </w:r>
      <w:r w:rsidRPr="00477DB3">
        <w:rPr>
          <w:sz w:val="22"/>
          <w:szCs w:val="22"/>
        </w:rPr>
        <w:t xml:space="preserve"> for collections?</w:t>
      </w:r>
      <w:r>
        <w:rPr>
          <w:sz w:val="22"/>
          <w:szCs w:val="22"/>
        </w:rPr>
        <w:t xml:space="preserve">  </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We cannot predict which accounts a Participating Entity may refer to an outside collection agency</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17</w:t>
      </w:r>
      <w:r w:rsidRPr="00DF4137">
        <w:rPr>
          <w:b/>
        </w:rPr>
        <w:t>:</w:t>
      </w:r>
      <w:r w:rsidRPr="002C169F">
        <w:rPr>
          <w:b/>
        </w:rPr>
        <w:tab/>
      </w:r>
      <w:r w:rsidRPr="00477DB3">
        <w:rPr>
          <w:sz w:val="22"/>
          <w:szCs w:val="22"/>
        </w:rPr>
        <w:t>If the contract is awarded to a different vendor than currently cont</w:t>
      </w:r>
      <w:r>
        <w:rPr>
          <w:sz w:val="22"/>
          <w:szCs w:val="22"/>
        </w:rPr>
        <w:t>racted, will Participating Entities</w:t>
      </w:r>
      <w:r w:rsidRPr="00477DB3">
        <w:rPr>
          <w:sz w:val="22"/>
          <w:szCs w:val="22"/>
        </w:rPr>
        <w:t xml:space="preserve"> be recalling the accounts previously listed to the current vendor and forwarding those accounts to the new vendor?</w:t>
      </w:r>
      <w:r>
        <w:rPr>
          <w:sz w:val="22"/>
          <w:szCs w:val="22"/>
        </w:rPr>
        <w:t xml:space="preserve">  </w:t>
      </w:r>
    </w:p>
    <w:p w:rsidR="00430841" w:rsidRPr="002C169F" w:rsidRDefault="00430841" w:rsidP="00430841">
      <w:pPr>
        <w:pStyle w:val="MemoHeaderText"/>
        <w:keepNext/>
        <w:spacing w:before="120"/>
        <w:ind w:left="2160" w:hanging="2246"/>
        <w:rPr>
          <w:b/>
        </w:rPr>
      </w:pPr>
      <w:r>
        <w:rPr>
          <w:sz w:val="22"/>
          <w:szCs w:val="22"/>
        </w:rPr>
        <w:tab/>
      </w:r>
      <w:r>
        <w:rPr>
          <w:sz w:val="22"/>
          <w:szCs w:val="22"/>
        </w:rPr>
        <w:tab/>
      </w:r>
      <w:r w:rsidRPr="00477DB3">
        <w:rPr>
          <w:sz w:val="22"/>
          <w:szCs w:val="22"/>
        </w:rPr>
        <w:t>If yes, what is the overall volume of these accounts (number of accounts and total dollars), that you anticipate would be referred for collections?</w:t>
      </w:r>
      <w:r>
        <w:rPr>
          <w:sz w:val="22"/>
          <w:szCs w:val="22"/>
        </w:rPr>
        <w:t xml:space="preserve">  </w:t>
      </w:r>
    </w:p>
    <w:p w:rsidR="00430841" w:rsidRPr="002C169F" w:rsidRDefault="00430841" w:rsidP="00430841">
      <w:pPr>
        <w:pStyle w:val="MemoHeaderText"/>
        <w:keepNext/>
        <w:spacing w:before="120"/>
        <w:ind w:left="2160" w:hanging="2246"/>
        <w:rPr>
          <w:b/>
        </w:rPr>
      </w:pPr>
      <w:r>
        <w:rPr>
          <w:sz w:val="22"/>
          <w:szCs w:val="22"/>
        </w:rPr>
        <w:tab/>
      </w:r>
      <w:r>
        <w:rPr>
          <w:sz w:val="22"/>
          <w:szCs w:val="22"/>
        </w:rPr>
        <w:tab/>
      </w:r>
      <w:r w:rsidRPr="00477DB3">
        <w:rPr>
          <w:sz w:val="22"/>
          <w:szCs w:val="22"/>
        </w:rPr>
        <w:t>If yes, will these accounts be allowed to be bid at a different rate, since these are what the collection industry calls “seconds” and are not primary-placed accounts?</w:t>
      </w:r>
      <w:r>
        <w:rPr>
          <w:sz w:val="22"/>
          <w:szCs w:val="22"/>
        </w:rPr>
        <w:t xml:space="preserve">  </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We cannot predict what a Participating Entity may do.  For existing Master Agreements, there are Transition Services which a Participating Entity may use</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18</w:t>
      </w:r>
      <w:r w:rsidRPr="00DF4137">
        <w:rPr>
          <w:b/>
        </w:rPr>
        <w:t>:</w:t>
      </w:r>
      <w:r w:rsidRPr="002C169F">
        <w:rPr>
          <w:b/>
        </w:rPr>
        <w:tab/>
      </w:r>
      <w:r w:rsidRPr="00477DB3">
        <w:rPr>
          <w:sz w:val="22"/>
          <w:szCs w:val="22"/>
        </w:rPr>
        <w:t xml:space="preserve">What is the age of the oldest accounts </w:t>
      </w:r>
      <w:r>
        <w:rPr>
          <w:sz w:val="22"/>
          <w:szCs w:val="22"/>
        </w:rPr>
        <w:t>Participating Entities</w:t>
      </w:r>
      <w:r w:rsidRPr="00477DB3">
        <w:rPr>
          <w:sz w:val="22"/>
          <w:szCs w:val="22"/>
        </w:rPr>
        <w:t xml:space="preserve"> will refer for collections?</w:t>
      </w:r>
      <w:r>
        <w:rPr>
          <w:sz w:val="22"/>
          <w:szCs w:val="22"/>
        </w:rPr>
        <w:t xml:space="preserve">  </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We cannot predict the age of accounts a Participating Entity may refer to an outside collection agency</w:t>
      </w:r>
      <w:r w:rsidRPr="00E940FB">
        <w:rPr>
          <w:b/>
        </w:rPr>
        <w:t>.</w:t>
      </w:r>
      <w:r>
        <w:rPr>
          <w:b/>
        </w:rPr>
        <w:t xml:space="preserve">  See Section 4.9, Historical Data.</w:t>
      </w:r>
    </w:p>
    <w:p w:rsidR="00430841" w:rsidRPr="002C169F" w:rsidRDefault="00430841" w:rsidP="00430841">
      <w:pPr>
        <w:pStyle w:val="MemoHeaderText"/>
        <w:keepNext/>
        <w:spacing w:before="120"/>
        <w:ind w:left="2160" w:hanging="2246"/>
        <w:rPr>
          <w:b/>
        </w:rPr>
      </w:pPr>
      <w:r w:rsidRPr="00DF4137">
        <w:rPr>
          <w:b/>
        </w:rPr>
        <w:t xml:space="preserve">Question </w:t>
      </w:r>
      <w:r>
        <w:rPr>
          <w:b/>
        </w:rPr>
        <w:t>19</w:t>
      </w:r>
      <w:r w:rsidRPr="00DF4137">
        <w:rPr>
          <w:b/>
        </w:rPr>
        <w:t>:</w:t>
      </w:r>
      <w:r w:rsidRPr="002C169F">
        <w:rPr>
          <w:b/>
        </w:rPr>
        <w:tab/>
      </w:r>
      <w:r w:rsidRPr="00477DB3">
        <w:rPr>
          <w:sz w:val="22"/>
          <w:szCs w:val="22"/>
        </w:rPr>
        <w:t xml:space="preserve">How many agencies will you be awarding to for this </w:t>
      </w:r>
      <w:r>
        <w:rPr>
          <w:sz w:val="22"/>
          <w:szCs w:val="22"/>
        </w:rPr>
        <w:t>MSA</w:t>
      </w:r>
      <w:r w:rsidRPr="00477DB3">
        <w:rPr>
          <w:sz w:val="22"/>
          <w:szCs w:val="22"/>
        </w:rPr>
        <w:t>?</w:t>
      </w:r>
      <w:r>
        <w:rPr>
          <w:sz w:val="22"/>
          <w:szCs w:val="22"/>
        </w:rPr>
        <w:t xml:space="preserve">  </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is unknown at this time and depends how well proposers meet the requirements of the RFP.  The solicitation in 2004 resulted in 4 awards</w:t>
      </w:r>
      <w:r w:rsidRPr="00E940FB">
        <w:rPr>
          <w:b/>
        </w:rPr>
        <w:t>.</w:t>
      </w:r>
      <w:r>
        <w:rPr>
          <w:b/>
        </w:rPr>
        <w:t xml:space="preserve">  The solicitation in 2008 resulted in 7 awards.</w:t>
      </w:r>
    </w:p>
    <w:p w:rsidR="00430841" w:rsidRPr="002C169F" w:rsidRDefault="00430841" w:rsidP="00430841">
      <w:pPr>
        <w:pStyle w:val="MemoHeaderText"/>
        <w:keepNext/>
        <w:spacing w:before="120"/>
        <w:ind w:left="2160" w:hanging="2246"/>
        <w:rPr>
          <w:b/>
        </w:rPr>
      </w:pPr>
      <w:r w:rsidRPr="00DF4137">
        <w:rPr>
          <w:b/>
        </w:rPr>
        <w:t xml:space="preserve">Question </w:t>
      </w:r>
      <w:r>
        <w:rPr>
          <w:b/>
        </w:rPr>
        <w:t>20</w:t>
      </w:r>
      <w:r w:rsidRPr="00DF4137">
        <w:rPr>
          <w:b/>
        </w:rPr>
        <w:t>:</w:t>
      </w:r>
      <w:r w:rsidRPr="002C169F">
        <w:rPr>
          <w:b/>
        </w:rPr>
        <w:tab/>
      </w:r>
      <w:r w:rsidRPr="004D6684">
        <w:rPr>
          <w:sz w:val="22"/>
          <w:szCs w:val="22"/>
        </w:rPr>
        <w:t>Please define “Non-Forthwith Gross Revenue.”</w:t>
      </w:r>
      <w:r>
        <w:rPr>
          <w:sz w:val="22"/>
          <w:szCs w:val="22"/>
        </w:rPr>
        <w:t xml:space="preserve">  See  </w:t>
      </w:r>
      <w:r w:rsidRPr="004D6684">
        <w:rPr>
          <w:sz w:val="22"/>
          <w:szCs w:val="22"/>
        </w:rPr>
        <w:t>4.9 Historical Data</w:t>
      </w:r>
      <w:r>
        <w:rPr>
          <w:sz w:val="22"/>
          <w:szCs w:val="22"/>
        </w:rPr>
        <w:t>.</w:t>
      </w:r>
    </w:p>
    <w:p w:rsidR="00430841" w:rsidRPr="00E940FB" w:rsidRDefault="00430841" w:rsidP="00430841">
      <w:pPr>
        <w:pStyle w:val="MemoHeaderText"/>
        <w:spacing w:before="120" w:after="240"/>
        <w:ind w:left="2160" w:hanging="2246"/>
        <w:rPr>
          <w:b/>
        </w:rPr>
      </w:pPr>
      <w:r w:rsidRPr="006D20CB">
        <w:rPr>
          <w:rFonts w:ascii="Times New Roman Bold" w:hAnsi="Times New Roman Bold"/>
          <w:b/>
          <w:color w:val="FF0000"/>
        </w:rPr>
        <w:t>AOC Response</w:t>
      </w:r>
      <w:r w:rsidRPr="006D20CB">
        <w:rPr>
          <w:b/>
        </w:rPr>
        <w:t>:</w:t>
      </w:r>
      <w:r w:rsidRPr="006D20CB">
        <w:rPr>
          <w:color w:val="FF0000"/>
          <w:sz w:val="22"/>
          <w:szCs w:val="22"/>
        </w:rPr>
        <w:t xml:space="preserve"> </w:t>
      </w:r>
      <w:r>
        <w:rPr>
          <w:color w:val="FF0000"/>
          <w:sz w:val="22"/>
          <w:szCs w:val="22"/>
        </w:rPr>
        <w:tab/>
      </w:r>
      <w:r w:rsidRPr="00DE1D03">
        <w:rPr>
          <w:b/>
          <w:sz w:val="22"/>
          <w:szCs w:val="22"/>
        </w:rPr>
        <w:t>The definition is court</w:t>
      </w:r>
      <w:r w:rsidRPr="00DC7570">
        <w:rPr>
          <w:b/>
          <w:sz w:val="22"/>
          <w:szCs w:val="22"/>
        </w:rPr>
        <w:t xml:space="preserve">-ordered debt that is at least one day delinquent (one day after failing to appear in court or adhere to a court order to pay or comply) and the associated amounts collected under an installment payment or accounts receivable </w:t>
      </w:r>
      <w:r>
        <w:rPr>
          <w:b/>
          <w:sz w:val="22"/>
          <w:szCs w:val="22"/>
        </w:rPr>
        <w:t xml:space="preserve">plan </w:t>
      </w:r>
      <w:r w:rsidRPr="00DC7570">
        <w:rPr>
          <w:b/>
          <w:sz w:val="22"/>
          <w:szCs w:val="22"/>
        </w:rPr>
        <w:t>from delinquent accounts by a collections program prior to any reductions.</w:t>
      </w:r>
    </w:p>
    <w:p w:rsidR="00430841" w:rsidRPr="002C169F" w:rsidRDefault="00430841" w:rsidP="00430841">
      <w:pPr>
        <w:pStyle w:val="MemoHeaderText"/>
        <w:keepNext/>
        <w:spacing w:before="120"/>
        <w:ind w:left="2160" w:hanging="2246"/>
        <w:rPr>
          <w:b/>
        </w:rPr>
      </w:pPr>
      <w:r w:rsidRPr="00DF4137">
        <w:rPr>
          <w:b/>
        </w:rPr>
        <w:lastRenderedPageBreak/>
        <w:t xml:space="preserve">Question </w:t>
      </w:r>
      <w:r>
        <w:rPr>
          <w:b/>
        </w:rPr>
        <w:t>21</w:t>
      </w:r>
      <w:r w:rsidRPr="00DF4137">
        <w:rPr>
          <w:b/>
        </w:rPr>
        <w:t>:</w:t>
      </w:r>
      <w:r w:rsidRPr="002C169F">
        <w:rPr>
          <w:b/>
        </w:rPr>
        <w:tab/>
      </w:r>
      <w:r>
        <w:rPr>
          <w:sz w:val="22"/>
          <w:szCs w:val="22"/>
        </w:rPr>
        <w:t>In the evaluation, will any preference be given for vendors that propose to use a call center located in California, as opposed to a call center located in another state? If yes, how many points is a California-based call center worth in the evaluation, compared to a call center located outside of California?  See 2.4 Evaluation Criteria.</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Pr="00DE1D03">
        <w:rPr>
          <w:b/>
        </w:rPr>
        <w:t>No,</w:t>
      </w:r>
      <w:r>
        <w:rPr>
          <w:b/>
        </w:rPr>
        <w:t xml:space="preserve"> the solicitation does not state any requirements regarding a call center, and we do not have points associated with a call center.  See Section 2.4 of RFP for the evaluation criteria and weighting</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22</w:t>
      </w:r>
      <w:r w:rsidRPr="00DF4137">
        <w:rPr>
          <w:b/>
        </w:rPr>
        <w:t>:</w:t>
      </w:r>
      <w:r w:rsidRPr="002C169F">
        <w:rPr>
          <w:b/>
        </w:rPr>
        <w:tab/>
      </w:r>
      <w:r>
        <w:rPr>
          <w:sz w:val="22"/>
          <w:szCs w:val="22"/>
        </w:rPr>
        <w:t>A. How is each of the debt-type categories in Appendix A – Pricing Proposal weighted for evaluation purposes? Or are they all weighted equally?</w:t>
      </w:r>
      <w:r w:rsidRPr="0028590B">
        <w:rPr>
          <w:b/>
        </w:rPr>
        <w:t xml:space="preserve"> </w:t>
      </w:r>
    </w:p>
    <w:p w:rsidR="00430841" w:rsidRPr="002C169F" w:rsidRDefault="00430841" w:rsidP="00430841">
      <w:pPr>
        <w:pStyle w:val="MemoHeaderText"/>
        <w:keepNext/>
        <w:spacing w:before="120"/>
        <w:ind w:left="2160" w:hanging="2246"/>
        <w:rPr>
          <w:b/>
        </w:rPr>
      </w:pPr>
      <w:r>
        <w:rPr>
          <w:sz w:val="22"/>
          <w:szCs w:val="22"/>
        </w:rPr>
        <w:tab/>
      </w:r>
      <w:r>
        <w:rPr>
          <w:sz w:val="22"/>
          <w:szCs w:val="22"/>
        </w:rPr>
        <w:tab/>
        <w:t>B. How is each of the age categories (i.e., Newly Delinquent, Up to 1 Year Old, 1 to 2 Years Old, etc., weighted for evaluation purposes? Or are they all weighted equally?  See  2.4 Evaluation Criteria</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We will weigh prices for electronically submitted accounts at a higher percentage than for manually submitted accounts to reflect the differences in volumes for each</w:t>
      </w:r>
      <w:r w:rsidRPr="00E940FB">
        <w:rPr>
          <w:b/>
        </w:rPr>
        <w:t>.</w:t>
      </w:r>
      <w:r>
        <w:rPr>
          <w:b/>
        </w:rPr>
        <w:t xml:space="preserve">  We will also weight the costs for the different fees based on the differences in volumes for each.  In the past we have weighted the costs due to age equally; however, that has not yet been decided for this solicitation, and will be finalized no later than the proposal due date.  The AOC does not plan on publishing the weighting factors other than what is stated in Section 2.4.</w:t>
      </w:r>
    </w:p>
    <w:p w:rsidR="00430841" w:rsidRPr="002C169F" w:rsidRDefault="00430841" w:rsidP="00430841">
      <w:pPr>
        <w:pStyle w:val="MemoHeaderText"/>
        <w:keepNext/>
        <w:spacing w:before="120"/>
        <w:ind w:left="2160" w:hanging="2246"/>
        <w:rPr>
          <w:b/>
        </w:rPr>
      </w:pPr>
      <w:r w:rsidRPr="00DF4137">
        <w:rPr>
          <w:b/>
        </w:rPr>
        <w:t xml:space="preserve">Question </w:t>
      </w:r>
      <w:r>
        <w:rPr>
          <w:b/>
        </w:rPr>
        <w:t>23</w:t>
      </w:r>
      <w:r w:rsidRPr="00DF4137">
        <w:rPr>
          <w:b/>
        </w:rPr>
        <w:t>:</w:t>
      </w:r>
      <w:r w:rsidRPr="002C169F">
        <w:rPr>
          <w:b/>
        </w:rPr>
        <w:tab/>
      </w:r>
      <w:r>
        <w:t xml:space="preserve">In the Executive Summary it states: </w:t>
      </w:r>
      <w:r>
        <w:rPr>
          <w:sz w:val="22"/>
          <w:szCs w:val="22"/>
        </w:rPr>
        <w:t>“The description must list all of its California locations…” QUESTIONS: A) Is there any requirement that the call center work be performed in California? B) Are vendors with California locations favored over contractors that do not have a California location(s)?  See 3.3.1 Executive Summary.</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Pr="009C2B8C">
        <w:rPr>
          <w:b/>
        </w:rPr>
        <w:t>No, the</w:t>
      </w:r>
      <w:r>
        <w:rPr>
          <w:b/>
        </w:rPr>
        <w:t xml:space="preserve"> RFP does not state any requirements for a call center to be located in any particular place</w:t>
      </w:r>
      <w:r w:rsidRPr="00E940FB">
        <w:rPr>
          <w:b/>
        </w:rPr>
        <w:t>.</w:t>
      </w:r>
      <w:r>
        <w:rPr>
          <w:b/>
        </w:rPr>
        <w:t xml:space="preserve">  Proposers will be evaluated solely based on the evaluation criteria listed in Section 2.4.</w:t>
      </w:r>
    </w:p>
    <w:p w:rsidR="00430841" w:rsidRPr="002C169F" w:rsidRDefault="00430841" w:rsidP="00430841">
      <w:pPr>
        <w:pStyle w:val="MemoHeaderText"/>
        <w:keepNext/>
        <w:spacing w:before="120"/>
        <w:ind w:left="2160" w:hanging="2246"/>
        <w:rPr>
          <w:b/>
        </w:rPr>
      </w:pPr>
      <w:r w:rsidRPr="00DF4137">
        <w:rPr>
          <w:b/>
        </w:rPr>
        <w:t xml:space="preserve">Question </w:t>
      </w:r>
      <w:r>
        <w:rPr>
          <w:b/>
        </w:rPr>
        <w:t>24</w:t>
      </w:r>
      <w:r w:rsidRPr="00DF4137">
        <w:rPr>
          <w:b/>
        </w:rPr>
        <w:t>:</w:t>
      </w:r>
      <w:r w:rsidRPr="002C169F">
        <w:rPr>
          <w:b/>
        </w:rPr>
        <w:tab/>
      </w:r>
      <w:r>
        <w:rPr>
          <w:sz w:val="22"/>
          <w:szCs w:val="22"/>
        </w:rPr>
        <w:t>How many Participating Entities required on-site personnel under the current MSA? Which counties or superior courts currently require on-site personnel?  See 4.2 On-Site Personnel (At Option of Participating Entity).</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AOC does not have this information</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25</w:t>
      </w:r>
      <w:r w:rsidRPr="00DF4137">
        <w:rPr>
          <w:b/>
        </w:rPr>
        <w:t>:</w:t>
      </w:r>
      <w:r w:rsidRPr="002C169F">
        <w:rPr>
          <w:b/>
        </w:rPr>
        <w:tab/>
      </w:r>
      <w:r>
        <w:rPr>
          <w:sz w:val="22"/>
          <w:szCs w:val="22"/>
        </w:rPr>
        <w:t>By county, how many FTEs on-site personnel did Participating Entities require?  See 4.2 On-Site Personnel (At Option of Participating Entity).</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AOC does not have this information</w:t>
      </w:r>
      <w:r w:rsidRPr="00E940FB">
        <w:rPr>
          <w:b/>
        </w:rPr>
        <w:t>.</w:t>
      </w:r>
    </w:p>
    <w:p w:rsidR="00430841" w:rsidRPr="002C169F" w:rsidRDefault="00430841" w:rsidP="00430841">
      <w:pPr>
        <w:pStyle w:val="MemoHeaderText"/>
        <w:keepNext/>
        <w:spacing w:before="120"/>
        <w:ind w:left="2160" w:hanging="2246"/>
        <w:rPr>
          <w:b/>
        </w:rPr>
      </w:pPr>
      <w:r w:rsidRPr="00DF4137">
        <w:rPr>
          <w:b/>
        </w:rPr>
        <w:lastRenderedPageBreak/>
        <w:t xml:space="preserve">Question </w:t>
      </w:r>
      <w:r>
        <w:rPr>
          <w:b/>
        </w:rPr>
        <w:t>26</w:t>
      </w:r>
      <w:r w:rsidRPr="00DF4137">
        <w:rPr>
          <w:b/>
        </w:rPr>
        <w:t>:</w:t>
      </w:r>
      <w:r w:rsidRPr="002C169F">
        <w:rPr>
          <w:b/>
        </w:rPr>
        <w:tab/>
      </w:r>
      <w:r>
        <w:rPr>
          <w:sz w:val="22"/>
          <w:szCs w:val="22"/>
        </w:rPr>
        <w:t>We note that the “Programs and Vendors List” shows some collection agencies that, to our knowledge, do not have current MSAs. Are Participating Entities free to contract with collection agencies outside of this MSA?  See Programs and Vendors List.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Yes.  Use of the Master Agreements resulting from this solicitation is not mandatory for any judicial branch entity</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27</w:t>
      </w:r>
      <w:r w:rsidRPr="00DF4137">
        <w:rPr>
          <w:b/>
        </w:rPr>
        <w:t>:</w:t>
      </w:r>
      <w:r w:rsidRPr="002C169F">
        <w:rPr>
          <w:b/>
        </w:rPr>
        <w:tab/>
      </w:r>
      <w:r>
        <w:rPr>
          <w:sz w:val="22"/>
          <w:szCs w:val="22"/>
        </w:rPr>
        <w:t xml:space="preserve">Per </w:t>
      </w:r>
      <w:r w:rsidRPr="00065AE3">
        <w:rPr>
          <w:sz w:val="22"/>
          <w:szCs w:val="22"/>
        </w:rPr>
        <w:t>Penal Code section 1463.007</w:t>
      </w:r>
      <w:r>
        <w:rPr>
          <w:sz w:val="22"/>
          <w:szCs w:val="22"/>
        </w:rPr>
        <w:t xml:space="preserve">, one of the components of a </w:t>
      </w:r>
      <w:r w:rsidRPr="00065AE3">
        <w:rPr>
          <w:sz w:val="22"/>
          <w:szCs w:val="22"/>
        </w:rPr>
        <w:t>comprehensive collection program</w:t>
      </w:r>
      <w:r>
        <w:rPr>
          <w:sz w:val="22"/>
          <w:szCs w:val="22"/>
        </w:rPr>
        <w:t xml:space="preserve"> is </w:t>
      </w:r>
      <w:r w:rsidRPr="00EB5DC2">
        <w:rPr>
          <w:sz w:val="22"/>
          <w:szCs w:val="22"/>
        </w:rPr>
        <w:t>“(a) Monthly bill or account statements to all debtors.”</w:t>
      </w:r>
      <w:r>
        <w:rPr>
          <w:sz w:val="22"/>
          <w:szCs w:val="22"/>
        </w:rPr>
        <w:t xml:space="preserve"> QUESTIONS: A) We assume this component applies</w:t>
      </w:r>
      <w:r w:rsidRPr="00065AE3">
        <w:rPr>
          <w:sz w:val="22"/>
          <w:szCs w:val="22"/>
        </w:rPr>
        <w:t xml:space="preserve"> </w:t>
      </w:r>
      <w:r>
        <w:rPr>
          <w:sz w:val="22"/>
          <w:szCs w:val="22"/>
        </w:rPr>
        <w:t xml:space="preserve">only </w:t>
      </w:r>
      <w:r w:rsidRPr="00065AE3">
        <w:rPr>
          <w:sz w:val="22"/>
          <w:szCs w:val="22"/>
        </w:rPr>
        <w:t>to those debtors with valid addresses and those on payment plans</w:t>
      </w:r>
      <w:r>
        <w:rPr>
          <w:sz w:val="22"/>
          <w:szCs w:val="22"/>
        </w:rPr>
        <w:t>. Is that correct?  B) Do any Participating Entities currently require monthly bill or account statements to all debtors?  See 2.3.3 Minimum Qualifications, #1.</w:t>
      </w:r>
    </w:p>
    <w:p w:rsidR="00430841" w:rsidRPr="007F3465" w:rsidRDefault="00430841" w:rsidP="00430841">
      <w:pPr>
        <w:pStyle w:val="MemoHeaderText"/>
        <w:spacing w:before="120" w:after="240"/>
        <w:ind w:left="2160" w:hanging="2246"/>
        <w:rPr>
          <w:b/>
          <w:sz w:val="22"/>
          <w:szCs w:val="22"/>
        </w:rPr>
      </w:pPr>
      <w:r w:rsidRPr="009950E2">
        <w:rPr>
          <w:rFonts w:ascii="Times New Roman Bold" w:hAnsi="Times New Roman Bold"/>
          <w:b/>
          <w:color w:val="FF0000"/>
        </w:rPr>
        <w:t>AOC Response</w:t>
      </w:r>
      <w:r w:rsidRPr="009950E2">
        <w:rPr>
          <w:b/>
        </w:rPr>
        <w:t>:</w:t>
      </w:r>
      <w:r>
        <w:rPr>
          <w:b/>
        </w:rPr>
        <w:tab/>
      </w:r>
      <w:r w:rsidRPr="007F3465">
        <w:rPr>
          <w:b/>
          <w:sz w:val="22"/>
          <w:szCs w:val="22"/>
        </w:rPr>
        <w:t xml:space="preserve">(A) PC 1463.007 has been amended; one of the five mandatory components requires that program </w:t>
      </w:r>
      <w:r w:rsidRPr="007F3465">
        <w:rPr>
          <w:b/>
          <w:i/>
          <w:sz w:val="22"/>
          <w:szCs w:val="22"/>
        </w:rPr>
        <w:t>(B) Notifies delinquent debtors for whom the program has an address in writing of their outstanding obligation within 95 days of delinquency.</w:t>
      </w:r>
      <w:r w:rsidRPr="007F3465">
        <w:rPr>
          <w:b/>
          <w:sz w:val="22"/>
          <w:szCs w:val="22"/>
        </w:rPr>
        <w:t xml:space="preserve">  As part of the optional selection, programs are required to </w:t>
      </w:r>
      <w:r w:rsidRPr="007F3465">
        <w:rPr>
          <w:b/>
          <w:i/>
          <w:sz w:val="22"/>
          <w:szCs w:val="22"/>
        </w:rPr>
        <w:t>(E) Sends monthly bills or account statements to all delinquent debtors.</w:t>
      </w:r>
    </w:p>
    <w:p w:rsidR="00430841" w:rsidRPr="007F3465" w:rsidRDefault="00430841" w:rsidP="00430841">
      <w:pPr>
        <w:pStyle w:val="MemoHeaderText"/>
        <w:spacing w:before="120" w:after="240"/>
        <w:ind w:left="2160" w:hanging="2246"/>
        <w:rPr>
          <w:b/>
          <w:i/>
        </w:rPr>
      </w:pPr>
      <w:r w:rsidRPr="007F3465">
        <w:rPr>
          <w:b/>
          <w:sz w:val="22"/>
          <w:szCs w:val="22"/>
        </w:rPr>
        <w:tab/>
      </w:r>
      <w:r w:rsidRPr="007F3465">
        <w:rPr>
          <w:b/>
          <w:sz w:val="22"/>
          <w:szCs w:val="22"/>
        </w:rPr>
        <w:tab/>
        <w:t xml:space="preserve">(B) Yes, there are </w:t>
      </w:r>
      <w:r w:rsidR="003A6131">
        <w:rPr>
          <w:b/>
          <w:sz w:val="22"/>
          <w:szCs w:val="22"/>
        </w:rPr>
        <w:t>P</w:t>
      </w:r>
      <w:r w:rsidRPr="007F3465">
        <w:rPr>
          <w:b/>
          <w:sz w:val="22"/>
          <w:szCs w:val="22"/>
        </w:rPr>
        <w:t xml:space="preserve">articipating </w:t>
      </w:r>
      <w:r w:rsidR="003A6131">
        <w:rPr>
          <w:b/>
          <w:sz w:val="22"/>
          <w:szCs w:val="22"/>
        </w:rPr>
        <w:t>E</w:t>
      </w:r>
      <w:r w:rsidRPr="007F3465">
        <w:rPr>
          <w:b/>
          <w:sz w:val="22"/>
          <w:szCs w:val="22"/>
        </w:rPr>
        <w:t>ntities currently requiring monthly bill or account statements be mailed to all debtors.</w:t>
      </w:r>
    </w:p>
    <w:p w:rsidR="00430841" w:rsidRPr="007F3465" w:rsidRDefault="00430841" w:rsidP="00430841">
      <w:pPr>
        <w:pStyle w:val="MemoHeaderText"/>
        <w:keepNext/>
        <w:spacing w:before="120"/>
        <w:ind w:left="2160" w:hanging="2246"/>
        <w:rPr>
          <w:b/>
        </w:rPr>
      </w:pPr>
      <w:r>
        <w:rPr>
          <w:b/>
        </w:rPr>
        <w:t>Question 2</w:t>
      </w:r>
      <w:r w:rsidRPr="007F3465">
        <w:rPr>
          <w:b/>
        </w:rPr>
        <w:t>8:</w:t>
      </w:r>
      <w:r w:rsidRPr="007F3465">
        <w:rPr>
          <w:b/>
        </w:rPr>
        <w:tab/>
      </w:r>
      <w:r w:rsidRPr="007F3465">
        <w:rPr>
          <w:sz w:val="22"/>
          <w:szCs w:val="22"/>
        </w:rPr>
        <w:t>Will Participating Entities be placing accounts with judgments? If yes, are there any fees associated with executing a judgment in the form of wage or bank garnishment? If so, can the fees be added to the judgment amount?  See  Appendix E, section 14. B. ANTI-TRUST CLAIMS</w:t>
      </w:r>
    </w:p>
    <w:p w:rsidR="00430841" w:rsidRPr="00E940FB" w:rsidRDefault="00430841" w:rsidP="00430841">
      <w:pPr>
        <w:pStyle w:val="MemoHeaderText"/>
        <w:spacing w:before="120" w:after="240"/>
        <w:ind w:left="2160" w:hanging="2246"/>
        <w:rPr>
          <w:b/>
        </w:rPr>
      </w:pPr>
      <w:r w:rsidRPr="007F3465">
        <w:rPr>
          <w:rFonts w:ascii="Times New Roman Bold" w:hAnsi="Times New Roman Bold"/>
          <w:b/>
          <w:color w:val="FF0000"/>
        </w:rPr>
        <w:t>AOC Response</w:t>
      </w:r>
      <w:r w:rsidRPr="007F3465">
        <w:rPr>
          <w:b/>
        </w:rPr>
        <w:t>:</w:t>
      </w:r>
      <w:r w:rsidRPr="007F3465">
        <w:rPr>
          <w:b/>
        </w:rPr>
        <w:tab/>
      </w:r>
      <w:r>
        <w:rPr>
          <w:b/>
        </w:rPr>
        <w:t>Yes, Participating Entities will be placing accounts with judgments. Please refer to the Enforcement of Judgment Laws, which is codified at California Code of Civil Procedure, sections 680.-10-724.260, and which governs virtually all monetary judgments in California. Note: The reference to Appendix E, section 14.B. ANTI-TRUST CLAIMS appears to be incorrect as it relates to the question</w:t>
      </w:r>
      <w:r w:rsidRPr="007F3465">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29</w:t>
      </w:r>
      <w:r w:rsidRPr="00DF4137">
        <w:rPr>
          <w:b/>
        </w:rPr>
        <w:t>:</w:t>
      </w:r>
      <w:r w:rsidRPr="002C169F">
        <w:rPr>
          <w:b/>
        </w:rPr>
        <w:tab/>
      </w:r>
      <w:r>
        <w:rPr>
          <w:sz w:val="22"/>
          <w:szCs w:val="22"/>
        </w:rPr>
        <w:t>For vendors that are awarded Master Agreements, are they then responsible for marketing / soliciting their services to the various Participating Entities in order to be awarded Participating Agreements with specific Participating Entities?  See 4.8 Procurement Process – Use of Master Agreement.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Participating Entities interested in outsourcing collection services have traditionally asked for presentations from 3 or more Master Agreement holders before selecting a firm</w:t>
      </w:r>
      <w:r w:rsidRPr="00E940FB">
        <w:rPr>
          <w:b/>
        </w:rPr>
        <w:t>.</w:t>
      </w:r>
    </w:p>
    <w:p w:rsidR="00430841" w:rsidRPr="002C169F" w:rsidRDefault="00430841" w:rsidP="00430841">
      <w:pPr>
        <w:pStyle w:val="MemoHeaderText"/>
        <w:keepNext/>
        <w:spacing w:before="120"/>
        <w:ind w:left="2160" w:hanging="2246"/>
        <w:rPr>
          <w:b/>
        </w:rPr>
      </w:pPr>
      <w:r w:rsidRPr="00DF4137">
        <w:rPr>
          <w:b/>
        </w:rPr>
        <w:lastRenderedPageBreak/>
        <w:t xml:space="preserve">Question </w:t>
      </w:r>
      <w:r>
        <w:rPr>
          <w:b/>
        </w:rPr>
        <w:t>30</w:t>
      </w:r>
      <w:r w:rsidRPr="00DF4137">
        <w:rPr>
          <w:b/>
        </w:rPr>
        <w:t>:</w:t>
      </w:r>
      <w:r w:rsidRPr="002C169F">
        <w:rPr>
          <w:b/>
        </w:rPr>
        <w:tab/>
      </w:r>
      <w:r>
        <w:t>Appendix F – Form of Master Agreement, section 6.3 Child Support Compliance Act, page F-6 and F-7, states that “Contractor provides the names of all new employees to the New Hire Registry maintained by the California Department of Labor and Industry.”  QUESTION: Our company submits the names of all new employees to the New Hire Registry maintained by the Pennsylvania Department of Labor and Industry, which then distributes the names to the New Hire Registry in the appropriate states, including California.  Is that process acceptable?</w:t>
      </w:r>
    </w:p>
    <w:p w:rsidR="00430841" w:rsidRPr="00E940FB" w:rsidRDefault="00430841" w:rsidP="00430841">
      <w:pPr>
        <w:pStyle w:val="MemoHeaderText"/>
        <w:spacing w:before="120" w:after="240"/>
        <w:ind w:left="2160" w:hanging="2246"/>
        <w:rPr>
          <w:b/>
        </w:rPr>
      </w:pPr>
      <w:r w:rsidRPr="006C07FE">
        <w:rPr>
          <w:rFonts w:ascii="Times New Roman Bold" w:hAnsi="Times New Roman Bold"/>
          <w:b/>
          <w:color w:val="FF0000"/>
        </w:rPr>
        <w:t>AOC Response</w:t>
      </w:r>
      <w:r w:rsidRPr="006C07FE">
        <w:rPr>
          <w:b/>
        </w:rPr>
        <w:t>:</w:t>
      </w:r>
      <w:r w:rsidRPr="006C07FE">
        <w:rPr>
          <w:b/>
        </w:rPr>
        <w:tab/>
        <w:t>Yes</w:t>
      </w:r>
      <w:r>
        <w:rPr>
          <w:b/>
        </w:rPr>
        <w:t>, this process is acceptable.</w:t>
      </w:r>
    </w:p>
    <w:p w:rsidR="00430841" w:rsidRPr="002C169F" w:rsidRDefault="00430841" w:rsidP="00430841">
      <w:pPr>
        <w:pStyle w:val="MemoHeaderText"/>
        <w:keepNext/>
        <w:spacing w:before="120"/>
        <w:ind w:left="2160" w:hanging="2246"/>
        <w:rPr>
          <w:b/>
        </w:rPr>
      </w:pPr>
      <w:r w:rsidRPr="00DF4137">
        <w:rPr>
          <w:b/>
        </w:rPr>
        <w:t xml:space="preserve">Question </w:t>
      </w:r>
      <w:r>
        <w:rPr>
          <w:b/>
        </w:rPr>
        <w:t>31</w:t>
      </w:r>
      <w:r w:rsidRPr="00DF4137">
        <w:rPr>
          <w:b/>
        </w:rPr>
        <w:t>:</w:t>
      </w:r>
      <w:r w:rsidRPr="002C169F">
        <w:rPr>
          <w:b/>
        </w:rPr>
        <w:tab/>
      </w:r>
      <w:r>
        <w:t>(m) on RFP p. 9 – “Percent of turnover of client service staff in the division or department that would be responsible for the services described in this RFP during each of the last three (3) years…” QUESTION: Can you please define “client service staff” as used in this sentence? (Does this include collection staff, too?)</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As stated in (m), we’re requesting the turnover for client service staff who are “responsible for the services described” in the RFP</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32</w:t>
      </w:r>
      <w:r w:rsidRPr="00DF4137">
        <w:rPr>
          <w:b/>
        </w:rPr>
        <w:t>:</w:t>
      </w:r>
      <w:r w:rsidRPr="002C169F">
        <w:rPr>
          <w:b/>
        </w:rPr>
        <w:tab/>
      </w:r>
      <w:r>
        <w:t xml:space="preserve">4.7 (b) under “Transition Services” in the RFP states that “Upon expiration or termination of a Master Agreement or Participating Agreement, Contractor will delete all electronic account information from its computer systems, including backup copies.” </w:t>
      </w:r>
    </w:p>
    <w:p w:rsidR="00430841" w:rsidRDefault="00430841" w:rsidP="00430841">
      <w:pPr>
        <w:pStyle w:val="ListParagraph"/>
        <w:ind w:left="360"/>
      </w:pPr>
    </w:p>
    <w:p w:rsidR="00430841" w:rsidRDefault="00430841" w:rsidP="00430841">
      <w:pPr>
        <w:ind w:left="2160"/>
      </w:pPr>
      <w:r>
        <w:t>In Appendix F – Form of Master Agreement, 7.6 says: “Return of Client Data. From time to time and upon the Participating Entity’s request, Contractor will return, in a form acceptable to the Participating Entity, or destroy Client Data.”</w:t>
      </w:r>
    </w:p>
    <w:p w:rsidR="00430841" w:rsidRDefault="00430841" w:rsidP="00430841">
      <w:pPr>
        <w:ind w:left="2160"/>
      </w:pPr>
    </w:p>
    <w:p w:rsidR="00430841" w:rsidRDefault="00430841" w:rsidP="00430841">
      <w:pPr>
        <w:ind w:left="2160"/>
      </w:pPr>
      <w:r>
        <w:t>Also in Appendix F – Form of Master Agreement, 10.1 states: “Upon expiration or termination of a Master Agreement or Participation Agreement, Contractor shall provide to the Participating Entity proof of destruction of hard copy information of accounts transferred to Contractor for collection; all electronic account information must be deleted from Contractor’s computer systems, including backup copies.”</w:t>
      </w:r>
    </w:p>
    <w:p w:rsidR="00430841" w:rsidRDefault="00430841" w:rsidP="00430841">
      <w:pPr>
        <w:ind w:left="2160"/>
      </w:pPr>
    </w:p>
    <w:p w:rsidR="00430841" w:rsidRDefault="00430841" w:rsidP="00430841">
      <w:pPr>
        <w:ind w:left="2160"/>
      </w:pPr>
      <w:r>
        <w:t xml:space="preserve">QUESTION: Due to regulatory requirements, our company may retain electronic account information backups beyond contract expiration or termination. Our company’s practices and policies with regard to destruction of data are that information sent to our company by a client in an intangible or electronic format cannot be removed, erased or otherwise deleted from archival systems (also known as “computer or system back-ups”) but that such information will continue to be protected under the confidentiality requirements contained in the MSA. Our position is that </w:t>
      </w:r>
      <w:r>
        <w:lastRenderedPageBreak/>
        <w:t>the receiving party may retain an archival copy of any document for its permanent records to the extent required by applicable law or regulation or the receiving party’s document retention policy. The rights and obligations of the parties under the Agreement will survive any return, destruction or retention of Confidential Information.</w:t>
      </w:r>
    </w:p>
    <w:p w:rsidR="00430841" w:rsidRDefault="00430841" w:rsidP="00430841">
      <w:pPr>
        <w:ind w:left="720"/>
      </w:pPr>
    </w:p>
    <w:p w:rsidR="00430841" w:rsidRPr="00033502" w:rsidRDefault="00430841" w:rsidP="00430841">
      <w:pPr>
        <w:pStyle w:val="MemoHeaderText"/>
        <w:keepNext/>
        <w:ind w:left="2160"/>
      </w:pPr>
      <w:r w:rsidRPr="00033502">
        <w:rPr>
          <w:bCs/>
        </w:rPr>
        <w:t>Would this be acceptable to the AOC as it applies to the RFP section 4.7 (b) and MSA sections 7.6 and 10.1</w:t>
      </w:r>
      <w:r w:rsidRPr="00033502">
        <w: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Yes, if there is an applicable law or regulation which requires retention of the electronic record longer that is required by Appendix F.  Proposers who are taking exception to this requirement should submit the specific law or regulation in their proposal</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33</w:t>
      </w:r>
      <w:r w:rsidRPr="00DF4137">
        <w:rPr>
          <w:b/>
        </w:rPr>
        <w:t>:</w:t>
      </w:r>
      <w:r w:rsidRPr="002C169F">
        <w:rPr>
          <w:b/>
        </w:rPr>
        <w:tab/>
      </w:r>
      <w:r>
        <w:rPr>
          <w:rFonts w:ascii="Cambria" w:hAnsi="Cambria"/>
          <w:color w:val="000000"/>
        </w:rPr>
        <w:t>What is the estimated size of the existing portfolio (the backlog) in terms of number of accounts and the dollar amount outstanding?  What is the age of the oldest accounts in the portfolio?</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information is unknown.  Please see Section 4.9, Historical Data</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34</w:t>
      </w:r>
      <w:r w:rsidRPr="00DF4137">
        <w:rPr>
          <w:b/>
        </w:rPr>
        <w:t>:</w:t>
      </w:r>
      <w:r w:rsidRPr="002C169F">
        <w:rPr>
          <w:b/>
        </w:rPr>
        <w:tab/>
      </w:r>
      <w:r>
        <w:rPr>
          <w:rFonts w:ascii="Cambria" w:hAnsi="Cambria"/>
          <w:color w:val="000000"/>
        </w:rPr>
        <w:t>What is the estimated size (accounts/dollars) of annual referrals going forward (new/future placements)?</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information is unknown.  Please see Section 4.9, Historical Data</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35</w:t>
      </w:r>
      <w:r w:rsidRPr="00DF4137">
        <w:rPr>
          <w:b/>
        </w:rPr>
        <w:t>:</w:t>
      </w:r>
      <w:r w:rsidRPr="002C169F">
        <w:rPr>
          <w:b/>
        </w:rPr>
        <w:tab/>
      </w:r>
      <w:r>
        <w:rPr>
          <w:rFonts w:ascii="Cambria" w:hAnsi="Cambria"/>
          <w:color w:val="000000"/>
        </w:rPr>
        <w:t>Who is the current vendor?</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See Programs and Vendors List</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36</w:t>
      </w:r>
      <w:r w:rsidRPr="00DF4137">
        <w:rPr>
          <w:b/>
        </w:rPr>
        <w:t>:</w:t>
      </w:r>
      <w:r w:rsidRPr="002C169F">
        <w:rPr>
          <w:b/>
        </w:rPr>
        <w:tab/>
      </w:r>
      <w:r>
        <w:rPr>
          <w:rFonts w:ascii="Cambria" w:hAnsi="Cambria"/>
          <w:color w:val="000000"/>
        </w:rPr>
        <w:t>If applicable, how long has the current vendor been under contract?</w:t>
      </w:r>
    </w:p>
    <w:p w:rsidR="00430841" w:rsidRPr="0080039A"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We don’t have the length of contracts for agreements outside of the existing Master Agreements.  The term of the current Master Agreements is the same as the proposed term.  See Section 1.1, third paragraph which states</w:t>
      </w:r>
      <w:r w:rsidRPr="0080039A">
        <w:rPr>
          <w:b/>
        </w:rPr>
        <w:t>, “</w:t>
      </w:r>
      <w:r w:rsidRPr="0080039A">
        <w:rPr>
          <w:b/>
          <w:sz w:val="23"/>
          <w:szCs w:val="23"/>
        </w:rPr>
        <w:t>The Master Agreement(s) will be for an initial two-year term with three one-year options to extend the agreement(s).</w:t>
      </w:r>
      <w:r w:rsidRPr="0080039A">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37</w:t>
      </w:r>
      <w:r w:rsidRPr="00DF4137">
        <w:rPr>
          <w:b/>
        </w:rPr>
        <w:t>:</w:t>
      </w:r>
      <w:r w:rsidRPr="002C169F">
        <w:rPr>
          <w:b/>
        </w:rPr>
        <w:tab/>
      </w:r>
      <w:r>
        <w:rPr>
          <w:rFonts w:ascii="Cambria" w:hAnsi="Cambria"/>
          <w:color w:val="000000"/>
        </w:rPr>
        <w:t>If applicable, what is the current vendor’s overall recovery rate?</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is not applicable as there are multiple vendors providing collection services (see Programs and Vendors List) and we have not created a definition of “recovery rate.”</w:t>
      </w:r>
    </w:p>
    <w:p w:rsidR="00430841" w:rsidRPr="002C169F" w:rsidRDefault="00430841" w:rsidP="00430841">
      <w:pPr>
        <w:pStyle w:val="MemoHeaderText"/>
        <w:keepNext/>
        <w:spacing w:before="120"/>
        <w:ind w:left="2160" w:hanging="2246"/>
        <w:rPr>
          <w:b/>
        </w:rPr>
      </w:pPr>
      <w:r w:rsidRPr="00DF4137">
        <w:rPr>
          <w:b/>
        </w:rPr>
        <w:t xml:space="preserve">Question </w:t>
      </w:r>
      <w:r>
        <w:rPr>
          <w:b/>
        </w:rPr>
        <w:t>38</w:t>
      </w:r>
      <w:r w:rsidRPr="00DF4137">
        <w:rPr>
          <w:b/>
        </w:rPr>
        <w:t>:</w:t>
      </w:r>
      <w:r w:rsidRPr="002C169F">
        <w:rPr>
          <w:b/>
        </w:rPr>
        <w:tab/>
      </w:r>
      <w:r>
        <w:rPr>
          <w:rFonts w:ascii="Cambria" w:hAnsi="Cambria"/>
          <w:color w:val="000000"/>
        </w:rPr>
        <w:t>If applicable, what is the fee (%) charged by the current vendor?</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sidR="00E14826">
        <w:rPr>
          <w:b/>
        </w:rPr>
        <w:t xml:space="preserve">There </w:t>
      </w:r>
      <w:r>
        <w:rPr>
          <w:b/>
        </w:rPr>
        <w:t xml:space="preserve">are multiple vendors providing collection services (see Programs and Vendors List).  Fees charged by existing Master </w:t>
      </w:r>
      <w:r>
        <w:rPr>
          <w:b/>
        </w:rPr>
        <w:lastRenderedPageBreak/>
        <w:t xml:space="preserve">Agreement holders vary, </w:t>
      </w:r>
      <w:r w:rsidR="00E14826">
        <w:rPr>
          <w:b/>
        </w:rPr>
        <w:t>and are</w:t>
      </w:r>
      <w:r>
        <w:rPr>
          <w:b/>
        </w:rPr>
        <w:t xml:space="preserve"> </w:t>
      </w:r>
      <w:r w:rsidR="00E14826">
        <w:rPr>
          <w:b/>
        </w:rPr>
        <w:t>at</w:t>
      </w:r>
      <w:r w:rsidR="0036185B" w:rsidRPr="0036185B">
        <w:t xml:space="preserve"> </w:t>
      </w:r>
      <w:hyperlink r:id="rId7" w:history="1">
        <w:r w:rsidR="0036185B" w:rsidRPr="007965AA">
          <w:rPr>
            <w:rStyle w:val="Hyperlink"/>
            <w:b/>
          </w:rPr>
          <w:t>http://www.courts.ca.gov/partners/collections.htm</w:t>
        </w:r>
      </w:hyperlink>
    </w:p>
    <w:p w:rsidR="00430841" w:rsidRPr="002C169F" w:rsidRDefault="00430841" w:rsidP="00430841">
      <w:pPr>
        <w:pStyle w:val="MemoHeaderText"/>
        <w:keepNext/>
        <w:spacing w:before="120"/>
        <w:ind w:left="2160" w:hanging="2246"/>
        <w:rPr>
          <w:b/>
        </w:rPr>
      </w:pPr>
      <w:r w:rsidRPr="00DF4137">
        <w:rPr>
          <w:b/>
        </w:rPr>
        <w:t xml:space="preserve">Question </w:t>
      </w:r>
      <w:r>
        <w:rPr>
          <w:b/>
        </w:rPr>
        <w:t>39</w:t>
      </w:r>
      <w:r w:rsidRPr="00DF4137">
        <w:rPr>
          <w:b/>
        </w:rPr>
        <w:t>:</w:t>
      </w:r>
      <w:r w:rsidRPr="002C169F">
        <w:rPr>
          <w:b/>
        </w:rPr>
        <w:tab/>
      </w:r>
      <w:r>
        <w:rPr>
          <w:rFonts w:ascii="Cambria" w:hAnsi="Cambria"/>
          <w:color w:val="000000"/>
        </w:rPr>
        <w:t>If applicable, how much has been paid annually to the current vendor in fees (dollars) for their services since contract inception?</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 xml:space="preserve">This is not applicable as there are multiple vendors providing collection services (see Programs and Vendors List).  </w:t>
      </w:r>
      <w:r w:rsidR="0057409D">
        <w:rPr>
          <w:b/>
        </w:rPr>
        <w:t>See Response to Question 5.</w:t>
      </w:r>
    </w:p>
    <w:p w:rsidR="00430841" w:rsidRPr="002C169F" w:rsidRDefault="00430841" w:rsidP="00430841">
      <w:pPr>
        <w:pStyle w:val="MemoHeaderText"/>
        <w:keepNext/>
        <w:spacing w:before="120"/>
        <w:ind w:left="2160" w:hanging="2246"/>
        <w:rPr>
          <w:b/>
        </w:rPr>
      </w:pPr>
      <w:r w:rsidRPr="00DF4137">
        <w:rPr>
          <w:b/>
        </w:rPr>
        <w:t xml:space="preserve">Question </w:t>
      </w:r>
      <w:r>
        <w:rPr>
          <w:b/>
        </w:rPr>
        <w:t>40</w:t>
      </w:r>
      <w:r w:rsidRPr="00DF4137">
        <w:rPr>
          <w:b/>
        </w:rPr>
        <w:t>:</w:t>
      </w:r>
      <w:r w:rsidRPr="002C169F">
        <w:rPr>
          <w:b/>
        </w:rPr>
        <w:tab/>
      </w:r>
      <w:r>
        <w:rPr>
          <w:rFonts w:ascii="Cambria" w:hAnsi="Cambria"/>
          <w:color w:val="000000"/>
        </w:rPr>
        <w:t>How many dollars have been collected by the current vendor and over what period of time?</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See Section 4.9, Historical Data</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41</w:t>
      </w:r>
      <w:r w:rsidRPr="00DF4137">
        <w:rPr>
          <w:b/>
        </w:rPr>
        <w:t>:</w:t>
      </w:r>
      <w:r w:rsidRPr="002C169F">
        <w:rPr>
          <w:b/>
        </w:rPr>
        <w:tab/>
      </w:r>
      <w:r>
        <w:rPr>
          <w:rFonts w:ascii="Cambria" w:hAnsi="Cambria"/>
          <w:color w:val="000000"/>
        </w:rPr>
        <w:t>Will accounts held by the current vendor (backlog) be moved to the selected vendor?</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A current Participating Entity may or may not decide to move accounts to a new Master Agreement holder</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42</w:t>
      </w:r>
      <w:r w:rsidRPr="00DF4137">
        <w:rPr>
          <w:b/>
        </w:rPr>
        <w:t>:</w:t>
      </w:r>
      <w:r w:rsidRPr="002C169F">
        <w:rPr>
          <w:b/>
        </w:rPr>
        <w:tab/>
      </w:r>
      <w:r>
        <w:rPr>
          <w:rFonts w:ascii="Cambria" w:hAnsi="Cambria"/>
          <w:color w:val="000000"/>
        </w:rPr>
        <w:t>Why are proposals being sought at this time?</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Current Master Agreements are at the end of their term and all available extensions have been exhausted</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43</w:t>
      </w:r>
      <w:r w:rsidRPr="00DF4137">
        <w:rPr>
          <w:b/>
        </w:rPr>
        <w:t>:</w:t>
      </w:r>
      <w:r w:rsidRPr="002C169F">
        <w:rPr>
          <w:b/>
        </w:rPr>
        <w:tab/>
      </w:r>
      <w:r>
        <w:rPr>
          <w:rFonts w:ascii="Cambria" w:hAnsi="Cambria"/>
          <w:color w:val="000000"/>
        </w:rPr>
        <w:t>At what point in time (e.g. 60 days past due) will new/future accounts be placed with the selected Service Provider?</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Varies by Participating Entity.  See fourth paragraph of Section 1.1 of the RFP</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44</w:t>
      </w:r>
      <w:r w:rsidRPr="00DF4137">
        <w:rPr>
          <w:b/>
        </w:rPr>
        <w:t>:</w:t>
      </w:r>
      <w:r w:rsidRPr="002C169F">
        <w:rPr>
          <w:b/>
        </w:rPr>
        <w:tab/>
      </w:r>
      <w:r>
        <w:rPr>
          <w:rFonts w:ascii="Cambria" w:hAnsi="Cambria"/>
          <w:color w:val="000000"/>
        </w:rPr>
        <w:t>Does the current vendor provide legal/litigation services?  Are those services desired?</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There are several “current vendors” (see Programs and Vendors List).  The services required are those specified in the RFP</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45</w:t>
      </w:r>
      <w:r w:rsidRPr="00DF4137">
        <w:rPr>
          <w:b/>
        </w:rPr>
        <w:t>:</w:t>
      </w:r>
      <w:r w:rsidRPr="002C169F">
        <w:rPr>
          <w:b/>
        </w:rPr>
        <w:tab/>
      </w:r>
      <w:r>
        <w:rPr>
          <w:rFonts w:ascii="Cambria" w:hAnsi="Cambria"/>
          <w:color w:val="000000"/>
        </w:rPr>
        <w:t>What is the anticipated start-up date for the contract?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anticipated start date for the new Master Agreements is the first week of February</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46</w:t>
      </w:r>
      <w:r w:rsidRPr="00DF4137">
        <w:rPr>
          <w:b/>
        </w:rPr>
        <w:t>:</w:t>
      </w:r>
      <w:r w:rsidRPr="002C169F">
        <w:rPr>
          <w:b/>
        </w:rPr>
        <w:tab/>
      </w:r>
      <w:r>
        <w:rPr>
          <w:rFonts w:ascii="Cambria" w:hAnsi="Cambria"/>
          <w:color w:val="000000"/>
        </w:rPr>
        <w:t>What is the anticipated award date for the contract?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See Section 2.1 of the RFP</w:t>
      </w:r>
      <w:r w:rsidRPr="00E940FB">
        <w:rPr>
          <w:b/>
        </w:rPr>
        <w:t>.</w:t>
      </w:r>
    </w:p>
    <w:p w:rsidR="00430841" w:rsidRPr="002C169F" w:rsidRDefault="00430841" w:rsidP="00430841">
      <w:pPr>
        <w:pStyle w:val="MemoHeaderText"/>
        <w:keepNext/>
        <w:spacing w:before="120"/>
        <w:ind w:left="2160" w:hanging="2246"/>
        <w:rPr>
          <w:b/>
        </w:rPr>
      </w:pPr>
      <w:r w:rsidRPr="00DF4137">
        <w:rPr>
          <w:b/>
        </w:rPr>
        <w:lastRenderedPageBreak/>
        <w:t xml:space="preserve">Question </w:t>
      </w:r>
      <w:r>
        <w:rPr>
          <w:b/>
        </w:rPr>
        <w:t>47</w:t>
      </w:r>
      <w:r w:rsidRPr="00DF4137">
        <w:rPr>
          <w:b/>
        </w:rPr>
        <w:t>:</w:t>
      </w:r>
      <w:r w:rsidRPr="002C169F">
        <w:rPr>
          <w:b/>
        </w:rPr>
        <w:tab/>
      </w:r>
      <w:r>
        <w:rPr>
          <w:rFonts w:ascii="Cambria" w:hAnsi="Cambria"/>
          <w:color w:val="000000"/>
        </w:rPr>
        <w:t>What are the in-house collection methods (e.g. number of mailings) used on the referred accounts prior to turnover to the selected vendor?</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Methods vary by Participating Entity.  See fourth paragraph of Section 1.1 of the RFP</w:t>
      </w:r>
      <w:r w:rsidRPr="00E940FB">
        <w:rPr>
          <w:b/>
        </w:rPr>
        <w:t>.</w:t>
      </w:r>
    </w:p>
    <w:p w:rsidR="00430841" w:rsidRPr="002C169F" w:rsidRDefault="00430841" w:rsidP="00430841">
      <w:pPr>
        <w:pStyle w:val="MemoHeaderText"/>
        <w:keepNext/>
        <w:spacing w:before="120"/>
        <w:ind w:left="2160" w:hanging="2246"/>
        <w:rPr>
          <w:b/>
        </w:rPr>
      </w:pPr>
      <w:r w:rsidRPr="00DF4137">
        <w:rPr>
          <w:b/>
        </w:rPr>
        <w:t xml:space="preserve">Question </w:t>
      </w:r>
      <w:r>
        <w:rPr>
          <w:b/>
        </w:rPr>
        <w:t>48</w:t>
      </w:r>
      <w:r w:rsidRPr="00DF4137">
        <w:rPr>
          <w:b/>
        </w:rPr>
        <w:t>:</w:t>
      </w:r>
      <w:r w:rsidRPr="002C169F">
        <w:rPr>
          <w:b/>
        </w:rPr>
        <w:tab/>
      </w:r>
      <w:r>
        <w:rPr>
          <w:rFonts w:ascii="Cambria" w:hAnsi="Cambria"/>
          <w:color w:val="000000"/>
        </w:rPr>
        <w:t>How will account/collection information or data be communicated to the successful bidder, i.e.- electronic to a secure FTP site, email, paper files, etc.?</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varies by Participating Entity</w:t>
      </w:r>
      <w:r w:rsidRPr="00E940FB">
        <w:rPr>
          <w:b/>
        </w:rPr>
        <w:t>.</w:t>
      </w:r>
      <w:r>
        <w:rPr>
          <w:b/>
        </w:rPr>
        <w:t xml:space="preserve">  Most information is transmitted electronically; however, some Participating Entities may transmit paper copies.</w:t>
      </w:r>
    </w:p>
    <w:p w:rsidR="00430841" w:rsidRPr="002C169F" w:rsidRDefault="00430841" w:rsidP="00430841">
      <w:pPr>
        <w:pStyle w:val="MemoHeaderText"/>
        <w:keepNext/>
        <w:spacing w:before="120"/>
        <w:ind w:left="2160" w:hanging="2246"/>
        <w:rPr>
          <w:b/>
        </w:rPr>
      </w:pPr>
      <w:r w:rsidRPr="00134F93">
        <w:rPr>
          <w:b/>
        </w:rPr>
        <w:t xml:space="preserve">Question </w:t>
      </w:r>
      <w:r>
        <w:rPr>
          <w:b/>
        </w:rPr>
        <w:t>49</w:t>
      </w:r>
      <w:r w:rsidRPr="00134F93">
        <w:rPr>
          <w:b/>
        </w:rPr>
        <w:t>:</w:t>
      </w:r>
      <w:r w:rsidRPr="00134F93">
        <w:rPr>
          <w:b/>
        </w:rPr>
        <w:tab/>
      </w:r>
      <w:r w:rsidRPr="00134F93">
        <w:rPr>
          <w:rFonts w:ascii="Cambria" w:hAnsi="Cambria"/>
          <w:sz w:val="22"/>
          <w:szCs w:val="22"/>
        </w:rPr>
        <w:t>Please identify each participating entity that requires on-premise staffing/personnel.</w:t>
      </w:r>
      <w:r w:rsidRPr="00134F93">
        <w:rPr>
          <w:b/>
        </w:rPr>
        <w:t xml:space="preserve"> </w:t>
      </w:r>
    </w:p>
    <w:p w:rsidR="00430841" w:rsidRPr="00134F93" w:rsidRDefault="00430841" w:rsidP="00430841">
      <w:pPr>
        <w:pStyle w:val="ListParagraph"/>
        <w:keepNext/>
        <w:spacing w:before="120"/>
        <w:ind w:left="2160"/>
        <w:contextualSpacing/>
        <w:rPr>
          <w:b/>
        </w:rPr>
      </w:pPr>
      <w:r w:rsidRPr="00134F93">
        <w:rPr>
          <w:rFonts w:ascii="Cambria" w:hAnsi="Cambria"/>
        </w:rPr>
        <w:t>For each participating entity identified, please state the number of staff/personnel and the job function of each person.</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This varies by Participating Entity; we do not collect this data</w:t>
      </w:r>
      <w:r w:rsidRPr="00E940FB">
        <w:rPr>
          <w:b/>
        </w:rPr>
        <w:t>.</w:t>
      </w:r>
    </w:p>
    <w:p w:rsidR="00430841" w:rsidRPr="00134F93" w:rsidRDefault="00430841" w:rsidP="00430841">
      <w:pPr>
        <w:pStyle w:val="MemoHeaderText"/>
        <w:keepNext/>
        <w:spacing w:before="120"/>
        <w:ind w:left="2160" w:hanging="2246"/>
        <w:rPr>
          <w:b/>
        </w:rPr>
      </w:pPr>
      <w:r>
        <w:rPr>
          <w:b/>
        </w:rPr>
        <w:t>Question 50</w:t>
      </w:r>
      <w:r w:rsidRPr="00134F93">
        <w:rPr>
          <w:b/>
        </w:rPr>
        <w:t>:</w:t>
      </w:r>
      <w:r w:rsidRPr="00134F93">
        <w:rPr>
          <w:b/>
        </w:rPr>
        <w:tab/>
      </w:r>
      <w:r>
        <w:rPr>
          <w:rFonts w:ascii="Cambria" w:hAnsi="Cambria"/>
        </w:rPr>
        <w:t>Section 3.3.2, Financial Viability and Stability, item (j), requests financial information that we consider proprietary and confidential. Can one copy of this confidential financial information be provided in hard copy format only?</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No.  At a minimum, the financial information needs to be provided in an Adobe pdf format</w:t>
      </w:r>
      <w:r w:rsidRPr="00E940FB">
        <w:rPr>
          <w:b/>
        </w:rPr>
        <w:t>.</w:t>
      </w:r>
    </w:p>
    <w:p w:rsidR="00430841" w:rsidRPr="00134F93" w:rsidRDefault="00CD730B" w:rsidP="00430841">
      <w:pPr>
        <w:pStyle w:val="MemoHeaderText"/>
        <w:keepNext/>
        <w:spacing w:before="120"/>
        <w:ind w:left="2160" w:hanging="2246"/>
        <w:rPr>
          <w:b/>
        </w:rPr>
      </w:pPr>
      <w:r>
        <w:rPr>
          <w:b/>
        </w:rPr>
        <w:t>Question 5</w:t>
      </w:r>
      <w:r w:rsidR="00430841">
        <w:rPr>
          <w:b/>
        </w:rPr>
        <w:t>1</w:t>
      </w:r>
      <w:r w:rsidR="00430841" w:rsidRPr="00134F93">
        <w:rPr>
          <w:b/>
        </w:rPr>
        <w:t>:</w:t>
      </w:r>
      <w:r w:rsidR="00430841" w:rsidRPr="00134F93">
        <w:rPr>
          <w:b/>
        </w:rPr>
        <w:tab/>
      </w:r>
      <w:r w:rsidR="00430841" w:rsidRPr="00FD354C">
        <w:rPr>
          <w:color w:val="000000"/>
          <w:szCs w:val="24"/>
        </w:rPr>
        <w:t>What are the alternatives to submitting the entire gross collections if a participating entity case management system cannot accept gross revenue and pay commission costs?</w:t>
      </w:r>
      <w:r w:rsidR="00430841">
        <w:rPr>
          <w:color w:val="000000"/>
          <w:szCs w:val="24"/>
        </w:rPr>
        <w:t xml:space="preserve">  See </w:t>
      </w:r>
      <w:r w:rsidR="00430841" w:rsidRPr="005856F4">
        <w:rPr>
          <w:color w:val="000000"/>
          <w:szCs w:val="24"/>
        </w:rPr>
        <w:t>Page 14- 4.1.1 (h)-Required Account Services</w:t>
      </w:r>
    </w:p>
    <w:p w:rsidR="00430841" w:rsidRPr="00E940FB" w:rsidRDefault="00430841" w:rsidP="00430841">
      <w:pPr>
        <w:pStyle w:val="MemoHeaderText"/>
        <w:spacing w:before="120" w:after="240"/>
        <w:ind w:left="2160" w:hanging="2246"/>
        <w:rPr>
          <w:b/>
        </w:rPr>
      </w:pPr>
      <w:r w:rsidRPr="006C07FE">
        <w:rPr>
          <w:rFonts w:ascii="Times New Roman Bold" w:hAnsi="Times New Roman Bold"/>
          <w:b/>
          <w:color w:val="FF0000"/>
        </w:rPr>
        <w:t>AOC Response</w:t>
      </w:r>
      <w:r w:rsidRPr="006C07FE">
        <w:rPr>
          <w:b/>
        </w:rPr>
        <w:t>:</w:t>
      </w:r>
      <w:r w:rsidRPr="006C07FE">
        <w:rPr>
          <w:b/>
        </w:rPr>
        <w:tab/>
      </w:r>
      <w:r>
        <w:rPr>
          <w:b/>
        </w:rPr>
        <w:t>If the Participating Entity agrees, net collections may be remitted.  However, gross collections should be submitted along with an invoice for commission fees.  Participating Entities shouldn’t be put in the position of having to request that</w:t>
      </w:r>
      <w:r w:rsidR="00CD730B">
        <w:rPr>
          <w:b/>
        </w:rPr>
        <w:t xml:space="preserve"> funds be submitted because of an error in </w:t>
      </w:r>
      <w:r w:rsidR="0057409D">
        <w:rPr>
          <w:b/>
        </w:rPr>
        <w:t xml:space="preserve">a Master Agreement vendor </w:t>
      </w:r>
      <w:r w:rsidR="00CD730B">
        <w:rPr>
          <w:b/>
        </w:rPr>
        <w:t>calculating the “net”.</w:t>
      </w:r>
    </w:p>
    <w:p w:rsidR="00430841" w:rsidRPr="00134F93" w:rsidRDefault="00CD730B" w:rsidP="00430841">
      <w:pPr>
        <w:pStyle w:val="MemoHeaderText"/>
        <w:keepNext/>
        <w:spacing w:before="120"/>
        <w:ind w:left="2160" w:hanging="2246"/>
        <w:rPr>
          <w:b/>
        </w:rPr>
      </w:pPr>
      <w:r>
        <w:rPr>
          <w:b/>
        </w:rPr>
        <w:lastRenderedPageBreak/>
        <w:t>Question 5</w:t>
      </w:r>
      <w:r w:rsidR="00430841">
        <w:rPr>
          <w:b/>
        </w:rPr>
        <w:t>2</w:t>
      </w:r>
      <w:r w:rsidR="00430841" w:rsidRPr="00134F93">
        <w:rPr>
          <w:b/>
        </w:rPr>
        <w:t>:</w:t>
      </w:r>
      <w:r w:rsidR="00430841" w:rsidRPr="00134F93">
        <w:rPr>
          <w:b/>
        </w:rPr>
        <w:tab/>
      </w:r>
      <w:r w:rsidR="00430841" w:rsidRPr="005856F4">
        <w:rPr>
          <w:color w:val="000000"/>
          <w:szCs w:val="24"/>
        </w:rPr>
        <w:t>Page 15 4.3 FTB Transfer Services</w:t>
      </w:r>
      <w:r w:rsidR="00430841">
        <w:rPr>
          <w:color w:val="000000"/>
          <w:szCs w:val="24"/>
        </w:rPr>
        <w:t>: i</w:t>
      </w:r>
      <w:r w:rsidR="00430841" w:rsidRPr="00FD354C">
        <w:rPr>
          <w:color w:val="000000"/>
          <w:szCs w:val="24"/>
        </w:rPr>
        <w:t>f for both</w:t>
      </w:r>
      <w:r w:rsidR="00430841">
        <w:rPr>
          <w:color w:val="000000"/>
          <w:szCs w:val="24"/>
        </w:rPr>
        <w:t>,</w:t>
      </w:r>
      <w:r w:rsidR="00430841" w:rsidRPr="00FD354C">
        <w:rPr>
          <w:color w:val="000000"/>
          <w:szCs w:val="24"/>
        </w:rPr>
        <w:t xml:space="preserve"> are the contractors/vendors expected to remain responsible for adjusting, canceling</w:t>
      </w:r>
      <w:r w:rsidR="00430841">
        <w:rPr>
          <w:color w:val="000000"/>
          <w:szCs w:val="24"/>
        </w:rPr>
        <w:t>,</w:t>
      </w:r>
      <w:r w:rsidR="00430841" w:rsidRPr="00FD354C">
        <w:rPr>
          <w:color w:val="000000"/>
          <w:szCs w:val="24"/>
        </w:rPr>
        <w:t xml:space="preserve"> as well as answering inquires?  Is it expected that the same % fee for transferring to both FTB programs be indicated on page A2</w:t>
      </w:r>
      <w:r w:rsidR="00430841">
        <w:rPr>
          <w:color w:val="000000"/>
          <w:szCs w:val="24"/>
        </w:rPr>
        <w:t>?</w:t>
      </w:r>
    </w:p>
    <w:p w:rsidR="00430841" w:rsidRDefault="00430841" w:rsidP="00430841">
      <w:pPr>
        <w:pStyle w:val="MemoHeaderText"/>
        <w:spacing w:before="120" w:after="240"/>
        <w:ind w:left="2160" w:hanging="2246"/>
        <w:rPr>
          <w:b/>
        </w:rPr>
      </w:pPr>
      <w:r w:rsidRPr="009C2B8C">
        <w:rPr>
          <w:rFonts w:ascii="Times New Roman Bold" w:hAnsi="Times New Roman Bold"/>
          <w:b/>
          <w:color w:val="FF0000"/>
        </w:rPr>
        <w:t>AOC Response</w:t>
      </w:r>
      <w:r w:rsidRPr="009C2B8C">
        <w:rPr>
          <w:b/>
        </w:rPr>
        <w:t>:</w:t>
      </w:r>
      <w:r w:rsidRPr="009C2B8C">
        <w:rPr>
          <w:b/>
        </w:rPr>
        <w:tab/>
      </w:r>
      <w:r>
        <w:rPr>
          <w:b/>
        </w:rPr>
        <w:t xml:space="preserve">Yes, upon referral of </w:t>
      </w:r>
      <w:r w:rsidR="00CD730B">
        <w:rPr>
          <w:b/>
        </w:rPr>
        <w:t xml:space="preserve">an </w:t>
      </w:r>
      <w:r>
        <w:rPr>
          <w:b/>
        </w:rPr>
        <w:t xml:space="preserve">account to </w:t>
      </w:r>
      <w:r w:rsidR="00CD730B">
        <w:rPr>
          <w:b/>
        </w:rPr>
        <w:t xml:space="preserve">the </w:t>
      </w:r>
      <w:r>
        <w:rPr>
          <w:b/>
        </w:rPr>
        <w:t>FTB, the contractor/vendor remains responsible for canceling and adjusting all accounts.</w:t>
      </w:r>
    </w:p>
    <w:p w:rsidR="00430841" w:rsidRPr="00E940FB" w:rsidRDefault="00430841" w:rsidP="00430841">
      <w:pPr>
        <w:pStyle w:val="MemoHeaderText"/>
        <w:spacing w:before="120" w:after="240"/>
        <w:ind w:left="2160" w:hanging="2246"/>
        <w:rPr>
          <w:b/>
        </w:rPr>
      </w:pPr>
      <w:r>
        <w:rPr>
          <w:b/>
        </w:rPr>
        <w:tab/>
      </w:r>
      <w:r>
        <w:rPr>
          <w:b/>
        </w:rPr>
        <w:tab/>
        <w:t xml:space="preserve">Yes, the proposed percent of commission fee or the flat fee for FTB Transfer Services should be included in A-2. </w:t>
      </w:r>
    </w:p>
    <w:p w:rsidR="00430841" w:rsidRDefault="00CD730B" w:rsidP="00430841">
      <w:pPr>
        <w:pStyle w:val="MemoHeaderText"/>
        <w:keepNext/>
        <w:spacing w:before="120"/>
        <w:ind w:left="2160" w:hanging="2246"/>
        <w:rPr>
          <w:color w:val="000000"/>
          <w:szCs w:val="24"/>
        </w:rPr>
      </w:pPr>
      <w:r>
        <w:rPr>
          <w:b/>
        </w:rPr>
        <w:t>Question 5</w:t>
      </w:r>
      <w:r w:rsidR="00430841">
        <w:rPr>
          <w:b/>
        </w:rPr>
        <w:t>3</w:t>
      </w:r>
      <w:r w:rsidR="00430841" w:rsidRPr="00134F93">
        <w:rPr>
          <w:b/>
        </w:rPr>
        <w:t>:</w:t>
      </w:r>
      <w:r w:rsidR="00430841" w:rsidRPr="00134F93">
        <w:rPr>
          <w:b/>
        </w:rPr>
        <w:tab/>
      </w:r>
      <w:r w:rsidR="00430841">
        <w:rPr>
          <w:color w:val="000000"/>
          <w:szCs w:val="24"/>
        </w:rPr>
        <w:t xml:space="preserve">Do the statements regarding reporting </w:t>
      </w:r>
      <w:r w:rsidR="00430841" w:rsidRPr="00FD354C">
        <w:rPr>
          <w:color w:val="000000"/>
          <w:szCs w:val="24"/>
        </w:rPr>
        <w:t>mean participating entities that are not courts only require one report?</w:t>
      </w:r>
      <w:r w:rsidR="00430841">
        <w:rPr>
          <w:color w:val="000000"/>
          <w:szCs w:val="24"/>
        </w:rPr>
        <w:t xml:space="preserve">  See </w:t>
      </w:r>
      <w:r w:rsidR="00430841" w:rsidRPr="005856F4">
        <w:rPr>
          <w:color w:val="000000"/>
          <w:szCs w:val="24"/>
        </w:rPr>
        <w:t>Page 16 Reporting Requirements (c)</w:t>
      </w:r>
      <w:r w:rsidR="00430841">
        <w:rPr>
          <w:color w:val="000000"/>
          <w:szCs w:val="24"/>
        </w:rPr>
        <w:t>.</w:t>
      </w:r>
    </w:p>
    <w:p w:rsidR="00430841" w:rsidRPr="00E940FB" w:rsidRDefault="00430841" w:rsidP="004042E7">
      <w:pPr>
        <w:pStyle w:val="MemoHeaderText"/>
        <w:keepNext/>
        <w:spacing w:before="120" w:after="240"/>
        <w:ind w:left="2160" w:hanging="2246"/>
        <w:rPr>
          <w:b/>
        </w:rPr>
      </w:pPr>
      <w:r w:rsidRPr="009F4411">
        <w:rPr>
          <w:b/>
          <w:color w:val="FF0000"/>
          <w:szCs w:val="24"/>
        </w:rPr>
        <w:t>AOC Response:</w:t>
      </w:r>
      <w:r w:rsidRPr="009F4411">
        <w:rPr>
          <w:szCs w:val="24"/>
        </w:rPr>
        <w:tab/>
      </w:r>
      <w:r w:rsidRPr="009F4411">
        <w:rPr>
          <w:b/>
          <w:szCs w:val="24"/>
        </w:rPr>
        <w:t xml:space="preserve">No, the </w:t>
      </w:r>
      <w:r>
        <w:rPr>
          <w:b/>
          <w:szCs w:val="24"/>
        </w:rPr>
        <w:t>number of reports will vary from entity to entity.</w:t>
      </w:r>
    </w:p>
    <w:p w:rsidR="00430841" w:rsidRPr="00134F93" w:rsidRDefault="00CD730B" w:rsidP="00430841">
      <w:pPr>
        <w:pStyle w:val="MemoHeaderText"/>
        <w:keepNext/>
        <w:spacing w:before="120"/>
        <w:ind w:left="2160" w:hanging="2246"/>
        <w:rPr>
          <w:b/>
        </w:rPr>
      </w:pPr>
      <w:r>
        <w:rPr>
          <w:b/>
        </w:rPr>
        <w:t>Question 5</w:t>
      </w:r>
      <w:r w:rsidR="00430841" w:rsidRPr="005A23F6">
        <w:rPr>
          <w:b/>
        </w:rPr>
        <w:t>4:</w:t>
      </w:r>
      <w:r w:rsidR="00430841" w:rsidRPr="00134F93">
        <w:rPr>
          <w:b/>
        </w:rPr>
        <w:tab/>
      </w:r>
      <w:r w:rsidR="00430841" w:rsidRPr="00FD354C">
        <w:rPr>
          <w:color w:val="000000"/>
          <w:szCs w:val="24"/>
        </w:rPr>
        <w:t>Does the term bail and/or fine in this and other sections refer to the total base bail or base fine</w:t>
      </w:r>
      <w:r w:rsidR="00430841">
        <w:rPr>
          <w:color w:val="000000"/>
          <w:szCs w:val="24"/>
        </w:rPr>
        <w:t>,</w:t>
      </w:r>
      <w:r w:rsidR="00430841" w:rsidRPr="00FD354C">
        <w:rPr>
          <w:color w:val="000000"/>
          <w:szCs w:val="24"/>
        </w:rPr>
        <w:t xml:space="preserve"> including all penalties and assessments</w:t>
      </w:r>
      <w:r w:rsidR="00430841">
        <w:rPr>
          <w:color w:val="000000"/>
          <w:szCs w:val="24"/>
        </w:rPr>
        <w:t>,</w:t>
      </w:r>
      <w:r w:rsidR="00430841" w:rsidRPr="00FD354C">
        <w:rPr>
          <w:color w:val="000000"/>
          <w:szCs w:val="24"/>
        </w:rPr>
        <w:t xml:space="preserve"> but not including civil assessment?</w:t>
      </w:r>
      <w:r w:rsidR="00430841">
        <w:rPr>
          <w:color w:val="000000"/>
          <w:szCs w:val="24"/>
        </w:rPr>
        <w:t xml:space="preserve">  See </w:t>
      </w:r>
      <w:r w:rsidR="00430841" w:rsidRPr="005856F4">
        <w:rPr>
          <w:color w:val="000000"/>
          <w:szCs w:val="24"/>
        </w:rPr>
        <w:t>Page 16-4.5.1 Account Payment History (c)</w:t>
      </w:r>
      <w:r w:rsidR="00430841">
        <w:rPr>
          <w:color w:val="000000"/>
          <w:szCs w:val="24"/>
        </w:rPr>
        <w:t>.</w:t>
      </w:r>
    </w:p>
    <w:p w:rsidR="00430841" w:rsidRPr="00E940FB" w:rsidRDefault="00430841" w:rsidP="00430841">
      <w:pPr>
        <w:pStyle w:val="MemoHeaderText"/>
        <w:spacing w:before="120" w:after="240"/>
        <w:ind w:left="2160" w:hanging="2246"/>
        <w:rPr>
          <w:b/>
        </w:rPr>
      </w:pPr>
      <w:r w:rsidRPr="009F4411">
        <w:rPr>
          <w:rFonts w:ascii="Times New Roman Bold" w:hAnsi="Times New Roman Bold"/>
          <w:b/>
          <w:color w:val="FF0000"/>
        </w:rPr>
        <w:t>AOC Response</w:t>
      </w:r>
      <w:r w:rsidRPr="009F4411">
        <w:rPr>
          <w:b/>
        </w:rPr>
        <w:t>:</w:t>
      </w:r>
      <w:r w:rsidRPr="009F4411">
        <w:rPr>
          <w:b/>
        </w:rPr>
        <w:tab/>
      </w:r>
      <w:r>
        <w:rPr>
          <w:b/>
        </w:rPr>
        <w:t>The term “bail and/or fine” as referred to in section 4.5.1 does not include civil assessment</w:t>
      </w:r>
      <w:r w:rsidRPr="00A22995">
        <w:rPr>
          <w:b/>
        </w:rPr>
        <w:t>.</w:t>
      </w:r>
    </w:p>
    <w:p w:rsidR="00430841" w:rsidRPr="00134F93" w:rsidRDefault="00CD730B" w:rsidP="00430841">
      <w:pPr>
        <w:pStyle w:val="MemoHeaderText"/>
        <w:keepNext/>
        <w:spacing w:before="120"/>
        <w:ind w:left="2160" w:hanging="2246"/>
        <w:rPr>
          <w:b/>
        </w:rPr>
      </w:pPr>
      <w:r>
        <w:rPr>
          <w:b/>
        </w:rPr>
        <w:t>Question 5</w:t>
      </w:r>
      <w:r w:rsidR="00430841">
        <w:rPr>
          <w:b/>
        </w:rPr>
        <w:t>5</w:t>
      </w:r>
      <w:r w:rsidR="00430841" w:rsidRPr="00134F93">
        <w:rPr>
          <w:b/>
        </w:rPr>
        <w:t>:</w:t>
      </w:r>
      <w:r w:rsidR="00430841" w:rsidRPr="00134F93">
        <w:rPr>
          <w:b/>
        </w:rPr>
        <w:tab/>
      </w:r>
      <w:r w:rsidR="00430841">
        <w:rPr>
          <w:color w:val="000000"/>
          <w:szCs w:val="24"/>
        </w:rPr>
        <w:t>The daily adjustment report</w:t>
      </w:r>
      <w:r w:rsidR="00430841" w:rsidRPr="00FD354C">
        <w:rPr>
          <w:color w:val="000000"/>
          <w:szCs w:val="24"/>
        </w:rPr>
        <w:t xml:space="preserve"> section states </w:t>
      </w:r>
      <w:r w:rsidR="00430841">
        <w:rPr>
          <w:color w:val="000000"/>
          <w:szCs w:val="24"/>
        </w:rPr>
        <w:t xml:space="preserve">that the </w:t>
      </w:r>
      <w:r w:rsidR="00430841" w:rsidRPr="00FD354C">
        <w:rPr>
          <w:color w:val="000000"/>
          <w:szCs w:val="24"/>
        </w:rPr>
        <w:t>adjustment reason code is 2-3 characters.  Is there a standard code?</w:t>
      </w:r>
      <w:r w:rsidR="00430841">
        <w:rPr>
          <w:color w:val="000000"/>
          <w:szCs w:val="24"/>
        </w:rPr>
        <w:t xml:space="preserve">  See </w:t>
      </w:r>
      <w:r w:rsidR="00430841" w:rsidRPr="005856F4">
        <w:rPr>
          <w:color w:val="000000"/>
          <w:szCs w:val="24"/>
        </w:rPr>
        <w:t>Page 18 Daily Adjustment Code 4.5.4-Assigned to Public Work Service (3) - adjustment reason code</w:t>
      </w:r>
      <w:r w:rsidR="00430841">
        <w:rPr>
          <w:color w:val="000000"/>
          <w:szCs w:val="24"/>
        </w:rPr>
        <w:t>.</w:t>
      </w:r>
    </w:p>
    <w:p w:rsidR="00430841" w:rsidRPr="00E940FB" w:rsidRDefault="00430841" w:rsidP="00430841">
      <w:pPr>
        <w:pStyle w:val="MemoHeaderText"/>
        <w:spacing w:before="120" w:after="240"/>
        <w:ind w:left="2160" w:hanging="2246"/>
        <w:rPr>
          <w:b/>
        </w:rPr>
      </w:pPr>
      <w:r w:rsidRPr="003C7BAF">
        <w:rPr>
          <w:rFonts w:ascii="Times New Roman Bold" w:hAnsi="Times New Roman Bold"/>
          <w:b/>
          <w:color w:val="FF0000"/>
        </w:rPr>
        <w:t>AOC Response</w:t>
      </w:r>
      <w:r w:rsidRPr="003C7BAF">
        <w:rPr>
          <w:b/>
        </w:rPr>
        <w:t>:</w:t>
      </w:r>
      <w:r w:rsidRPr="003C7BAF">
        <w:rPr>
          <w:b/>
        </w:rPr>
        <w:tab/>
      </w:r>
      <w:r>
        <w:rPr>
          <w:b/>
        </w:rPr>
        <w:t>No, there is no standard adjustment reason code.  The Participating Entity may amend sample reports to fit their reporting needs.</w:t>
      </w:r>
    </w:p>
    <w:p w:rsidR="00430841" w:rsidRPr="00134F93" w:rsidRDefault="00CD730B" w:rsidP="00430841">
      <w:pPr>
        <w:pStyle w:val="MemoHeaderText"/>
        <w:keepNext/>
        <w:spacing w:before="120"/>
        <w:ind w:left="2160" w:hanging="2246"/>
        <w:rPr>
          <w:b/>
        </w:rPr>
      </w:pPr>
      <w:r>
        <w:rPr>
          <w:b/>
        </w:rPr>
        <w:t>Question 5</w:t>
      </w:r>
      <w:r w:rsidR="00430841">
        <w:rPr>
          <w:b/>
        </w:rPr>
        <w:t>6</w:t>
      </w:r>
      <w:r w:rsidR="00430841" w:rsidRPr="00134F93">
        <w:rPr>
          <w:b/>
        </w:rPr>
        <w:t>:</w:t>
      </w:r>
      <w:r w:rsidR="00430841" w:rsidRPr="00134F93">
        <w:rPr>
          <w:b/>
        </w:rPr>
        <w:tab/>
      </w:r>
      <w:r w:rsidR="00430841" w:rsidRPr="00FD354C">
        <w:rPr>
          <w:color w:val="000000"/>
          <w:szCs w:val="24"/>
        </w:rPr>
        <w:t xml:space="preserve">Who at the AOC </w:t>
      </w:r>
      <w:r w:rsidR="00430841">
        <w:rPr>
          <w:color w:val="000000"/>
          <w:szCs w:val="24"/>
        </w:rPr>
        <w:t xml:space="preserve">shall be notified?  </w:t>
      </w:r>
      <w:r w:rsidR="00430841" w:rsidRPr="00FD354C">
        <w:rPr>
          <w:color w:val="000000"/>
          <w:szCs w:val="24"/>
        </w:rPr>
        <w:t>The Project Manager?</w:t>
      </w:r>
      <w:r w:rsidR="00430841">
        <w:rPr>
          <w:color w:val="000000"/>
          <w:szCs w:val="24"/>
        </w:rPr>
        <w:t xml:space="preserve">  See </w:t>
      </w:r>
      <w:r w:rsidR="00430841" w:rsidRPr="005856F4">
        <w:rPr>
          <w:color w:val="000000"/>
          <w:szCs w:val="24"/>
        </w:rPr>
        <w:t>Page 19 4.5.9- Notification</w:t>
      </w:r>
      <w:r w:rsidR="00430841">
        <w:rPr>
          <w:color w:val="000000"/>
          <w:szCs w:val="24"/>
        </w:rPr>
        <w:t>.</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Yes, the AOC Project Manager shall be notified</w:t>
      </w:r>
      <w:r w:rsidRPr="00E940FB">
        <w:rPr>
          <w:b/>
        </w:rPr>
        <w:t>.</w:t>
      </w:r>
    </w:p>
    <w:p w:rsidR="00430841" w:rsidRPr="00134F93" w:rsidRDefault="00CD730B" w:rsidP="00430841">
      <w:pPr>
        <w:pStyle w:val="MemoHeaderText"/>
        <w:keepNext/>
        <w:spacing w:before="120"/>
        <w:ind w:left="2160" w:hanging="2246"/>
        <w:rPr>
          <w:b/>
        </w:rPr>
      </w:pPr>
      <w:r>
        <w:rPr>
          <w:b/>
        </w:rPr>
        <w:t>Question 5</w:t>
      </w:r>
      <w:r w:rsidR="00430841">
        <w:rPr>
          <w:b/>
        </w:rPr>
        <w:t>7</w:t>
      </w:r>
      <w:r w:rsidR="00430841" w:rsidRPr="00134F93">
        <w:rPr>
          <w:b/>
        </w:rPr>
        <w:t>:</w:t>
      </w:r>
      <w:r w:rsidR="00430841" w:rsidRPr="00134F93">
        <w:rPr>
          <w:b/>
        </w:rPr>
        <w:tab/>
      </w:r>
      <w:r w:rsidR="00430841" w:rsidRPr="00FD354C">
        <w:rPr>
          <w:color w:val="000000"/>
          <w:szCs w:val="24"/>
        </w:rPr>
        <w:t>Does assessment</w:t>
      </w:r>
      <w:r w:rsidR="00430841">
        <w:rPr>
          <w:color w:val="000000"/>
          <w:szCs w:val="24"/>
        </w:rPr>
        <w:t xml:space="preserve"> in the fourth column</w:t>
      </w:r>
      <w:r w:rsidR="00430841" w:rsidRPr="00FD354C">
        <w:rPr>
          <w:color w:val="000000"/>
          <w:szCs w:val="24"/>
        </w:rPr>
        <w:t xml:space="preserve"> refer to "civil assessment</w:t>
      </w:r>
      <w:r w:rsidR="00430841">
        <w:rPr>
          <w:color w:val="000000"/>
          <w:szCs w:val="24"/>
        </w:rPr>
        <w:t>?</w:t>
      </w:r>
      <w:r w:rsidR="00430841" w:rsidRPr="00FD354C">
        <w:rPr>
          <w:color w:val="000000"/>
          <w:szCs w:val="24"/>
        </w:rPr>
        <w:t>"</w:t>
      </w:r>
      <w:r w:rsidR="00430841">
        <w:rPr>
          <w:color w:val="000000"/>
          <w:szCs w:val="24"/>
        </w:rPr>
        <w:t xml:space="preserve">  See </w:t>
      </w:r>
      <w:r w:rsidR="00430841" w:rsidRPr="005856F4">
        <w:rPr>
          <w:color w:val="000000"/>
          <w:szCs w:val="24"/>
        </w:rPr>
        <w:t>Page C3</w:t>
      </w:r>
      <w:r w:rsidR="00430841">
        <w:rPr>
          <w:color w:val="000000"/>
          <w:szCs w:val="24"/>
        </w:rPr>
        <w:t>.</w:t>
      </w:r>
    </w:p>
    <w:p w:rsidR="00430841" w:rsidRPr="00E940FB" w:rsidRDefault="00430841" w:rsidP="00430841">
      <w:pPr>
        <w:pStyle w:val="MemoHeaderText"/>
        <w:spacing w:before="120" w:after="240"/>
        <w:ind w:left="2160" w:hanging="2246"/>
        <w:rPr>
          <w:b/>
        </w:rPr>
      </w:pPr>
      <w:r w:rsidRPr="009F4411">
        <w:rPr>
          <w:rFonts w:ascii="Times New Roman Bold" w:hAnsi="Times New Roman Bold"/>
          <w:b/>
          <w:color w:val="FF0000"/>
        </w:rPr>
        <w:t>AOC Response</w:t>
      </w:r>
      <w:r w:rsidRPr="009F4411">
        <w:rPr>
          <w:b/>
        </w:rPr>
        <w:t>:</w:t>
      </w:r>
      <w:r w:rsidRPr="009F4411">
        <w:rPr>
          <w:b/>
        </w:rPr>
        <w:tab/>
      </w:r>
      <w:r>
        <w:rPr>
          <w:b/>
        </w:rPr>
        <w:t>The fourth column titled, “Assessments,” may refer to civil assessment or any state assessment.  The Participating Entity may amend sample reports to fit their reporting needs.</w:t>
      </w:r>
    </w:p>
    <w:p w:rsidR="00430841" w:rsidRPr="00134F93" w:rsidRDefault="00CD730B" w:rsidP="00430841">
      <w:pPr>
        <w:pStyle w:val="MemoHeaderText"/>
        <w:keepNext/>
        <w:spacing w:before="120"/>
        <w:ind w:left="2160" w:hanging="2246"/>
        <w:rPr>
          <w:b/>
        </w:rPr>
      </w:pPr>
      <w:r>
        <w:rPr>
          <w:b/>
        </w:rPr>
        <w:t>Question 5</w:t>
      </w:r>
      <w:r w:rsidR="00430841">
        <w:rPr>
          <w:b/>
        </w:rPr>
        <w:t>8</w:t>
      </w:r>
      <w:r w:rsidR="00430841" w:rsidRPr="00134F93">
        <w:rPr>
          <w:b/>
        </w:rPr>
        <w:t>:</w:t>
      </w:r>
      <w:r w:rsidR="00430841" w:rsidRPr="00134F93">
        <w:rPr>
          <w:b/>
        </w:rPr>
        <w:tab/>
      </w:r>
      <w:r w:rsidR="00430841" w:rsidRPr="00FD354C">
        <w:rPr>
          <w:color w:val="000000"/>
          <w:szCs w:val="24"/>
        </w:rPr>
        <w:t xml:space="preserve">This document states that newly delinquent accounts are, “Accounts not fully paid 30 days past its stated due date.”  Are the participating entities </w:t>
      </w:r>
      <w:r w:rsidR="00430841" w:rsidRPr="00FD354C">
        <w:rPr>
          <w:color w:val="000000"/>
          <w:szCs w:val="24"/>
        </w:rPr>
        <w:lastRenderedPageBreak/>
        <w:t>allowed to change their definition of newly delinquent? For example, could it be the day after a bail or fine is due?</w:t>
      </w:r>
      <w:r w:rsidR="00430841">
        <w:rPr>
          <w:color w:val="000000"/>
          <w:szCs w:val="24"/>
        </w:rPr>
        <w:t xml:space="preserve">  See </w:t>
      </w:r>
      <w:r w:rsidR="00430841" w:rsidRPr="005856F4">
        <w:rPr>
          <w:color w:val="000000"/>
          <w:szCs w:val="24"/>
        </w:rPr>
        <w:t>Appendix A</w:t>
      </w:r>
      <w:r w:rsidR="00430841">
        <w:rPr>
          <w:color w:val="000000"/>
          <w:szCs w:val="24"/>
        </w:rPr>
        <w:t>.</w:t>
      </w:r>
    </w:p>
    <w:p w:rsidR="00430841" w:rsidRDefault="00430841" w:rsidP="00430841">
      <w:pPr>
        <w:pStyle w:val="MemoHeaderText"/>
        <w:spacing w:before="120" w:after="240"/>
        <w:ind w:left="2160" w:hanging="2246"/>
        <w:rPr>
          <w:b/>
        </w:rPr>
      </w:pPr>
      <w:r w:rsidRPr="009F4411">
        <w:rPr>
          <w:rFonts w:ascii="Times New Roman Bold" w:hAnsi="Times New Roman Bold"/>
          <w:b/>
          <w:color w:val="FF0000"/>
        </w:rPr>
        <w:t>AOC Response</w:t>
      </w:r>
      <w:r w:rsidRPr="009F4411">
        <w:rPr>
          <w:b/>
        </w:rPr>
        <w:t>:</w:t>
      </w:r>
      <w:r w:rsidRPr="009F4411">
        <w:rPr>
          <w:b/>
        </w:rPr>
        <w:tab/>
      </w:r>
      <w:r w:rsidR="00CD730B">
        <w:rPr>
          <w:b/>
        </w:rPr>
        <w:t>F</w:t>
      </w:r>
      <w:r>
        <w:rPr>
          <w:b/>
        </w:rPr>
        <w:t xml:space="preserve">or the purpose of the Pricing Proposal only, </w:t>
      </w:r>
      <w:r w:rsidR="00CD730B">
        <w:rPr>
          <w:b/>
        </w:rPr>
        <w:t xml:space="preserve">the definition CANNOT be changed.  However, </w:t>
      </w:r>
      <w:r>
        <w:rPr>
          <w:b/>
        </w:rPr>
        <w:t>a Participating Entity may change the time frame in which newly delinquent accounts are referred to collections</w:t>
      </w:r>
      <w:r w:rsidR="00CD730B">
        <w:rPr>
          <w:b/>
        </w:rPr>
        <w:t xml:space="preserve"> through its Participating Agreement</w:t>
      </w:r>
      <w:r>
        <w:rPr>
          <w:b/>
        </w:rPr>
        <w:t>.</w:t>
      </w:r>
    </w:p>
    <w:p w:rsidR="00430841" w:rsidRPr="00134F93" w:rsidRDefault="00430841" w:rsidP="00430841">
      <w:pPr>
        <w:pStyle w:val="MemoHeaderText"/>
        <w:keepNext/>
        <w:spacing w:before="120"/>
        <w:ind w:left="2160" w:hanging="2246"/>
        <w:rPr>
          <w:b/>
        </w:rPr>
      </w:pPr>
      <w:r w:rsidRPr="00134F93">
        <w:rPr>
          <w:b/>
        </w:rPr>
        <w:t xml:space="preserve">Question </w:t>
      </w:r>
      <w:r w:rsidR="00CD730B">
        <w:rPr>
          <w:b/>
        </w:rPr>
        <w:t>5</w:t>
      </w:r>
      <w:r>
        <w:rPr>
          <w:b/>
        </w:rPr>
        <w:t>9</w:t>
      </w:r>
      <w:r w:rsidRPr="00134F93">
        <w:rPr>
          <w:b/>
        </w:rPr>
        <w:t>:</w:t>
      </w:r>
      <w:r w:rsidRPr="00134F93">
        <w:rPr>
          <w:b/>
        </w:rPr>
        <w:tab/>
      </w:r>
      <w:r>
        <w:rPr>
          <w:color w:val="000000"/>
          <w:szCs w:val="24"/>
        </w:rPr>
        <w:t>P</w:t>
      </w:r>
      <w:r w:rsidRPr="00FD354C">
        <w:rPr>
          <w:color w:val="000000"/>
          <w:szCs w:val="24"/>
        </w:rPr>
        <w:t>age</w:t>
      </w:r>
      <w:r>
        <w:rPr>
          <w:color w:val="000000"/>
          <w:szCs w:val="24"/>
        </w:rPr>
        <w:t xml:space="preserve"> A2</w:t>
      </w:r>
      <w:r w:rsidRPr="00FD354C">
        <w:rPr>
          <w:color w:val="000000"/>
          <w:szCs w:val="24"/>
        </w:rPr>
        <w:t xml:space="preserve"> indicates, “Collection of this debt is not at the option of the Contractor.”  What is this</w:t>
      </w:r>
      <w:bookmarkStart w:id="0" w:name="_GoBack"/>
      <w:bookmarkEnd w:id="0"/>
      <w:r w:rsidRPr="00FD354C">
        <w:rPr>
          <w:color w:val="000000"/>
          <w:szCs w:val="24"/>
        </w:rPr>
        <w:t xml:space="preserve"> referring to?  The commission fee is not at the option of the Contractor, or the collection of the debt is for victim restitution fine or direct restitution to the Victim is not </w:t>
      </w:r>
      <w:r>
        <w:rPr>
          <w:color w:val="000000"/>
          <w:szCs w:val="24"/>
        </w:rPr>
        <w:t xml:space="preserve">at the option of the Contractor?  See </w:t>
      </w:r>
      <w:r w:rsidRPr="005856F4">
        <w:rPr>
          <w:color w:val="000000"/>
          <w:szCs w:val="24"/>
        </w:rPr>
        <w:t>Appendix A, page A2</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Contractor’s fee for the collection of Victim Restitution Fines is set by law at 10% and is not negotiable.  Contractor’s fee for the collection of Direct Restitution to the Victim is set by law at 15% and is not negotiable</w:t>
      </w:r>
      <w:r w:rsidRPr="00E940FB">
        <w:rPr>
          <w:b/>
        </w:rPr>
        <w:t>.</w:t>
      </w:r>
    </w:p>
    <w:p w:rsidR="00430841" w:rsidRPr="00134F93" w:rsidRDefault="00430841" w:rsidP="00430841">
      <w:pPr>
        <w:pStyle w:val="MemoHeaderText"/>
        <w:keepNext/>
        <w:spacing w:before="120"/>
        <w:ind w:left="2160" w:hanging="2246"/>
        <w:rPr>
          <w:b/>
        </w:rPr>
      </w:pPr>
      <w:r w:rsidRPr="00134F93">
        <w:rPr>
          <w:b/>
        </w:rPr>
        <w:t xml:space="preserve">Question </w:t>
      </w:r>
      <w:r w:rsidR="00CD730B">
        <w:rPr>
          <w:b/>
        </w:rPr>
        <w:t>6</w:t>
      </w:r>
      <w:r>
        <w:rPr>
          <w:b/>
        </w:rPr>
        <w:t>0</w:t>
      </w:r>
      <w:r w:rsidRPr="00134F93">
        <w:rPr>
          <w:b/>
        </w:rPr>
        <w:t>:</w:t>
      </w:r>
      <w:r w:rsidRPr="00134F93">
        <w:rPr>
          <w:b/>
        </w:rPr>
        <w:tab/>
      </w:r>
      <w:r w:rsidRPr="00FD354C">
        <w:rPr>
          <w:color w:val="000000"/>
          <w:szCs w:val="24"/>
        </w:rPr>
        <w:t xml:space="preserve">Which forms in </w:t>
      </w:r>
      <w:r>
        <w:rPr>
          <w:color w:val="000000"/>
          <w:szCs w:val="24"/>
        </w:rPr>
        <w:t>A</w:t>
      </w:r>
      <w:r w:rsidRPr="00FD354C">
        <w:rPr>
          <w:color w:val="000000"/>
          <w:szCs w:val="24"/>
        </w:rPr>
        <w:t>ppendix C are samples that can be changed by a participating entity</w:t>
      </w:r>
      <w:r>
        <w:rPr>
          <w:color w:val="000000"/>
          <w:szCs w:val="24"/>
        </w:rPr>
        <w:t>?  W</w:t>
      </w:r>
      <w:r w:rsidRPr="00FD354C">
        <w:rPr>
          <w:color w:val="000000"/>
          <w:szCs w:val="24"/>
        </w:rPr>
        <w:t>hich ones are mandatory and have been approved by the Judicial Council?</w:t>
      </w:r>
      <w:r>
        <w:rPr>
          <w:color w:val="000000"/>
          <w:szCs w:val="24"/>
        </w:rPr>
        <w:t xml:space="preserve">  See </w:t>
      </w:r>
      <w:r w:rsidRPr="005856F4">
        <w:rPr>
          <w:color w:val="000000"/>
          <w:szCs w:val="24"/>
        </w:rPr>
        <w:t>Appendix C</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reports have to be in the form noted in Appendix C unless a Participating Entity agrees otherwise in its Participation Agreement.  See Section 4.5 (b) of the RFP</w:t>
      </w:r>
      <w:r w:rsidRPr="00E940FB">
        <w:rPr>
          <w:b/>
        </w:rPr>
        <w:t>.</w:t>
      </w:r>
    </w:p>
    <w:p w:rsidR="00430841" w:rsidRPr="00960B47" w:rsidRDefault="00CD730B" w:rsidP="00430841">
      <w:pPr>
        <w:pStyle w:val="MemoHeaderText"/>
        <w:keepNext/>
        <w:spacing w:before="120"/>
        <w:ind w:left="2160" w:hanging="2246"/>
        <w:rPr>
          <w:b/>
        </w:rPr>
      </w:pPr>
      <w:r>
        <w:rPr>
          <w:b/>
        </w:rPr>
        <w:t>Question 6</w:t>
      </w:r>
      <w:r w:rsidR="00430841">
        <w:rPr>
          <w:b/>
        </w:rPr>
        <w:t>1</w:t>
      </w:r>
      <w:r w:rsidR="00430841" w:rsidRPr="00960B47">
        <w:rPr>
          <w:b/>
        </w:rPr>
        <w:t>:</w:t>
      </w:r>
      <w:r w:rsidR="00430841" w:rsidRPr="00960B47">
        <w:rPr>
          <w:b/>
        </w:rPr>
        <w:tab/>
      </w:r>
      <w:r w:rsidR="00430841" w:rsidRPr="00960B47">
        <w:t>Can the AOC please provide additional information as to the average gross recovery rate (collection rate) of current collection contractors for the two most recent reporting years?  We are most interested in getting a better understanding as to the collection metrics for the existing contractor’s area of responsibility compared to the overall gross recovery rate for the individual courts, which may include collections through other means such as through the DMV and/ or FTB.</w:t>
      </w:r>
      <w:r w:rsidR="00430841" w:rsidRPr="00960B47">
        <w:rPr>
          <w:szCs w:val="24"/>
        </w:rPr>
        <w:t xml:space="preserve">  See </w:t>
      </w:r>
      <w:r w:rsidR="00430841" w:rsidRPr="00960B47">
        <w:t>Section 4.9 Historical Data, page 21</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only information the AOC has is listed in Section 4.9, Historical Data</w:t>
      </w:r>
      <w:r w:rsidRPr="00E940FB">
        <w:rPr>
          <w:b/>
        </w:rPr>
        <w:t>.</w:t>
      </w:r>
    </w:p>
    <w:p w:rsidR="00430841" w:rsidRPr="00960B47" w:rsidRDefault="00CD730B" w:rsidP="00430841">
      <w:pPr>
        <w:pStyle w:val="MemoHeaderText"/>
        <w:keepNext/>
        <w:spacing w:before="120"/>
        <w:ind w:left="2160" w:hanging="2246"/>
        <w:rPr>
          <w:b/>
        </w:rPr>
      </w:pPr>
      <w:r>
        <w:rPr>
          <w:b/>
        </w:rPr>
        <w:t>Question 6</w:t>
      </w:r>
      <w:r w:rsidR="00430841">
        <w:rPr>
          <w:b/>
        </w:rPr>
        <w:t>2</w:t>
      </w:r>
      <w:r w:rsidR="00430841" w:rsidRPr="00960B47">
        <w:rPr>
          <w:b/>
        </w:rPr>
        <w:t>:</w:t>
      </w:r>
      <w:r w:rsidR="00430841" w:rsidRPr="00960B47">
        <w:rPr>
          <w:b/>
        </w:rPr>
        <w:tab/>
      </w:r>
      <w:r w:rsidR="00430841" w:rsidRPr="00960B47">
        <w:t>On average, what percent of the account volume managed by contractors are collected through the DMV and FTB tax intercept program?</w:t>
      </w:r>
    </w:p>
    <w:p w:rsidR="00430841" w:rsidRPr="00E940FB"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AOC does not have this information</w:t>
      </w:r>
      <w:r w:rsidRPr="00E940FB">
        <w:rPr>
          <w:b/>
        </w:rPr>
        <w:t>.</w:t>
      </w:r>
    </w:p>
    <w:p w:rsidR="00430841" w:rsidRPr="00960B47" w:rsidRDefault="00CD730B" w:rsidP="00430841">
      <w:pPr>
        <w:pStyle w:val="MemoHeaderText"/>
        <w:keepNext/>
        <w:spacing w:before="120"/>
        <w:ind w:left="2160" w:hanging="2246"/>
        <w:rPr>
          <w:b/>
        </w:rPr>
      </w:pPr>
      <w:r>
        <w:rPr>
          <w:b/>
        </w:rPr>
        <w:lastRenderedPageBreak/>
        <w:t>Question 6</w:t>
      </w:r>
      <w:r w:rsidR="00430841">
        <w:rPr>
          <w:b/>
        </w:rPr>
        <w:t>3</w:t>
      </w:r>
      <w:r w:rsidR="00430841" w:rsidRPr="00960B47">
        <w:rPr>
          <w:b/>
        </w:rPr>
        <w:t>:</w:t>
      </w:r>
      <w:r w:rsidR="00430841" w:rsidRPr="00960B47">
        <w:rPr>
          <w:b/>
        </w:rPr>
        <w:tab/>
      </w:r>
      <w:r w:rsidR="00430841" w:rsidRPr="00960B47">
        <w:t>Approximately what percent of the courts require on-site staffing and, on average, how many staff are typically required to meet their service needs?</w:t>
      </w:r>
    </w:p>
    <w:p w:rsidR="00430841" w:rsidRDefault="00430841" w:rsidP="00430841">
      <w:pPr>
        <w:pStyle w:val="MemoHeaderText"/>
        <w:spacing w:before="120" w:after="240"/>
        <w:ind w:left="2160" w:hanging="2246"/>
        <w:rPr>
          <w:b/>
        </w:rPr>
      </w:pPr>
      <w:r w:rsidRPr="00E940FB">
        <w:rPr>
          <w:rFonts w:ascii="Times New Roman Bold" w:hAnsi="Times New Roman Bold"/>
          <w:b/>
          <w:color w:val="FF0000"/>
        </w:rPr>
        <w:t>AOC Response</w:t>
      </w:r>
      <w:r w:rsidRPr="00E940FB">
        <w:rPr>
          <w:b/>
        </w:rPr>
        <w:t>:</w:t>
      </w:r>
      <w:r w:rsidRPr="00E940FB">
        <w:rPr>
          <w:b/>
        </w:rPr>
        <w:tab/>
      </w:r>
      <w:r>
        <w:rPr>
          <w:b/>
        </w:rPr>
        <w:t>The AOC does not have this information</w:t>
      </w:r>
      <w:r w:rsidRPr="00E940FB">
        <w:rPr>
          <w:b/>
        </w:rPr>
        <w:t>.</w:t>
      </w:r>
    </w:p>
    <w:p w:rsidR="00430841" w:rsidRDefault="00430841" w:rsidP="00430841">
      <w:pPr>
        <w:pStyle w:val="MemoHeaderText"/>
        <w:spacing w:before="120" w:after="240"/>
        <w:ind w:left="2160" w:hanging="2246"/>
      </w:pPr>
      <w:r w:rsidRPr="00844981">
        <w:rPr>
          <w:b/>
        </w:rPr>
        <w:t>Question</w:t>
      </w:r>
      <w:r w:rsidR="00CD730B">
        <w:t xml:space="preserve"> </w:t>
      </w:r>
      <w:r w:rsidR="00CD730B" w:rsidRPr="00CD730B">
        <w:rPr>
          <w:b/>
        </w:rPr>
        <w:t>6</w:t>
      </w:r>
      <w:r w:rsidRPr="00CD730B">
        <w:rPr>
          <w:b/>
        </w:rPr>
        <w:t>4</w:t>
      </w:r>
      <w:r>
        <w:t>:</w:t>
      </w:r>
      <w:r>
        <w:tab/>
        <w:t xml:space="preserve">Where should cost for optional on-site personnel be included? </w:t>
      </w:r>
    </w:p>
    <w:p w:rsidR="00430841" w:rsidRPr="009F4411" w:rsidRDefault="00430841" w:rsidP="00430841">
      <w:pPr>
        <w:pStyle w:val="MemoHeaderText"/>
        <w:spacing w:before="120" w:after="240"/>
        <w:ind w:left="2160" w:hanging="2246"/>
        <w:rPr>
          <w:b/>
        </w:rPr>
      </w:pPr>
      <w:r w:rsidRPr="009F4411">
        <w:rPr>
          <w:b/>
          <w:color w:val="FF0000"/>
        </w:rPr>
        <w:t>AOC Response</w:t>
      </w:r>
      <w:r w:rsidRPr="009F4411">
        <w:rPr>
          <w:b/>
        </w:rPr>
        <w:t>:</w:t>
      </w:r>
      <w:r>
        <w:t xml:space="preserve"> </w:t>
      </w:r>
      <w:r>
        <w:tab/>
      </w:r>
      <w:r w:rsidRPr="009F4411">
        <w:rPr>
          <w:b/>
        </w:rPr>
        <w:t>The costs for on-site personnel may be included as part of the percentage commission fee</w:t>
      </w:r>
      <w:r w:rsidR="00CD730B">
        <w:rPr>
          <w:b/>
        </w:rPr>
        <w:t xml:space="preserve"> or a time and material cost</w:t>
      </w:r>
      <w:r w:rsidRPr="009F4411">
        <w:rPr>
          <w:b/>
        </w:rPr>
        <w:t xml:space="preserve"> and submitted on the Pricing Form (Appendix A) or submit on a separate form if based on an hourly rate. </w:t>
      </w:r>
    </w:p>
    <w:p w:rsidR="00355F8F" w:rsidRDefault="00355F8F" w:rsidP="00355F8F">
      <w:pPr>
        <w:pStyle w:val="MemoHeaderText"/>
      </w:pPr>
    </w:p>
    <w:p w:rsidR="006919FC" w:rsidRPr="00C83F24" w:rsidRDefault="006919FC" w:rsidP="00DA4C74">
      <w:pPr>
        <w:pStyle w:val="MemoHeaderText"/>
        <w:spacing w:before="240"/>
        <w:ind w:left="2160" w:hanging="2246"/>
        <w:jc w:val="center"/>
      </w:pPr>
      <w:r w:rsidRPr="00C83F24">
        <w:t>END</w:t>
      </w:r>
    </w:p>
    <w:sectPr w:rsidR="006919FC" w:rsidRPr="00C83F24" w:rsidSect="00E3097E">
      <w:headerReference w:type="default" r:id="rId8"/>
      <w:footerReference w:type="default" r:id="rId9"/>
      <w:headerReference w:type="first" r:id="rId1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BC" w:rsidRDefault="00A95EBC">
      <w:r>
        <w:separator/>
      </w:r>
    </w:p>
  </w:endnote>
  <w:endnote w:type="continuationSeparator" w:id="0">
    <w:p w:rsidR="00A95EBC" w:rsidRDefault="00A95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AE" w:rsidRPr="00B66535" w:rsidRDefault="001763AE" w:rsidP="00B66535">
    <w:pPr>
      <w:pStyle w:val="Footer"/>
      <w:jc w:val="center"/>
      <w:rPr>
        <w:sz w:val="22"/>
        <w:szCs w:val="22"/>
      </w:rPr>
    </w:pPr>
    <w:r w:rsidRPr="00B66535">
      <w:rPr>
        <w:sz w:val="22"/>
        <w:szCs w:val="22"/>
      </w:rPr>
      <w:t xml:space="preserve">Page </w:t>
    </w:r>
    <w:r w:rsidR="00C825B3" w:rsidRPr="00B66535">
      <w:rPr>
        <w:sz w:val="22"/>
        <w:szCs w:val="22"/>
      </w:rPr>
      <w:fldChar w:fldCharType="begin"/>
    </w:r>
    <w:r w:rsidRPr="00B66535">
      <w:rPr>
        <w:sz w:val="22"/>
        <w:szCs w:val="22"/>
      </w:rPr>
      <w:instrText xml:space="preserve"> PAGE </w:instrText>
    </w:r>
    <w:r w:rsidR="00C825B3" w:rsidRPr="00B66535">
      <w:rPr>
        <w:sz w:val="22"/>
        <w:szCs w:val="22"/>
      </w:rPr>
      <w:fldChar w:fldCharType="separate"/>
    </w:r>
    <w:r w:rsidR="00B17E4D">
      <w:rPr>
        <w:noProof/>
        <w:sz w:val="22"/>
        <w:szCs w:val="22"/>
      </w:rPr>
      <w:t>1</w:t>
    </w:r>
    <w:r w:rsidR="00C825B3" w:rsidRPr="00B66535">
      <w:rPr>
        <w:sz w:val="22"/>
        <w:szCs w:val="22"/>
      </w:rPr>
      <w:fldChar w:fldCharType="end"/>
    </w:r>
    <w:r w:rsidRPr="00B66535">
      <w:rPr>
        <w:sz w:val="22"/>
        <w:szCs w:val="22"/>
      </w:rPr>
      <w:t xml:space="preserve"> of </w:t>
    </w:r>
    <w:r w:rsidR="00C825B3" w:rsidRPr="00B66535">
      <w:rPr>
        <w:sz w:val="22"/>
        <w:szCs w:val="22"/>
      </w:rPr>
      <w:fldChar w:fldCharType="begin"/>
    </w:r>
    <w:r w:rsidRPr="00B66535">
      <w:rPr>
        <w:sz w:val="22"/>
        <w:szCs w:val="22"/>
      </w:rPr>
      <w:instrText xml:space="preserve"> NUMPAGES </w:instrText>
    </w:r>
    <w:r w:rsidR="00C825B3" w:rsidRPr="00B66535">
      <w:rPr>
        <w:sz w:val="22"/>
        <w:szCs w:val="22"/>
      </w:rPr>
      <w:fldChar w:fldCharType="separate"/>
    </w:r>
    <w:r w:rsidR="00B17E4D">
      <w:rPr>
        <w:noProof/>
        <w:sz w:val="22"/>
        <w:szCs w:val="22"/>
      </w:rPr>
      <w:t>12</w:t>
    </w:r>
    <w:r w:rsidR="00C825B3" w:rsidRPr="00B66535">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BC" w:rsidRDefault="00A95EBC">
      <w:r>
        <w:separator/>
      </w:r>
    </w:p>
  </w:footnote>
  <w:footnote w:type="continuationSeparator" w:id="0">
    <w:p w:rsidR="00A95EBC" w:rsidRDefault="00A95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AE" w:rsidRDefault="001763AE" w:rsidP="00DA4C74">
    <w:pPr>
      <w:pStyle w:val="Header"/>
      <w:tabs>
        <w:tab w:val="clear" w:pos="4320"/>
        <w:tab w:val="clear" w:pos="8640"/>
        <w:tab w:val="right" w:pos="9360"/>
        <w:tab w:val="right" w:pos="12960"/>
      </w:tabs>
      <w:rPr>
        <w:smallCaps/>
      </w:rPr>
    </w:pPr>
    <w:r>
      <w:rPr>
        <w:smallCaps/>
      </w:rPr>
      <w:tab/>
      <w:t>Statewide Collection Services for Court-Ordered and other Debt</w:t>
    </w:r>
  </w:p>
  <w:p w:rsidR="001763AE" w:rsidRDefault="001763AE" w:rsidP="00DA4C74">
    <w:pPr>
      <w:pStyle w:val="Header"/>
      <w:tabs>
        <w:tab w:val="clear" w:pos="4320"/>
        <w:tab w:val="clear" w:pos="8640"/>
        <w:tab w:val="right" w:pos="9360"/>
        <w:tab w:val="left" w:pos="10620"/>
        <w:tab w:val="right" w:pos="12960"/>
      </w:tabs>
      <w:rPr>
        <w:smallCaps/>
        <w:u w:val="double"/>
      </w:rPr>
    </w:pPr>
    <w:r>
      <w:rPr>
        <w:smallCaps/>
        <w:u w:val="double"/>
      </w:rPr>
      <w:t>Administrative Office of the Courts</w:t>
    </w:r>
    <w:r>
      <w:rPr>
        <w:smallCaps/>
        <w:u w:val="double"/>
      </w:rPr>
      <w:tab/>
      <w:t>Request for Proposal No. ECU-20</w:t>
    </w:r>
    <w:r w:rsidR="00E940FB">
      <w:rPr>
        <w:smallCaps/>
        <w:u w:val="double"/>
      </w:rPr>
      <w:t>13</w:t>
    </w:r>
    <w:r>
      <w:rPr>
        <w:smallCaps/>
        <w:u w:val="double"/>
      </w:rPr>
      <w:t>-01</w:t>
    </w:r>
  </w:p>
  <w:p w:rsidR="001763AE" w:rsidRDefault="00430841" w:rsidP="00DA4C74">
    <w:pPr>
      <w:pStyle w:val="JCCBodyText"/>
      <w:tabs>
        <w:tab w:val="clear" w:pos="360"/>
        <w:tab w:val="right" w:pos="9360"/>
      </w:tabs>
      <w:spacing w:line="240" w:lineRule="auto"/>
      <w:rPr>
        <w:b/>
      </w:rPr>
    </w:pPr>
    <w:r>
      <w:rPr>
        <w:b/>
      </w:rPr>
      <w:t>Questions and Answers</w:t>
    </w:r>
    <w:r w:rsidR="001763AE">
      <w:rPr>
        <w:b/>
      </w:rPr>
      <w:tab/>
    </w:r>
    <w:r>
      <w:t>October</w:t>
    </w:r>
    <w:r w:rsidR="001763AE" w:rsidRPr="00805A74">
      <w:t xml:space="preserve"> </w:t>
    </w:r>
    <w:r>
      <w:t>18</w:t>
    </w:r>
    <w:r w:rsidR="001763AE" w:rsidRPr="00805A74">
      <w:t>, 20</w:t>
    </w:r>
    <w:r w:rsidR="00E940FB">
      <w:t>13</w:t>
    </w:r>
  </w:p>
  <w:p w:rsidR="001763AE" w:rsidRDefault="001763AE" w:rsidP="00DA4C74">
    <w:pPr>
      <w:pStyle w:val="JCCBodyText"/>
      <w:tabs>
        <w:tab w:val="clear" w:pos="360"/>
        <w:tab w:val="right" w:pos="9360"/>
      </w:tabs>
      <w:spacing w:line="240" w:lineRule="auto"/>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3AE" w:rsidRDefault="001763AE" w:rsidP="00DA4C74">
    <w:pPr>
      <w:pStyle w:val="Header"/>
      <w:tabs>
        <w:tab w:val="clear" w:pos="4320"/>
        <w:tab w:val="clear" w:pos="8640"/>
        <w:tab w:val="right" w:pos="9360"/>
        <w:tab w:val="right" w:pos="12960"/>
      </w:tabs>
      <w:rPr>
        <w:smallCaps/>
      </w:rPr>
    </w:pPr>
    <w:r>
      <w:rPr>
        <w:smallCaps/>
      </w:rPr>
      <w:tab/>
      <w:t>Statewide Collection Services for Court-Ordered and other Debt</w:t>
    </w:r>
  </w:p>
  <w:p w:rsidR="001763AE" w:rsidRDefault="001763AE" w:rsidP="00DA4C74">
    <w:pPr>
      <w:pStyle w:val="Header"/>
      <w:tabs>
        <w:tab w:val="clear" w:pos="4320"/>
        <w:tab w:val="clear" w:pos="8640"/>
        <w:tab w:val="right" w:pos="9360"/>
        <w:tab w:val="left" w:pos="10620"/>
        <w:tab w:val="right" w:pos="12960"/>
      </w:tabs>
      <w:rPr>
        <w:smallCaps/>
        <w:u w:val="double"/>
      </w:rPr>
    </w:pPr>
    <w:r>
      <w:rPr>
        <w:smallCaps/>
        <w:u w:val="double"/>
      </w:rPr>
      <w:t>Administrative Office of the Courts</w:t>
    </w:r>
    <w:r>
      <w:rPr>
        <w:smallCaps/>
        <w:u w:val="double"/>
      </w:rPr>
      <w:tab/>
      <w:t>Request for Proposal No. ECU-2008-01</w:t>
    </w:r>
  </w:p>
  <w:p w:rsidR="001763AE" w:rsidRDefault="001763AE" w:rsidP="00DA4C74">
    <w:pPr>
      <w:pStyle w:val="JCCBodyText"/>
      <w:tabs>
        <w:tab w:val="clear" w:pos="360"/>
        <w:tab w:val="right" w:pos="9360"/>
      </w:tabs>
      <w:spacing w:line="240" w:lineRule="auto"/>
    </w:pPr>
    <w:r>
      <w:t>Addendum No. 1</w:t>
    </w:r>
    <w:r>
      <w:tab/>
    </w:r>
    <w:r w:rsidRPr="0056599C">
      <w:rPr>
        <w:highlight w:val="yellow"/>
      </w:rPr>
      <w:t>October 20, 2008</w:t>
    </w:r>
  </w:p>
  <w:p w:rsidR="001763AE" w:rsidRDefault="001763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F35280D"/>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2B85C83"/>
    <w:multiLevelType w:val="multilevel"/>
    <w:tmpl w:val="22B86F1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F41C09"/>
    <w:multiLevelType w:val="multilevel"/>
    <w:tmpl w:val="65B067B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1FB544A"/>
    <w:multiLevelType w:val="multilevel"/>
    <w:tmpl w:val="77D0C210"/>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B367D11"/>
    <w:multiLevelType w:val="multilevel"/>
    <w:tmpl w:val="B6D0D00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CBB4BCA"/>
    <w:multiLevelType w:val="multilevel"/>
    <w:tmpl w:val="ABA09F0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6BE4D66"/>
    <w:multiLevelType w:val="multilevel"/>
    <w:tmpl w:val="F77E2AD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44A1DC5"/>
    <w:multiLevelType w:val="hybridMultilevel"/>
    <w:tmpl w:val="B4302594"/>
    <w:lvl w:ilvl="0" w:tplc="2F3EBAFE">
      <w:start w:val="1"/>
      <w:numFmt w:val="decimal"/>
      <w:lvlText w:val="%1)"/>
      <w:lvlJc w:val="left"/>
      <w:pPr>
        <w:tabs>
          <w:tab w:val="num" w:pos="1080"/>
        </w:tabs>
        <w:ind w:left="1080" w:hanging="360"/>
      </w:pPr>
      <w:rPr>
        <w:rFonts w:hint="default"/>
      </w:rPr>
    </w:lvl>
    <w:lvl w:ilvl="1" w:tplc="17B0187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8">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D31228"/>
    <w:multiLevelType w:val="multilevel"/>
    <w:tmpl w:val="8D0C96C0"/>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4AC1426"/>
    <w:multiLevelType w:val="multilevel"/>
    <w:tmpl w:val="28AE0C08"/>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7CD0A49"/>
    <w:multiLevelType w:val="multilevel"/>
    <w:tmpl w:val="72048BFC"/>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7E355BE"/>
    <w:multiLevelType w:val="multilevel"/>
    <w:tmpl w:val="FADA3C50"/>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80A4050"/>
    <w:multiLevelType w:val="multilevel"/>
    <w:tmpl w:val="DE5869FA"/>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8C306E6"/>
    <w:multiLevelType w:val="multilevel"/>
    <w:tmpl w:val="BF50FC3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CE45D13"/>
    <w:multiLevelType w:val="multilevel"/>
    <w:tmpl w:val="4A309C86"/>
    <w:lvl w:ilvl="0">
      <w:start w:val="1"/>
      <w:numFmt w:val="upperRoman"/>
      <w:lvlText w:val="%1."/>
      <w:lvlJc w:val="left"/>
      <w:pPr>
        <w:tabs>
          <w:tab w:val="num" w:pos="720"/>
        </w:tabs>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nsid w:val="653622C6"/>
    <w:multiLevelType w:val="multilevel"/>
    <w:tmpl w:val="13A64EBA"/>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9">
    <w:nsid w:val="6D3439F5"/>
    <w:multiLevelType w:val="multilevel"/>
    <w:tmpl w:val="58229BA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2DC20AF"/>
    <w:multiLevelType w:val="multilevel"/>
    <w:tmpl w:val="27AEBA16"/>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B397AF7"/>
    <w:multiLevelType w:val="multilevel"/>
    <w:tmpl w:val="57C44C9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i/>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F787986"/>
    <w:multiLevelType w:val="hybridMultilevel"/>
    <w:tmpl w:val="D4AA3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3"/>
  </w:num>
  <w:num w:numId="4">
    <w:abstractNumId w:val="2"/>
  </w:num>
  <w:num w:numId="5">
    <w:abstractNumId w:val="4"/>
  </w:num>
  <w:num w:numId="6">
    <w:abstractNumId w:val="9"/>
  </w:num>
  <w:num w:numId="7">
    <w:abstractNumId w:val="29"/>
  </w:num>
  <w:num w:numId="8">
    <w:abstractNumId w:val="31"/>
  </w:num>
  <w:num w:numId="9">
    <w:abstractNumId w:val="13"/>
  </w:num>
  <w:num w:numId="10">
    <w:abstractNumId w:val="19"/>
  </w:num>
  <w:num w:numId="11">
    <w:abstractNumId w:val="30"/>
  </w:num>
  <w:num w:numId="12">
    <w:abstractNumId w:val="12"/>
  </w:num>
  <w:num w:numId="13">
    <w:abstractNumId w:val="23"/>
  </w:num>
  <w:num w:numId="14">
    <w:abstractNumId w:val="21"/>
  </w:num>
  <w:num w:numId="15">
    <w:abstractNumId w:val="15"/>
  </w:num>
  <w:num w:numId="16">
    <w:abstractNumId w:val="26"/>
  </w:num>
  <w:num w:numId="17">
    <w:abstractNumId w:val="14"/>
  </w:num>
  <w:num w:numId="18">
    <w:abstractNumId w:val="10"/>
  </w:num>
  <w:num w:numId="19">
    <w:abstractNumId w:val="27"/>
  </w:num>
  <w:num w:numId="20">
    <w:abstractNumId w:val="16"/>
  </w:num>
  <w:num w:numId="21">
    <w:abstractNumId w:val="7"/>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
  </w:num>
  <w:num w:numId="29">
    <w:abstractNumId w:val="5"/>
  </w:num>
  <w:num w:numId="30">
    <w:abstractNumId w:val="22"/>
  </w:num>
  <w:num w:numId="31">
    <w:abstractNumId w:val="24"/>
  </w:num>
  <w:num w:numId="32">
    <w:abstractNumId w:val="20"/>
  </w:num>
  <w:num w:numId="33">
    <w:abstractNumId w:val="11"/>
  </w:num>
  <w:num w:numId="34">
    <w:abstractNumId w:val="8"/>
  </w:num>
  <w:num w:numId="35">
    <w:abstractNumId w:val="3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rsids>
    <w:rsidRoot w:val="00EE6163"/>
    <w:rsid w:val="00004AF7"/>
    <w:rsid w:val="00023775"/>
    <w:rsid w:val="00044445"/>
    <w:rsid w:val="00044EDA"/>
    <w:rsid w:val="00045B1C"/>
    <w:rsid w:val="0004669F"/>
    <w:rsid w:val="000657A4"/>
    <w:rsid w:val="00075F30"/>
    <w:rsid w:val="0007650C"/>
    <w:rsid w:val="0007717F"/>
    <w:rsid w:val="000930F8"/>
    <w:rsid w:val="00093AB1"/>
    <w:rsid w:val="000A108D"/>
    <w:rsid w:val="000A58C9"/>
    <w:rsid w:val="000A63CF"/>
    <w:rsid w:val="000A6F0A"/>
    <w:rsid w:val="000B077F"/>
    <w:rsid w:val="000B7D92"/>
    <w:rsid w:val="000C0F7C"/>
    <w:rsid w:val="000C2D5F"/>
    <w:rsid w:val="000C57A3"/>
    <w:rsid w:val="000D7C91"/>
    <w:rsid w:val="000E3DC3"/>
    <w:rsid w:val="000F11D3"/>
    <w:rsid w:val="00103392"/>
    <w:rsid w:val="00107AC9"/>
    <w:rsid w:val="00120DE3"/>
    <w:rsid w:val="0012633E"/>
    <w:rsid w:val="0013520A"/>
    <w:rsid w:val="00137B92"/>
    <w:rsid w:val="00143047"/>
    <w:rsid w:val="001533CD"/>
    <w:rsid w:val="001545E2"/>
    <w:rsid w:val="00154B8B"/>
    <w:rsid w:val="00157B60"/>
    <w:rsid w:val="00163F38"/>
    <w:rsid w:val="00171E4D"/>
    <w:rsid w:val="00175021"/>
    <w:rsid w:val="001763AE"/>
    <w:rsid w:val="00176E41"/>
    <w:rsid w:val="001865FF"/>
    <w:rsid w:val="00191938"/>
    <w:rsid w:val="00192A0A"/>
    <w:rsid w:val="00194024"/>
    <w:rsid w:val="00195429"/>
    <w:rsid w:val="001A1D1A"/>
    <w:rsid w:val="001E406A"/>
    <w:rsid w:val="001F147D"/>
    <w:rsid w:val="001F7220"/>
    <w:rsid w:val="00204A73"/>
    <w:rsid w:val="002057C4"/>
    <w:rsid w:val="002105FA"/>
    <w:rsid w:val="0021717A"/>
    <w:rsid w:val="00217697"/>
    <w:rsid w:val="0022457C"/>
    <w:rsid w:val="00232AD8"/>
    <w:rsid w:val="00235C95"/>
    <w:rsid w:val="002364CE"/>
    <w:rsid w:val="0025288E"/>
    <w:rsid w:val="00254B99"/>
    <w:rsid w:val="00257A25"/>
    <w:rsid w:val="002831BA"/>
    <w:rsid w:val="0028744B"/>
    <w:rsid w:val="002A58D9"/>
    <w:rsid w:val="002B09EE"/>
    <w:rsid w:val="002C169F"/>
    <w:rsid w:val="002D5937"/>
    <w:rsid w:val="002E5887"/>
    <w:rsid w:val="002E6E43"/>
    <w:rsid w:val="003072BD"/>
    <w:rsid w:val="00334351"/>
    <w:rsid w:val="00334A48"/>
    <w:rsid w:val="00335068"/>
    <w:rsid w:val="0033585B"/>
    <w:rsid w:val="0034202D"/>
    <w:rsid w:val="00355F8F"/>
    <w:rsid w:val="0036185B"/>
    <w:rsid w:val="00373F5A"/>
    <w:rsid w:val="003936AE"/>
    <w:rsid w:val="003A2602"/>
    <w:rsid w:val="003A2697"/>
    <w:rsid w:val="003A6131"/>
    <w:rsid w:val="003A6F37"/>
    <w:rsid w:val="003A7F21"/>
    <w:rsid w:val="003C646B"/>
    <w:rsid w:val="003D7BBF"/>
    <w:rsid w:val="0040229D"/>
    <w:rsid w:val="004042E7"/>
    <w:rsid w:val="00415FC5"/>
    <w:rsid w:val="004236E3"/>
    <w:rsid w:val="004244C3"/>
    <w:rsid w:val="00430841"/>
    <w:rsid w:val="00436B8D"/>
    <w:rsid w:val="00437D90"/>
    <w:rsid w:val="00442655"/>
    <w:rsid w:val="004435D9"/>
    <w:rsid w:val="00447CE9"/>
    <w:rsid w:val="0045074A"/>
    <w:rsid w:val="00451C5C"/>
    <w:rsid w:val="004637FF"/>
    <w:rsid w:val="00471CB2"/>
    <w:rsid w:val="00490954"/>
    <w:rsid w:val="0049432C"/>
    <w:rsid w:val="004A2B56"/>
    <w:rsid w:val="004B11A2"/>
    <w:rsid w:val="004C4A0B"/>
    <w:rsid w:val="004C4DAB"/>
    <w:rsid w:val="004C570E"/>
    <w:rsid w:val="004C776E"/>
    <w:rsid w:val="004D73BC"/>
    <w:rsid w:val="004E4D25"/>
    <w:rsid w:val="004F3B5D"/>
    <w:rsid w:val="005042A0"/>
    <w:rsid w:val="00512942"/>
    <w:rsid w:val="005156C0"/>
    <w:rsid w:val="0051589F"/>
    <w:rsid w:val="00534017"/>
    <w:rsid w:val="005365FA"/>
    <w:rsid w:val="00543CFA"/>
    <w:rsid w:val="00556EF4"/>
    <w:rsid w:val="005621FA"/>
    <w:rsid w:val="0056599C"/>
    <w:rsid w:val="0057409D"/>
    <w:rsid w:val="00581172"/>
    <w:rsid w:val="0058228C"/>
    <w:rsid w:val="005A1E40"/>
    <w:rsid w:val="005C0EC0"/>
    <w:rsid w:val="005C46A5"/>
    <w:rsid w:val="005C71EB"/>
    <w:rsid w:val="005C7DE5"/>
    <w:rsid w:val="005D5251"/>
    <w:rsid w:val="005D57BA"/>
    <w:rsid w:val="005E5362"/>
    <w:rsid w:val="005F37F8"/>
    <w:rsid w:val="005F47CD"/>
    <w:rsid w:val="00603DB5"/>
    <w:rsid w:val="00612EFE"/>
    <w:rsid w:val="0061726C"/>
    <w:rsid w:val="00625F0D"/>
    <w:rsid w:val="00630966"/>
    <w:rsid w:val="006418FB"/>
    <w:rsid w:val="006434E9"/>
    <w:rsid w:val="0066309A"/>
    <w:rsid w:val="00676B9A"/>
    <w:rsid w:val="00680AD4"/>
    <w:rsid w:val="00686C36"/>
    <w:rsid w:val="006919FC"/>
    <w:rsid w:val="006959CA"/>
    <w:rsid w:val="006B12B7"/>
    <w:rsid w:val="006B381F"/>
    <w:rsid w:val="006B3F49"/>
    <w:rsid w:val="006B6FA4"/>
    <w:rsid w:val="006C032A"/>
    <w:rsid w:val="006D5074"/>
    <w:rsid w:val="006F52E6"/>
    <w:rsid w:val="006F6762"/>
    <w:rsid w:val="006F6DD6"/>
    <w:rsid w:val="007016C1"/>
    <w:rsid w:val="00717A9F"/>
    <w:rsid w:val="00723B12"/>
    <w:rsid w:val="00724600"/>
    <w:rsid w:val="00731F1F"/>
    <w:rsid w:val="007339EA"/>
    <w:rsid w:val="007368F7"/>
    <w:rsid w:val="00742F84"/>
    <w:rsid w:val="007447CB"/>
    <w:rsid w:val="00755C6A"/>
    <w:rsid w:val="00771193"/>
    <w:rsid w:val="0077604B"/>
    <w:rsid w:val="00785EBC"/>
    <w:rsid w:val="00793B31"/>
    <w:rsid w:val="00797DD6"/>
    <w:rsid w:val="007A265B"/>
    <w:rsid w:val="007B25F0"/>
    <w:rsid w:val="007B4A8B"/>
    <w:rsid w:val="007B5445"/>
    <w:rsid w:val="007B7FD2"/>
    <w:rsid w:val="007D234C"/>
    <w:rsid w:val="007E45BD"/>
    <w:rsid w:val="00800409"/>
    <w:rsid w:val="0080080D"/>
    <w:rsid w:val="00805A74"/>
    <w:rsid w:val="0081016F"/>
    <w:rsid w:val="0081413D"/>
    <w:rsid w:val="00827357"/>
    <w:rsid w:val="008332AF"/>
    <w:rsid w:val="008442A1"/>
    <w:rsid w:val="008451BF"/>
    <w:rsid w:val="008530D4"/>
    <w:rsid w:val="008536FE"/>
    <w:rsid w:val="008564EA"/>
    <w:rsid w:val="00874AF4"/>
    <w:rsid w:val="0089598C"/>
    <w:rsid w:val="008C7895"/>
    <w:rsid w:val="008D0CC3"/>
    <w:rsid w:val="008D21A5"/>
    <w:rsid w:val="008D6877"/>
    <w:rsid w:val="008E6C49"/>
    <w:rsid w:val="008F37C0"/>
    <w:rsid w:val="008F5FBF"/>
    <w:rsid w:val="009147DE"/>
    <w:rsid w:val="0092578D"/>
    <w:rsid w:val="00930CB9"/>
    <w:rsid w:val="009330A9"/>
    <w:rsid w:val="00935C36"/>
    <w:rsid w:val="009413FB"/>
    <w:rsid w:val="00943BC8"/>
    <w:rsid w:val="0094663E"/>
    <w:rsid w:val="0095014B"/>
    <w:rsid w:val="00950E55"/>
    <w:rsid w:val="009570A2"/>
    <w:rsid w:val="00961AA1"/>
    <w:rsid w:val="00994DD1"/>
    <w:rsid w:val="009A7F17"/>
    <w:rsid w:val="009B6C67"/>
    <w:rsid w:val="009B77D3"/>
    <w:rsid w:val="009C12EB"/>
    <w:rsid w:val="009C542F"/>
    <w:rsid w:val="009E2EAE"/>
    <w:rsid w:val="009F0DFA"/>
    <w:rsid w:val="009F1D8B"/>
    <w:rsid w:val="009F5122"/>
    <w:rsid w:val="00A119E1"/>
    <w:rsid w:val="00A12FB7"/>
    <w:rsid w:val="00A2128B"/>
    <w:rsid w:val="00A2224A"/>
    <w:rsid w:val="00A23802"/>
    <w:rsid w:val="00A24326"/>
    <w:rsid w:val="00A3261E"/>
    <w:rsid w:val="00A42618"/>
    <w:rsid w:val="00A51E96"/>
    <w:rsid w:val="00A52C1C"/>
    <w:rsid w:val="00A657AF"/>
    <w:rsid w:val="00A663D6"/>
    <w:rsid w:val="00A71F61"/>
    <w:rsid w:val="00A90B19"/>
    <w:rsid w:val="00A9380A"/>
    <w:rsid w:val="00A95EBC"/>
    <w:rsid w:val="00A975A4"/>
    <w:rsid w:val="00AA162D"/>
    <w:rsid w:val="00AC45A1"/>
    <w:rsid w:val="00AD51CC"/>
    <w:rsid w:val="00AD6AF8"/>
    <w:rsid w:val="00AD6DD6"/>
    <w:rsid w:val="00AE2133"/>
    <w:rsid w:val="00AE338F"/>
    <w:rsid w:val="00AF5DA7"/>
    <w:rsid w:val="00B00D3D"/>
    <w:rsid w:val="00B03AD0"/>
    <w:rsid w:val="00B074CB"/>
    <w:rsid w:val="00B07E8D"/>
    <w:rsid w:val="00B109DB"/>
    <w:rsid w:val="00B17E4D"/>
    <w:rsid w:val="00B2596E"/>
    <w:rsid w:val="00B337C5"/>
    <w:rsid w:val="00B3630C"/>
    <w:rsid w:val="00B36CA4"/>
    <w:rsid w:val="00B541FD"/>
    <w:rsid w:val="00B54F99"/>
    <w:rsid w:val="00B631CE"/>
    <w:rsid w:val="00B634F0"/>
    <w:rsid w:val="00B66535"/>
    <w:rsid w:val="00B72E5C"/>
    <w:rsid w:val="00B75498"/>
    <w:rsid w:val="00B75ADA"/>
    <w:rsid w:val="00B8105A"/>
    <w:rsid w:val="00B8303A"/>
    <w:rsid w:val="00B832B9"/>
    <w:rsid w:val="00B97636"/>
    <w:rsid w:val="00BB1520"/>
    <w:rsid w:val="00BB6B5E"/>
    <w:rsid w:val="00BC09FA"/>
    <w:rsid w:val="00BC58C0"/>
    <w:rsid w:val="00BD1AB1"/>
    <w:rsid w:val="00BD2472"/>
    <w:rsid w:val="00BD3508"/>
    <w:rsid w:val="00BD66D7"/>
    <w:rsid w:val="00BE00A6"/>
    <w:rsid w:val="00BE0A74"/>
    <w:rsid w:val="00BE165D"/>
    <w:rsid w:val="00BE5348"/>
    <w:rsid w:val="00C14BED"/>
    <w:rsid w:val="00C206A0"/>
    <w:rsid w:val="00C22ED3"/>
    <w:rsid w:val="00C24971"/>
    <w:rsid w:val="00C4201E"/>
    <w:rsid w:val="00C552F8"/>
    <w:rsid w:val="00C7237E"/>
    <w:rsid w:val="00C72961"/>
    <w:rsid w:val="00C74EA7"/>
    <w:rsid w:val="00C756D9"/>
    <w:rsid w:val="00C77C42"/>
    <w:rsid w:val="00C80835"/>
    <w:rsid w:val="00C80862"/>
    <w:rsid w:val="00C825B3"/>
    <w:rsid w:val="00C83F24"/>
    <w:rsid w:val="00C96E27"/>
    <w:rsid w:val="00CA0085"/>
    <w:rsid w:val="00CA26AC"/>
    <w:rsid w:val="00CA372E"/>
    <w:rsid w:val="00CA4B34"/>
    <w:rsid w:val="00CC4BEB"/>
    <w:rsid w:val="00CC6708"/>
    <w:rsid w:val="00CC6801"/>
    <w:rsid w:val="00CC7C1D"/>
    <w:rsid w:val="00CD1F71"/>
    <w:rsid w:val="00CD264F"/>
    <w:rsid w:val="00CD488C"/>
    <w:rsid w:val="00CD6C6C"/>
    <w:rsid w:val="00CD730B"/>
    <w:rsid w:val="00CD7A4F"/>
    <w:rsid w:val="00CE5FEA"/>
    <w:rsid w:val="00CF5ADD"/>
    <w:rsid w:val="00D07C41"/>
    <w:rsid w:val="00D3474D"/>
    <w:rsid w:val="00D34F8A"/>
    <w:rsid w:val="00D43C14"/>
    <w:rsid w:val="00D53C3F"/>
    <w:rsid w:val="00D56D90"/>
    <w:rsid w:val="00D601F0"/>
    <w:rsid w:val="00D71D80"/>
    <w:rsid w:val="00D75801"/>
    <w:rsid w:val="00D854F6"/>
    <w:rsid w:val="00D91250"/>
    <w:rsid w:val="00D93164"/>
    <w:rsid w:val="00D939D0"/>
    <w:rsid w:val="00D95305"/>
    <w:rsid w:val="00DA4C74"/>
    <w:rsid w:val="00DB0015"/>
    <w:rsid w:val="00DB3A3F"/>
    <w:rsid w:val="00DC1CF2"/>
    <w:rsid w:val="00DC297E"/>
    <w:rsid w:val="00DC42D7"/>
    <w:rsid w:val="00DD24FD"/>
    <w:rsid w:val="00DD6A57"/>
    <w:rsid w:val="00DE1335"/>
    <w:rsid w:val="00DE46E3"/>
    <w:rsid w:val="00DF5DAB"/>
    <w:rsid w:val="00E063B5"/>
    <w:rsid w:val="00E12499"/>
    <w:rsid w:val="00E14826"/>
    <w:rsid w:val="00E24953"/>
    <w:rsid w:val="00E275E2"/>
    <w:rsid w:val="00E27B31"/>
    <w:rsid w:val="00E3097E"/>
    <w:rsid w:val="00E36D79"/>
    <w:rsid w:val="00E4036C"/>
    <w:rsid w:val="00E41041"/>
    <w:rsid w:val="00E546BE"/>
    <w:rsid w:val="00E6154A"/>
    <w:rsid w:val="00E6416E"/>
    <w:rsid w:val="00E7762E"/>
    <w:rsid w:val="00E811BF"/>
    <w:rsid w:val="00E940FB"/>
    <w:rsid w:val="00E95092"/>
    <w:rsid w:val="00EB2705"/>
    <w:rsid w:val="00EB7269"/>
    <w:rsid w:val="00EC3660"/>
    <w:rsid w:val="00EC735C"/>
    <w:rsid w:val="00EC78CE"/>
    <w:rsid w:val="00ED30EC"/>
    <w:rsid w:val="00EE0E31"/>
    <w:rsid w:val="00EE3678"/>
    <w:rsid w:val="00EE612E"/>
    <w:rsid w:val="00EE6163"/>
    <w:rsid w:val="00EE79E2"/>
    <w:rsid w:val="00EE7C31"/>
    <w:rsid w:val="00EF2821"/>
    <w:rsid w:val="00EF6BF9"/>
    <w:rsid w:val="00F14866"/>
    <w:rsid w:val="00F26F31"/>
    <w:rsid w:val="00F31F37"/>
    <w:rsid w:val="00F32FD2"/>
    <w:rsid w:val="00F41500"/>
    <w:rsid w:val="00F608B4"/>
    <w:rsid w:val="00F7149D"/>
    <w:rsid w:val="00F777C2"/>
    <w:rsid w:val="00F86DEF"/>
    <w:rsid w:val="00F93766"/>
    <w:rsid w:val="00F93872"/>
    <w:rsid w:val="00F94203"/>
    <w:rsid w:val="00F96CB2"/>
    <w:rsid w:val="00FA6263"/>
    <w:rsid w:val="00FB47DB"/>
    <w:rsid w:val="00FB5169"/>
    <w:rsid w:val="00FB5AA5"/>
    <w:rsid w:val="00FC65A2"/>
    <w:rsid w:val="00FC725C"/>
    <w:rsid w:val="00FF19FF"/>
    <w:rsid w:val="00FF5C2D"/>
    <w:rsid w:val="00FF7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B19"/>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BE00A6"/>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BE00A6"/>
    <w:pPr>
      <w:spacing w:before="240" w:after="60"/>
      <w:outlineLvl w:val="5"/>
    </w:pPr>
    <w:rPr>
      <w:rFonts w:eastAsia="Times"/>
      <w:b/>
      <w:bCs/>
      <w:sz w:val="22"/>
      <w:szCs w:val="22"/>
    </w:rPr>
  </w:style>
  <w:style w:type="paragraph" w:styleId="Heading7">
    <w:name w:val="heading 7"/>
    <w:basedOn w:val="Normal"/>
    <w:next w:val="Normal"/>
    <w:qFormat/>
    <w:rsid w:val="00BE00A6"/>
    <w:pPr>
      <w:spacing w:before="240" w:after="60"/>
      <w:outlineLvl w:val="6"/>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BE00A6"/>
    <w:rPr>
      <w:sz w:val="24"/>
      <w:szCs w:val="24"/>
      <w:lang w:val="en-US" w:eastAsia="en-US" w:bidi="ar-SA"/>
    </w:rPr>
  </w:style>
  <w:style w:type="paragraph" w:styleId="FootnoteText">
    <w:name w:val="footnote text"/>
    <w:basedOn w:val="Normal"/>
    <w:semiHidden/>
    <w:rsid w:val="00B3630C"/>
    <w:rPr>
      <w:sz w:val="20"/>
    </w:rPr>
  </w:style>
  <w:style w:type="paragraph" w:customStyle="1" w:styleId="JCCAddressblock">
    <w:name w:val="JCC Address block"/>
    <w:basedOn w:val="Normal"/>
    <w:rsid w:val="00B3630C"/>
    <w:pPr>
      <w:spacing w:before="240" w:line="220" w:lineRule="exact"/>
      <w:jc w:val="center"/>
    </w:pPr>
    <w:rPr>
      <w:rFonts w:ascii="Goudy Old Style" w:hAnsi="Goudy Old Style"/>
      <w:spacing w:val="20"/>
      <w:sz w:val="17"/>
    </w:rPr>
  </w:style>
  <w:style w:type="paragraph" w:customStyle="1" w:styleId="JCCName">
    <w:name w:val="JCC Name"/>
    <w:basedOn w:val="Normal"/>
    <w:rsid w:val="00B3630C"/>
    <w:pPr>
      <w:spacing w:line="160" w:lineRule="exact"/>
      <w:jc w:val="right"/>
    </w:pPr>
    <w:rPr>
      <w:rFonts w:ascii="Goudy Old Style" w:hAnsi="Goudy Old Style"/>
      <w:spacing w:val="20"/>
      <w:sz w:val="14"/>
    </w:rPr>
  </w:style>
  <w:style w:type="paragraph" w:customStyle="1" w:styleId="JCCTitle">
    <w:name w:val="JCC Title"/>
    <w:basedOn w:val="Normal"/>
    <w:rsid w:val="00B3630C"/>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B3630C"/>
    <w:pPr>
      <w:spacing w:before="0"/>
    </w:pPr>
  </w:style>
  <w:style w:type="paragraph" w:customStyle="1" w:styleId="JCCAddress1stline">
    <w:name w:val="JCC Address 1st line"/>
    <w:basedOn w:val="Normal"/>
    <w:next w:val="JCCAddress2ndline"/>
    <w:rsid w:val="00B3630C"/>
    <w:pPr>
      <w:spacing w:before="180" w:line="280" w:lineRule="exact"/>
      <w:jc w:val="center"/>
    </w:pPr>
    <w:rPr>
      <w:rFonts w:ascii="Goudy Old Style" w:hAnsi="Goudy Old Style"/>
      <w:sz w:val="17"/>
    </w:rPr>
  </w:style>
  <w:style w:type="paragraph" w:styleId="Footer">
    <w:name w:val="footer"/>
    <w:basedOn w:val="Normal"/>
    <w:rsid w:val="00B3630C"/>
    <w:pPr>
      <w:tabs>
        <w:tab w:val="center" w:pos="4320"/>
        <w:tab w:val="right" w:pos="8640"/>
      </w:tabs>
    </w:pPr>
    <w:rPr>
      <w:sz w:val="16"/>
    </w:rPr>
  </w:style>
  <w:style w:type="paragraph" w:customStyle="1" w:styleId="HeaderPageNumber">
    <w:name w:val="Header Page Number"/>
    <w:basedOn w:val="Normal"/>
    <w:rsid w:val="00B3630C"/>
    <w:pPr>
      <w:tabs>
        <w:tab w:val="center" w:pos="4320"/>
        <w:tab w:val="right" w:pos="8640"/>
      </w:tabs>
      <w:spacing w:after="600"/>
    </w:pPr>
  </w:style>
  <w:style w:type="paragraph" w:styleId="BodyText">
    <w:name w:val="Body Text"/>
    <w:basedOn w:val="Normal"/>
    <w:rsid w:val="00B3630C"/>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tabs>
        <w:tab w:val="num" w:pos="720"/>
      </w:tabs>
      <w:ind w:hanging="720"/>
    </w:pPr>
    <w:rPr>
      <w:caps w:val="0"/>
      <w:u w:val="none"/>
    </w:rPr>
  </w:style>
  <w:style w:type="paragraph" w:customStyle="1" w:styleId="RFP1">
    <w:name w:val="RFP1"/>
    <w:basedOn w:val="Normal"/>
    <w:autoRedefine/>
    <w:rsid w:val="00EE6163"/>
    <w:pPr>
      <w:tabs>
        <w:tab w:val="num" w:pos="720"/>
      </w:tabs>
    </w:pPr>
    <w:rPr>
      <w:caps/>
      <w:u w:val="single"/>
    </w:rPr>
  </w:style>
  <w:style w:type="paragraph" w:customStyle="1" w:styleId="RFPa0">
    <w:name w:val="RFP(a)"/>
    <w:basedOn w:val="Normal"/>
    <w:rsid w:val="00EE6163"/>
    <w:pPr>
      <w:tabs>
        <w:tab w:val="left" w:pos="1440"/>
        <w:tab w:val="num" w:pos="2520"/>
      </w:tabs>
      <w:ind w:left="2160"/>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FollowedHyperlink">
    <w:name w:val="FollowedHyperlink"/>
    <w:basedOn w:val="DefaultParagraphFont"/>
    <w:rsid w:val="00B832B9"/>
    <w:rPr>
      <w:color w:val="800080"/>
      <w:u w:val="single"/>
    </w:rPr>
  </w:style>
  <w:style w:type="paragraph" w:styleId="BodyTextIndent">
    <w:name w:val="Body Text Indent"/>
    <w:basedOn w:val="Normal"/>
    <w:rsid w:val="00BE00A6"/>
    <w:pPr>
      <w:spacing w:after="120"/>
      <w:ind w:left="360"/>
    </w:pPr>
    <w:rPr>
      <w:rFonts w:eastAsia="Times"/>
      <w:szCs w:val="20"/>
    </w:rPr>
  </w:style>
  <w:style w:type="paragraph" w:customStyle="1" w:styleId="JCCAddress">
    <w:name w:val="JCC Address"/>
    <w:aliases w:val="1st line"/>
    <w:basedOn w:val="Normal"/>
    <w:autoRedefine/>
    <w:rsid w:val="00BE00A6"/>
    <w:pPr>
      <w:spacing w:before="360" w:line="280" w:lineRule="exact"/>
      <w:jc w:val="center"/>
    </w:pPr>
    <w:rPr>
      <w:rFonts w:ascii="Goudy Old Style" w:hAnsi="Goudy Old Style"/>
      <w:sz w:val="17"/>
      <w:szCs w:val="20"/>
    </w:rPr>
  </w:style>
  <w:style w:type="paragraph" w:customStyle="1" w:styleId="JCCspacer1">
    <w:name w:val="JCC spacer 1"/>
    <w:basedOn w:val="Normal"/>
    <w:rsid w:val="00BE00A6"/>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BE00A6"/>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BE00A6"/>
    <w:pPr>
      <w:jc w:val="center"/>
    </w:pPr>
    <w:rPr>
      <w:rFonts w:ascii="Courier" w:hAnsi="Courier"/>
      <w:szCs w:val="20"/>
    </w:rPr>
  </w:style>
  <w:style w:type="paragraph" w:customStyle="1" w:styleId="Bibliogrphy">
    <w:name w:val="Bibliogrphy"/>
    <w:basedOn w:val="Normal"/>
    <w:rsid w:val="00BE00A6"/>
    <w:pPr>
      <w:ind w:left="720" w:firstLine="720"/>
    </w:pPr>
    <w:rPr>
      <w:rFonts w:ascii="Courier" w:hAnsi="Courier"/>
      <w:szCs w:val="20"/>
    </w:rPr>
  </w:style>
  <w:style w:type="paragraph" w:customStyle="1" w:styleId="RightPar">
    <w:name w:val="Right Par"/>
    <w:basedOn w:val="Normal"/>
    <w:rsid w:val="00BE00A6"/>
    <w:pPr>
      <w:ind w:firstLine="720"/>
    </w:pPr>
    <w:rPr>
      <w:rFonts w:ascii="Courier" w:hAnsi="Courier"/>
      <w:szCs w:val="20"/>
    </w:rPr>
  </w:style>
  <w:style w:type="paragraph" w:customStyle="1" w:styleId="TechInit">
    <w:name w:val="Tech Init"/>
    <w:basedOn w:val="Normal"/>
    <w:rsid w:val="00BE00A6"/>
    <w:rPr>
      <w:rFonts w:ascii="Courier" w:hAnsi="Courier"/>
      <w:szCs w:val="20"/>
    </w:rPr>
  </w:style>
  <w:style w:type="paragraph" w:customStyle="1" w:styleId="Technical">
    <w:name w:val="Technical"/>
    <w:basedOn w:val="Normal"/>
    <w:rsid w:val="00BE00A6"/>
    <w:rPr>
      <w:rFonts w:ascii="Courier" w:hAnsi="Courier"/>
      <w:szCs w:val="20"/>
    </w:rPr>
  </w:style>
  <w:style w:type="paragraph" w:customStyle="1" w:styleId="Pleading">
    <w:name w:val="Pleading"/>
    <w:basedOn w:val="Normal"/>
    <w:rsid w:val="00BE00A6"/>
    <w:pPr>
      <w:tabs>
        <w:tab w:val="right" w:pos="288"/>
      </w:tabs>
    </w:pPr>
    <w:rPr>
      <w:rFonts w:ascii="Courier" w:hAnsi="Courier"/>
      <w:szCs w:val="20"/>
    </w:rPr>
  </w:style>
  <w:style w:type="paragraph" w:customStyle="1" w:styleId="headers">
    <w:name w:val="headers"/>
    <w:basedOn w:val="Normal"/>
    <w:rsid w:val="00BE00A6"/>
    <w:rPr>
      <w:rFonts w:ascii="Courier" w:hAnsi="Courier"/>
      <w:szCs w:val="20"/>
    </w:rPr>
  </w:style>
  <w:style w:type="paragraph" w:customStyle="1" w:styleId="categorynam">
    <w:name w:val="category nam"/>
    <w:basedOn w:val="Normal"/>
    <w:rsid w:val="00BE00A6"/>
    <w:rPr>
      <w:rFonts w:ascii="Courier" w:hAnsi="Courier"/>
      <w:szCs w:val="20"/>
    </w:rPr>
  </w:style>
  <w:style w:type="paragraph" w:customStyle="1" w:styleId="Requirements">
    <w:name w:val="Requirements"/>
    <w:basedOn w:val="Outlinearabic"/>
    <w:rsid w:val="00BE00A6"/>
    <w:pPr>
      <w:ind w:left="540" w:hanging="540"/>
    </w:pPr>
    <w:rPr>
      <w:szCs w:val="20"/>
    </w:rPr>
  </w:style>
  <w:style w:type="paragraph" w:customStyle="1" w:styleId="Style4">
    <w:name w:val="Style4"/>
    <w:basedOn w:val="Heading1"/>
    <w:autoRedefine/>
    <w:rsid w:val="00BE00A6"/>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BE00A6"/>
  </w:style>
  <w:style w:type="paragraph" w:customStyle="1" w:styleId="Style5">
    <w:name w:val="Style5"/>
    <w:rsid w:val="00BE00A6"/>
    <w:pPr>
      <w:numPr>
        <w:numId w:val="19"/>
      </w:numPr>
    </w:pPr>
    <w:rPr>
      <w:rFonts w:ascii="Times New Roman" w:eastAsia="Times New Roman" w:hAnsi="Times New Roman"/>
      <w:noProof/>
      <w:sz w:val="24"/>
    </w:rPr>
  </w:style>
  <w:style w:type="paragraph" w:customStyle="1" w:styleId="Standard1">
    <w:name w:val="Standard1"/>
    <w:basedOn w:val="Style1"/>
    <w:next w:val="Style1"/>
    <w:rsid w:val="00BE00A6"/>
    <w:pPr>
      <w:numPr>
        <w:numId w:val="18"/>
      </w:numPr>
    </w:pPr>
  </w:style>
  <w:style w:type="paragraph" w:customStyle="1" w:styleId="Style1">
    <w:name w:val="Style1"/>
    <w:basedOn w:val="Heading1"/>
    <w:autoRedefine/>
    <w:rsid w:val="00BE00A6"/>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BE00A6"/>
    <w:pPr>
      <w:numPr>
        <w:ilvl w:val="1"/>
        <w:numId w:val="20"/>
      </w:numPr>
      <w:tabs>
        <w:tab w:val="left" w:pos="-720"/>
      </w:tabs>
      <w:suppressAutoHyphens/>
      <w:jc w:val="both"/>
    </w:pPr>
    <w:rPr>
      <w:spacing w:val="-3"/>
    </w:rPr>
  </w:style>
  <w:style w:type="paragraph" w:customStyle="1" w:styleId="Style3">
    <w:name w:val="Style3"/>
    <w:basedOn w:val="Normal"/>
    <w:autoRedefine/>
    <w:rsid w:val="00BE00A6"/>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BE00A6"/>
    <w:pPr>
      <w:numPr>
        <w:ilvl w:val="2"/>
        <w:numId w:val="20"/>
      </w:numPr>
    </w:pPr>
  </w:style>
  <w:style w:type="paragraph" w:customStyle="1" w:styleId="ExhibitC1">
    <w:name w:val="ExhibitC1"/>
    <w:basedOn w:val="Style6"/>
    <w:rsid w:val="00BE00A6"/>
    <w:pPr>
      <w:numPr>
        <w:numId w:val="27"/>
      </w:numPr>
    </w:pPr>
    <w:rPr>
      <w:u w:val="single"/>
    </w:rPr>
  </w:style>
  <w:style w:type="paragraph" w:customStyle="1" w:styleId="Style6">
    <w:name w:val="Style6"/>
    <w:link w:val="Style6Char"/>
    <w:rsid w:val="00BE00A6"/>
    <w:rPr>
      <w:rFonts w:ascii="Times New Roman" w:eastAsia="Times New Roman" w:hAnsi="Times New Roman"/>
      <w:noProof/>
      <w:sz w:val="24"/>
    </w:rPr>
  </w:style>
  <w:style w:type="character" w:customStyle="1" w:styleId="Style6Char">
    <w:name w:val="Style6 Char"/>
    <w:basedOn w:val="DefaultParagraphFont"/>
    <w:link w:val="Style6"/>
    <w:rsid w:val="00BE00A6"/>
    <w:rPr>
      <w:rFonts w:ascii="Times New Roman" w:eastAsia="Times New Roman" w:hAnsi="Times New Roman"/>
      <w:noProof/>
      <w:sz w:val="24"/>
      <w:lang w:val="en-US" w:eastAsia="en-US" w:bidi="ar-SA"/>
    </w:rPr>
  </w:style>
  <w:style w:type="paragraph" w:customStyle="1" w:styleId="ExhibitC2">
    <w:name w:val="ExhibitC2"/>
    <w:basedOn w:val="Style7"/>
    <w:rsid w:val="00BE00A6"/>
    <w:pPr>
      <w:numPr>
        <w:ilvl w:val="1"/>
        <w:numId w:val="27"/>
      </w:numPr>
    </w:pPr>
    <w:rPr>
      <w:noProof/>
      <w:szCs w:val="20"/>
    </w:rPr>
  </w:style>
  <w:style w:type="paragraph" w:customStyle="1" w:styleId="ExhibitC3">
    <w:name w:val="ExhibitC3"/>
    <w:basedOn w:val="Style3"/>
    <w:rsid w:val="00BE00A6"/>
    <w:pPr>
      <w:numPr>
        <w:ilvl w:val="2"/>
        <w:numId w:val="27"/>
      </w:numPr>
    </w:pPr>
  </w:style>
  <w:style w:type="paragraph" w:customStyle="1" w:styleId="ExhibitD1">
    <w:name w:val="ExhibitD1"/>
    <w:basedOn w:val="BodyText"/>
    <w:rsid w:val="00BE00A6"/>
    <w:pPr>
      <w:numPr>
        <w:numId w:val="21"/>
      </w:numPr>
      <w:tabs>
        <w:tab w:val="clear" w:pos="360"/>
      </w:tabs>
      <w:spacing w:line="240" w:lineRule="auto"/>
    </w:pPr>
    <w:rPr>
      <w:szCs w:val="20"/>
      <w:u w:val="single"/>
    </w:rPr>
  </w:style>
  <w:style w:type="paragraph" w:customStyle="1" w:styleId="ExhibitD2">
    <w:name w:val="ExhibitD2"/>
    <w:basedOn w:val="Style3"/>
    <w:rsid w:val="00BE00A6"/>
    <w:pPr>
      <w:numPr>
        <w:ilvl w:val="1"/>
        <w:numId w:val="22"/>
      </w:numPr>
    </w:pPr>
  </w:style>
  <w:style w:type="paragraph" w:customStyle="1" w:styleId="ExhibitD3">
    <w:name w:val="ExhibitD3"/>
    <w:basedOn w:val="Style3"/>
    <w:rsid w:val="00BE00A6"/>
    <w:pPr>
      <w:numPr>
        <w:ilvl w:val="2"/>
        <w:numId w:val="22"/>
      </w:numPr>
    </w:pPr>
  </w:style>
  <w:style w:type="paragraph" w:styleId="PlainText">
    <w:name w:val="Plain Text"/>
    <w:basedOn w:val="Normal"/>
    <w:rsid w:val="00BE00A6"/>
    <w:pPr>
      <w:ind w:left="720" w:hanging="720"/>
    </w:pPr>
    <w:rPr>
      <w:rFonts w:ascii="Arial" w:hAnsi="Arial"/>
      <w:szCs w:val="20"/>
    </w:rPr>
  </w:style>
  <w:style w:type="paragraph" w:styleId="NormalWeb">
    <w:name w:val="Normal (Web)"/>
    <w:basedOn w:val="Normal"/>
    <w:rsid w:val="00BE00A6"/>
    <w:pPr>
      <w:spacing w:before="100" w:beforeAutospacing="1" w:after="100" w:afterAutospacing="1"/>
    </w:pPr>
  </w:style>
  <w:style w:type="paragraph" w:customStyle="1" w:styleId="2bullelt">
    <w:name w:val=".2 bullelt"/>
    <w:basedOn w:val="Normal"/>
    <w:autoRedefine/>
    <w:rsid w:val="00BE00A6"/>
    <w:pPr>
      <w:spacing w:before="120" w:after="120"/>
      <w:ind w:left="145"/>
    </w:pPr>
    <w:rPr>
      <w:sz w:val="22"/>
      <w:szCs w:val="22"/>
    </w:rPr>
  </w:style>
  <w:style w:type="paragraph" w:customStyle="1" w:styleId="zzSansSerif">
    <w:name w:val="zz Sans Serif"/>
    <w:rsid w:val="00BE00A6"/>
    <w:rPr>
      <w:rFonts w:ascii="Arial" w:eastAsia="Times New Roman" w:hAnsi="Arial"/>
      <w:sz w:val="24"/>
    </w:rPr>
  </w:style>
  <w:style w:type="paragraph" w:customStyle="1" w:styleId="ExhibitC4">
    <w:name w:val="ExhibitC4"/>
    <w:basedOn w:val="ExhibitC3"/>
    <w:rsid w:val="00BE00A6"/>
    <w:pPr>
      <w:keepNext w:val="0"/>
      <w:numPr>
        <w:ilvl w:val="3"/>
      </w:numPr>
      <w:tabs>
        <w:tab w:val="clear" w:pos="2592"/>
        <w:tab w:val="num" w:pos="5760"/>
      </w:tabs>
    </w:pPr>
  </w:style>
  <w:style w:type="paragraph" w:customStyle="1" w:styleId="ExhibitG1">
    <w:name w:val="ExhibitG1"/>
    <w:basedOn w:val="ExhibitA1"/>
    <w:rsid w:val="00BE00A6"/>
    <w:pPr>
      <w:numPr>
        <w:numId w:val="25"/>
      </w:numPr>
    </w:pPr>
    <w:rPr>
      <w:szCs w:val="20"/>
    </w:rPr>
  </w:style>
  <w:style w:type="paragraph" w:customStyle="1" w:styleId="ExhibitG2">
    <w:name w:val="ExhibitG2"/>
    <w:basedOn w:val="ExhibitD2"/>
    <w:rsid w:val="00BE00A6"/>
    <w:pPr>
      <w:numPr>
        <w:numId w:val="25"/>
      </w:numPr>
      <w:tabs>
        <w:tab w:val="clear" w:pos="2016"/>
        <w:tab w:val="clear" w:pos="2592"/>
        <w:tab w:val="clear" w:pos="4176"/>
        <w:tab w:val="clear" w:pos="10710"/>
        <w:tab w:val="left" w:pos="72"/>
      </w:tabs>
      <w:ind w:right="720"/>
    </w:pPr>
  </w:style>
  <w:style w:type="paragraph" w:customStyle="1" w:styleId="ExhibitH1">
    <w:name w:val="ExhibitH1"/>
    <w:basedOn w:val="ExhibitA1"/>
    <w:rsid w:val="00BE00A6"/>
    <w:pPr>
      <w:numPr>
        <w:numId w:val="24"/>
      </w:numPr>
    </w:pPr>
    <w:rPr>
      <w:szCs w:val="20"/>
    </w:rPr>
  </w:style>
  <w:style w:type="paragraph" w:customStyle="1" w:styleId="ExhibitH2">
    <w:name w:val="ExhibitH2"/>
    <w:basedOn w:val="ExhibitA2"/>
    <w:rsid w:val="00BE00A6"/>
    <w:pPr>
      <w:keepNext w:val="0"/>
      <w:numPr>
        <w:numId w:val="24"/>
      </w:numPr>
      <w:tabs>
        <w:tab w:val="clear" w:pos="-720"/>
      </w:tabs>
      <w:suppressAutoHyphens w:val="0"/>
      <w:jc w:val="left"/>
      <w:outlineLvl w:val="1"/>
    </w:pPr>
    <w:rPr>
      <w:color w:val="000000"/>
    </w:rPr>
  </w:style>
  <w:style w:type="paragraph" w:customStyle="1" w:styleId="ExhibitH3">
    <w:name w:val="ExhibitH3"/>
    <w:basedOn w:val="ExhibitA3"/>
    <w:rsid w:val="00BE00A6"/>
    <w:pPr>
      <w:numPr>
        <w:numId w:val="24"/>
      </w:numPr>
      <w:tabs>
        <w:tab w:val="clear" w:pos="4176"/>
        <w:tab w:val="left" w:pos="-720"/>
      </w:tabs>
      <w:suppressAutoHyphens/>
    </w:pPr>
  </w:style>
  <w:style w:type="paragraph" w:customStyle="1" w:styleId="ExhibitG3">
    <w:name w:val="ExhibitG3"/>
    <w:basedOn w:val="ExhibitD1"/>
    <w:rsid w:val="00BE00A6"/>
    <w:pPr>
      <w:numPr>
        <w:ilvl w:val="2"/>
        <w:numId w:val="25"/>
      </w:numPr>
    </w:pPr>
    <w:rPr>
      <w:u w:val="none"/>
    </w:rPr>
  </w:style>
  <w:style w:type="paragraph" w:styleId="BalloonText">
    <w:name w:val="Balloon Text"/>
    <w:basedOn w:val="Normal"/>
    <w:semiHidden/>
    <w:rsid w:val="00D854F6"/>
    <w:rPr>
      <w:rFonts w:ascii="Tahoma" w:hAnsi="Tahoma" w:cs="Tahoma"/>
      <w:sz w:val="16"/>
      <w:szCs w:val="16"/>
    </w:rPr>
  </w:style>
  <w:style w:type="paragraph" w:customStyle="1" w:styleId="Hidden">
    <w:name w:val="Hidden"/>
    <w:basedOn w:val="Heading4"/>
    <w:next w:val="Heading4"/>
    <w:rsid w:val="00D75801"/>
    <w:pPr>
      <w:spacing w:before="0" w:after="0"/>
      <w:ind w:left="720"/>
    </w:pPr>
    <w:rPr>
      <w:rFonts w:eastAsia="Times New Roman"/>
      <w:b w:val="0"/>
      <w:bCs w:val="0"/>
      <w:vanish/>
      <w:color w:val="0000FF"/>
      <w:sz w:val="24"/>
      <w:szCs w:val="20"/>
    </w:rPr>
  </w:style>
  <w:style w:type="table" w:styleId="TableGrid">
    <w:name w:val="Table Grid"/>
    <w:basedOn w:val="TableNormal"/>
    <w:rsid w:val="009C1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CArialSubhead">
    <w:name w:val="JCC/Arial Subhead"/>
    <w:rsid w:val="00355F8F"/>
    <w:rPr>
      <w:rFonts w:ascii="Arial Black" w:eastAsia="Times New Roman" w:hAnsi="Arial Black"/>
      <w:sz w:val="17"/>
    </w:rPr>
  </w:style>
  <w:style w:type="paragraph" w:customStyle="1" w:styleId="JCCBodyText">
    <w:name w:val="JCC Body Text"/>
    <w:basedOn w:val="Normal"/>
    <w:rsid w:val="00355F8F"/>
    <w:pPr>
      <w:tabs>
        <w:tab w:val="left" w:pos="360"/>
      </w:tabs>
      <w:spacing w:line="300" w:lineRule="atLeast"/>
    </w:pPr>
    <w:rPr>
      <w:szCs w:val="20"/>
    </w:rPr>
  </w:style>
  <w:style w:type="paragraph" w:customStyle="1" w:styleId="MemoSubhead">
    <w:name w:val="Memo Subhead"/>
    <w:next w:val="MemoHeaderText"/>
    <w:rsid w:val="00355F8F"/>
    <w:pPr>
      <w:ind w:left="-86"/>
    </w:pPr>
    <w:rPr>
      <w:rFonts w:ascii="Arial Black" w:eastAsia="Times New Roman" w:hAnsi="Arial Black"/>
      <w:sz w:val="17"/>
    </w:rPr>
  </w:style>
  <w:style w:type="paragraph" w:customStyle="1" w:styleId="MemoHeaderText">
    <w:name w:val="Memo Header Text"/>
    <w:basedOn w:val="BodyText"/>
    <w:rsid w:val="00355F8F"/>
    <w:pPr>
      <w:ind w:left="-86"/>
    </w:pPr>
    <w:rPr>
      <w:rFonts w:eastAsia="Times"/>
      <w:szCs w:val="20"/>
    </w:rPr>
  </w:style>
  <w:style w:type="character" w:styleId="CommentReference">
    <w:name w:val="annotation reference"/>
    <w:basedOn w:val="DefaultParagraphFont"/>
    <w:semiHidden/>
    <w:rsid w:val="00355F8F"/>
    <w:rPr>
      <w:sz w:val="16"/>
      <w:szCs w:val="16"/>
    </w:rPr>
  </w:style>
  <w:style w:type="character" w:styleId="Strong">
    <w:name w:val="Strong"/>
    <w:basedOn w:val="DefaultParagraphFont"/>
    <w:uiPriority w:val="22"/>
    <w:qFormat/>
    <w:rsid w:val="00E940FB"/>
    <w:rPr>
      <w:b/>
      <w:bCs/>
    </w:rPr>
  </w:style>
  <w:style w:type="paragraph" w:styleId="ListParagraph">
    <w:name w:val="List Paragraph"/>
    <w:basedOn w:val="Normal"/>
    <w:uiPriority w:val="34"/>
    <w:qFormat/>
    <w:rsid w:val="00430841"/>
    <w:pPr>
      <w:ind w:left="720"/>
    </w:pPr>
    <w:rPr>
      <w:rFonts w:ascii="Calibri" w:eastAsia="Calibri" w:hAnsi="Calibri"/>
      <w:sz w:val="22"/>
      <w:szCs w:val="22"/>
    </w:rPr>
  </w:style>
  <w:style w:type="paragraph" w:styleId="CommentSubject">
    <w:name w:val="annotation subject"/>
    <w:basedOn w:val="CommentText"/>
    <w:next w:val="CommentText"/>
    <w:link w:val="CommentSubjectChar"/>
    <w:rsid w:val="003A6131"/>
    <w:rPr>
      <w:b/>
      <w:bCs/>
    </w:rPr>
  </w:style>
  <w:style w:type="character" w:customStyle="1" w:styleId="CommentTextChar">
    <w:name w:val="Comment Text Char"/>
    <w:basedOn w:val="DefaultParagraphFont"/>
    <w:link w:val="CommentText"/>
    <w:semiHidden/>
    <w:rsid w:val="003A6131"/>
    <w:rPr>
      <w:rFonts w:ascii="Times New Roman" w:eastAsia="Times New Roman" w:hAnsi="Times New Roman"/>
    </w:rPr>
  </w:style>
  <w:style w:type="character" w:customStyle="1" w:styleId="CommentSubjectChar">
    <w:name w:val="Comment Subject Char"/>
    <w:basedOn w:val="CommentTextChar"/>
    <w:link w:val="CommentSubject"/>
    <w:rsid w:val="003A6131"/>
  </w:style>
</w:styles>
</file>

<file path=word/webSettings.xml><?xml version="1.0" encoding="utf-8"?>
<w:webSettings xmlns:r="http://schemas.openxmlformats.org/officeDocument/2006/relationships" xmlns:w="http://schemas.openxmlformats.org/wordprocessingml/2006/main">
  <w:divs>
    <w:div w:id="853230885">
      <w:bodyDiv w:val="1"/>
      <w:marLeft w:val="0"/>
      <w:marRight w:val="0"/>
      <w:marTop w:val="0"/>
      <w:marBottom w:val="0"/>
      <w:divBdr>
        <w:top w:val="none" w:sz="0" w:space="0" w:color="auto"/>
        <w:left w:val="none" w:sz="0" w:space="0" w:color="auto"/>
        <w:bottom w:val="none" w:sz="0" w:space="0" w:color="auto"/>
        <w:right w:val="none" w:sz="0" w:space="0" w:color="auto"/>
      </w:divBdr>
    </w:div>
    <w:div w:id="1356728527">
      <w:bodyDiv w:val="1"/>
      <w:marLeft w:val="0"/>
      <w:marRight w:val="0"/>
      <w:marTop w:val="0"/>
      <w:marBottom w:val="0"/>
      <w:divBdr>
        <w:top w:val="none" w:sz="0" w:space="0" w:color="auto"/>
        <w:left w:val="none" w:sz="0" w:space="0" w:color="auto"/>
        <w:bottom w:val="none" w:sz="0" w:space="0" w:color="auto"/>
        <w:right w:val="none" w:sz="0" w:space="0" w:color="auto"/>
      </w:divBdr>
      <w:divsChild>
        <w:div w:id="9797680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s.ca.gov/partners/collecti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12</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RFP# EOP-0307-RB</vt:lpstr>
    </vt:vector>
  </TitlesOfParts>
  <Company>Administrative Office of the Courts</Company>
  <LinksUpToDate>false</LinksUpToDate>
  <CharactersWithSpaces>24070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EOP-0307-RB</dc:title>
  <dc:creator>Administrative Office Of The Courts</dc:creator>
  <cp:lastModifiedBy>Grant</cp:lastModifiedBy>
  <cp:revision>2</cp:revision>
  <cp:lastPrinted>2008-10-17T00:04:00Z</cp:lastPrinted>
  <dcterms:created xsi:type="dcterms:W3CDTF">2013-10-18T22:57:00Z</dcterms:created>
  <dcterms:modified xsi:type="dcterms:W3CDTF">2013-10-18T22:57:00Z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-418955278</vt:i4>
  </property>
  <property fmtid="{D5CDD505-2E9C-101B-9397-08002B2CF9AE}" pid="3" name="_ReviewCycleID">
    <vt:i4>-418955278</vt:i4>
  </property>
  <property fmtid="{D5CDD505-2E9C-101B-9397-08002B2CF9AE}" pid="4" name="_NewReviewCycle">
    <vt:lpwstr/>
  </property>
  <property fmtid="{D5CDD505-2E9C-101B-9397-08002B2CF9AE}" pid="5" name="_EmailEntryID">
    <vt:lpwstr>00000000AAC0BB5A63DD8544A0DAF43F4B0251E20700F50C6964472A2145AB39F42117AD463E0000000ACF840000C9626CFC9DA27C4C957048F4BBDBA0EC0000008D21100000</vt:lpwstr>
  </property>
  <property fmtid="{D5CDD505-2E9C-101B-9397-08002B2CF9AE}" pid="6" name="_ReviewingToolsShownOnce">
    <vt:lpwstr/>
  </property>
</Properties>
</file>