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5F2F0D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5F2F0D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3108F2">
      <w:rPr>
        <w:rFonts w:ascii="Times New Roman" w:hAnsi="Times New Roman"/>
        <w:caps w:val="0"/>
        <w:sz w:val="20"/>
        <w:szCs w:val="20"/>
      </w:rPr>
      <w:t xml:space="preserve"> Juvenile Law Institute 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5F2F0D">
      <w:rPr>
        <w:rFonts w:ascii="Times New Roman" w:hAnsi="Times New Roman"/>
        <w:caps w:val="0"/>
        <w:sz w:val="20"/>
        <w:szCs w:val="20"/>
      </w:rPr>
      <w:t>300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3108F2"/>
    <w:rsid w:val="0033049A"/>
    <w:rsid w:val="005172E6"/>
    <w:rsid w:val="005F2F0D"/>
    <w:rsid w:val="008853AA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AC129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Saddler</dc:creator>
  <cp:lastModifiedBy>Gonzalez, Evelyn</cp:lastModifiedBy>
  <cp:revision>5</cp:revision>
  <cp:lastPrinted>2011-12-05T22:01:00Z</cp:lastPrinted>
  <dcterms:created xsi:type="dcterms:W3CDTF">2016-09-21T17:11:00Z</dcterms:created>
  <dcterms:modified xsi:type="dcterms:W3CDTF">2019-06-19T17:03:00Z</dcterms:modified>
</cp:coreProperties>
</file>