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01E" w:rsidRPr="00333536" w:rsidRDefault="00602515" w:rsidP="00C346DE">
      <w:pPr>
        <w:spacing w:line="276" w:lineRule="auto"/>
        <w:jc w:val="center"/>
        <w:rPr>
          <w:b/>
        </w:rPr>
      </w:pPr>
      <w:r w:rsidRPr="00333536">
        <w:rPr>
          <w:b/>
        </w:rPr>
        <w:t>ATTACHMENT 7</w:t>
      </w:r>
    </w:p>
    <w:p w:rsidR="0030293A" w:rsidRPr="00333536" w:rsidRDefault="00F23A50" w:rsidP="0030293A">
      <w:pPr>
        <w:spacing w:line="276" w:lineRule="auto"/>
        <w:jc w:val="center"/>
        <w:rPr>
          <w:b/>
        </w:rPr>
      </w:pPr>
      <w:r w:rsidRPr="00333536">
        <w:rPr>
          <w:b/>
        </w:rPr>
        <w:t>LANGUAGE ACCESS IN THE CALIFORNIA COURTS</w:t>
      </w:r>
    </w:p>
    <w:p w:rsidR="00660745" w:rsidRPr="00333536" w:rsidRDefault="00B22C1D" w:rsidP="0030293A">
      <w:pPr>
        <w:spacing w:line="276" w:lineRule="auto"/>
        <w:jc w:val="center"/>
        <w:rPr>
          <w:b/>
        </w:rPr>
      </w:pPr>
      <w:r w:rsidRPr="00333536">
        <w:rPr>
          <w:b/>
        </w:rPr>
        <w:t xml:space="preserve">REQUIREMENTS </w:t>
      </w:r>
      <w:r w:rsidR="0030293A" w:rsidRPr="00333536">
        <w:rPr>
          <w:b/>
        </w:rPr>
        <w:t xml:space="preserve">AND SPECIFICATIONS </w:t>
      </w:r>
      <w:r w:rsidRPr="00333536">
        <w:rPr>
          <w:b/>
        </w:rPr>
        <w:t>FORM</w:t>
      </w:r>
    </w:p>
    <w:p w:rsidR="0030293A" w:rsidRPr="00333536" w:rsidRDefault="0030293A" w:rsidP="0030293A">
      <w:pPr>
        <w:spacing w:line="276" w:lineRule="auto"/>
        <w:jc w:val="center"/>
        <w:rPr>
          <w:b/>
        </w:rPr>
      </w:pPr>
    </w:p>
    <w:p w:rsidR="00B22C1D" w:rsidRPr="00333536" w:rsidRDefault="007444FC" w:rsidP="00F82BE9">
      <w:pPr>
        <w:spacing w:after="120"/>
        <w:ind w:left="90" w:right="-180"/>
        <w:jc w:val="both"/>
      </w:pPr>
      <w:r w:rsidRPr="00333536">
        <w:t xml:space="preserve">Please provide </w:t>
      </w:r>
      <w:r w:rsidRPr="00333536">
        <w:rPr>
          <w:b/>
        </w:rPr>
        <w:t>Yes</w:t>
      </w:r>
      <w:r w:rsidRPr="00333536">
        <w:t xml:space="preserve"> or </w:t>
      </w:r>
      <w:r w:rsidRPr="00333536">
        <w:rPr>
          <w:b/>
        </w:rPr>
        <w:t>No</w:t>
      </w:r>
      <w:r w:rsidRPr="00333536">
        <w:t xml:space="preserve"> answers</w:t>
      </w:r>
      <w:r w:rsidR="00914BAF" w:rsidRPr="00333536">
        <w:t>, followed by any related comments,</w:t>
      </w:r>
      <w:r w:rsidRPr="00333536">
        <w:t xml:space="preserve"> to </w:t>
      </w:r>
      <w:r w:rsidR="00422384" w:rsidRPr="00333536">
        <w:t xml:space="preserve">indicate </w:t>
      </w:r>
      <w:r w:rsidR="00C73178" w:rsidRPr="00333536">
        <w:t xml:space="preserve">proposer’s </w:t>
      </w:r>
      <w:r w:rsidR="00422384" w:rsidRPr="00333536">
        <w:t>capabilities of</w:t>
      </w:r>
      <w:r w:rsidRPr="00333536">
        <w:t xml:space="preserve"> meet</w:t>
      </w:r>
      <w:r w:rsidR="00422384" w:rsidRPr="00333536">
        <w:t>ing</w:t>
      </w:r>
      <w:r w:rsidRPr="00333536">
        <w:t xml:space="preserve"> the </w:t>
      </w:r>
      <w:r w:rsidR="009D6370" w:rsidRPr="00333536">
        <w:t>Language Access in the California Courts</w:t>
      </w:r>
      <w:r w:rsidR="00934532" w:rsidRPr="00333536">
        <w:t xml:space="preserve"> requirements</w:t>
      </w:r>
      <w:r w:rsidR="007C05A0" w:rsidRPr="00333536">
        <w:t xml:space="preserve"> </w:t>
      </w:r>
      <w:r w:rsidRPr="00333536">
        <w:t>specifications listed</w:t>
      </w:r>
      <w:r w:rsidR="007C05A0" w:rsidRPr="00333536">
        <w:t xml:space="preserve"> in the table</w:t>
      </w:r>
      <w:r w:rsidRPr="00333536">
        <w:t xml:space="preserve"> below</w:t>
      </w:r>
      <w:r w:rsidR="00D862E3" w:rsidRPr="00333536">
        <w:t xml:space="preserve">. </w:t>
      </w:r>
      <w:r w:rsidR="00F82BE9" w:rsidRPr="00333536">
        <w:t xml:space="preserve"> </w:t>
      </w:r>
      <w:r w:rsidR="00D862E3" w:rsidRPr="00333536">
        <w:t xml:space="preserve">Based on the following definitions, to further assist in the Judicial Council’s evaluation process, please indicate between </w:t>
      </w:r>
      <w:r w:rsidR="00D862E3" w:rsidRPr="00333536">
        <w:rPr>
          <w:b/>
        </w:rPr>
        <w:t>1</w:t>
      </w:r>
      <w:r w:rsidR="00D862E3" w:rsidRPr="00333536">
        <w:t xml:space="preserve"> through </w:t>
      </w:r>
      <w:r w:rsidR="00D862E3" w:rsidRPr="00333536">
        <w:rPr>
          <w:b/>
        </w:rPr>
        <w:t>6</w:t>
      </w:r>
      <w:r w:rsidR="00D862E3" w:rsidRPr="00333536">
        <w:t>, your ability to perf</w:t>
      </w:r>
      <w:r w:rsidR="00F82BE9" w:rsidRPr="00333536">
        <w:t>orm the functional requirement.</w:t>
      </w:r>
    </w:p>
    <w:p w:rsidR="00FC7128" w:rsidRPr="00333536" w:rsidRDefault="00FC7128" w:rsidP="00F82BE9">
      <w:pPr>
        <w:pStyle w:val="ListParagraph"/>
        <w:numPr>
          <w:ilvl w:val="0"/>
          <w:numId w:val="3"/>
        </w:numPr>
        <w:spacing w:after="120"/>
        <w:ind w:right="-180"/>
        <w:jc w:val="both"/>
      </w:pPr>
      <w:r w:rsidRPr="00333536">
        <w:rPr>
          <w:b/>
        </w:rPr>
        <w:t>Supported.</w:t>
      </w:r>
      <w:r w:rsidRPr="00333536">
        <w:t xml:space="preserve"> </w:t>
      </w:r>
      <w:r w:rsidR="00F82BE9" w:rsidRPr="00333536">
        <w:t xml:space="preserve"> </w:t>
      </w:r>
      <w:r w:rsidRPr="00333536">
        <w:t>This feature is currently available “as is” and needs no additional</w:t>
      </w:r>
      <w:r w:rsidR="00F82BE9" w:rsidRPr="00333536">
        <w:t xml:space="preserve"> modification or configuration.</w:t>
      </w:r>
    </w:p>
    <w:p w:rsidR="00FC7128" w:rsidRPr="00333536" w:rsidRDefault="00FC7128" w:rsidP="00F82BE9">
      <w:pPr>
        <w:pStyle w:val="ListParagraph"/>
        <w:numPr>
          <w:ilvl w:val="0"/>
          <w:numId w:val="3"/>
        </w:numPr>
        <w:spacing w:after="120"/>
        <w:ind w:right="-180"/>
        <w:jc w:val="both"/>
      </w:pPr>
      <w:r w:rsidRPr="00333536">
        <w:rPr>
          <w:b/>
        </w:rPr>
        <w:t>Configurable.</w:t>
      </w:r>
      <w:r w:rsidRPr="00333536">
        <w:t xml:space="preserve"> </w:t>
      </w:r>
      <w:r w:rsidR="00F82BE9" w:rsidRPr="00333536">
        <w:t xml:space="preserve"> </w:t>
      </w:r>
      <w:r w:rsidRPr="00333536">
        <w:t>This feature is similar to a currently ava</w:t>
      </w:r>
      <w:bookmarkStart w:id="0" w:name="_GoBack"/>
      <w:bookmarkEnd w:id="0"/>
      <w:r w:rsidRPr="00333536">
        <w:t>ilable feature, but needs minor</w:t>
      </w:r>
      <w:r w:rsidR="00F82BE9" w:rsidRPr="00333536">
        <w:t xml:space="preserve"> modification or configuration.</w:t>
      </w:r>
    </w:p>
    <w:p w:rsidR="00FC7128" w:rsidRPr="00333536" w:rsidRDefault="00FC7128" w:rsidP="00F82BE9">
      <w:pPr>
        <w:pStyle w:val="ListParagraph"/>
        <w:numPr>
          <w:ilvl w:val="0"/>
          <w:numId w:val="3"/>
        </w:numPr>
        <w:spacing w:after="120"/>
        <w:ind w:right="-180"/>
        <w:jc w:val="both"/>
      </w:pPr>
      <w:r w:rsidRPr="00333536">
        <w:rPr>
          <w:b/>
        </w:rPr>
        <w:t>Future.</w:t>
      </w:r>
      <w:r w:rsidRPr="00333536">
        <w:t xml:space="preserve"> </w:t>
      </w:r>
      <w:r w:rsidR="00F82BE9" w:rsidRPr="00333536">
        <w:t xml:space="preserve"> </w:t>
      </w:r>
      <w:r w:rsidRPr="00333536">
        <w:t xml:space="preserve">This feature does not exist now, but is </w:t>
      </w:r>
      <w:r w:rsidR="00F82BE9" w:rsidRPr="00333536">
        <w:t xml:space="preserve">planned for future release with </w:t>
      </w:r>
      <w:r w:rsidRPr="00333536">
        <w:t>(specify timeframe in comments section).</w:t>
      </w:r>
    </w:p>
    <w:p w:rsidR="00FC7128" w:rsidRPr="00333536" w:rsidRDefault="00FC7128" w:rsidP="00F82BE9">
      <w:pPr>
        <w:pStyle w:val="ListParagraph"/>
        <w:numPr>
          <w:ilvl w:val="0"/>
          <w:numId w:val="3"/>
        </w:numPr>
        <w:spacing w:after="120"/>
        <w:ind w:right="-180"/>
        <w:jc w:val="both"/>
      </w:pPr>
      <w:r w:rsidRPr="00333536">
        <w:rPr>
          <w:b/>
        </w:rPr>
        <w:t>Third Party.</w:t>
      </w:r>
      <w:r w:rsidRPr="00333536">
        <w:t xml:space="preserve"> </w:t>
      </w:r>
      <w:r w:rsidR="00F82BE9" w:rsidRPr="00333536">
        <w:t xml:space="preserve"> </w:t>
      </w:r>
      <w:r w:rsidRPr="00333536">
        <w:t>This feature is provided through a thir</w:t>
      </w:r>
      <w:r w:rsidR="00F82BE9" w:rsidRPr="00333536">
        <w:t>d party and cannot be modified.</w:t>
      </w:r>
    </w:p>
    <w:p w:rsidR="00FC7128" w:rsidRPr="00333536" w:rsidRDefault="00FC7128" w:rsidP="00F82BE9">
      <w:pPr>
        <w:pStyle w:val="ListParagraph"/>
        <w:numPr>
          <w:ilvl w:val="0"/>
          <w:numId w:val="3"/>
        </w:numPr>
        <w:spacing w:after="120"/>
        <w:ind w:right="-180"/>
        <w:jc w:val="both"/>
      </w:pPr>
      <w:r w:rsidRPr="00333536">
        <w:rPr>
          <w:b/>
        </w:rPr>
        <w:t>Custom.</w:t>
      </w:r>
      <w:r w:rsidRPr="00333536">
        <w:t xml:space="preserve"> </w:t>
      </w:r>
      <w:r w:rsidR="00F82BE9" w:rsidRPr="00333536">
        <w:t xml:space="preserve"> </w:t>
      </w:r>
      <w:r w:rsidRPr="00333536">
        <w:t>This feature does not exist, nor is it planned for future release, but wi</w:t>
      </w:r>
      <w:r w:rsidR="00F82BE9" w:rsidRPr="00333536">
        <w:t>ll develop a customized module.</w:t>
      </w:r>
    </w:p>
    <w:p w:rsidR="00FC7128" w:rsidRPr="00333536" w:rsidRDefault="00826481" w:rsidP="00F82BE9">
      <w:pPr>
        <w:pStyle w:val="ListParagraph"/>
        <w:numPr>
          <w:ilvl w:val="0"/>
          <w:numId w:val="3"/>
        </w:numPr>
        <w:spacing w:after="120"/>
        <w:ind w:right="-180"/>
        <w:jc w:val="both"/>
      </w:pPr>
      <w:r w:rsidRPr="00333536">
        <w:rPr>
          <w:b/>
        </w:rPr>
        <w:t>Sub-Contractor</w:t>
      </w:r>
      <w:r w:rsidR="00FC7128" w:rsidRPr="00333536">
        <w:rPr>
          <w:b/>
        </w:rPr>
        <w:t>.</w:t>
      </w:r>
      <w:r w:rsidR="00FC7128" w:rsidRPr="00333536">
        <w:t xml:space="preserve"> </w:t>
      </w:r>
      <w:r w:rsidR="00F82BE9" w:rsidRPr="00333536">
        <w:t xml:space="preserve"> </w:t>
      </w:r>
      <w:r w:rsidR="002D7E9A" w:rsidRPr="00333536">
        <w:t>Requires the Consultant to employ a sub-contractor.</w:t>
      </w:r>
    </w:p>
    <w:tbl>
      <w:tblPr>
        <w:tblStyle w:val="TableGrid"/>
        <w:tblW w:w="4957" w:type="pct"/>
        <w:tblInd w:w="119" w:type="dxa"/>
        <w:tblLayout w:type="fixed"/>
        <w:tblCellMar>
          <w:left w:w="29" w:type="dxa"/>
          <w:right w:w="29" w:type="dxa"/>
        </w:tblCellMar>
        <w:tblLook w:val="04A0" w:firstRow="1" w:lastRow="0" w:firstColumn="1" w:lastColumn="0" w:noHBand="0" w:noVBand="1"/>
      </w:tblPr>
      <w:tblGrid>
        <w:gridCol w:w="627"/>
        <w:gridCol w:w="5017"/>
        <w:gridCol w:w="447"/>
        <w:gridCol w:w="447"/>
        <w:gridCol w:w="360"/>
        <w:gridCol w:w="360"/>
        <w:gridCol w:w="358"/>
        <w:gridCol w:w="358"/>
        <w:gridCol w:w="358"/>
        <w:gridCol w:w="358"/>
        <w:gridCol w:w="4862"/>
      </w:tblGrid>
      <w:tr w:rsidR="00333536" w:rsidRPr="00333536" w:rsidTr="00E01955">
        <w:trPr>
          <w:cantSplit/>
          <w:trHeight w:val="1592"/>
          <w:tblHeader/>
        </w:trPr>
        <w:tc>
          <w:tcPr>
            <w:tcW w:w="231" w:type="pct"/>
            <w:vMerge w:val="restart"/>
            <w:shd w:val="clear" w:color="auto" w:fill="D9D9D9" w:themeFill="background1" w:themeFillShade="D9"/>
            <w:vAlign w:val="center"/>
          </w:tcPr>
          <w:p w:rsidR="00826481" w:rsidRPr="00333536" w:rsidRDefault="00826481" w:rsidP="0039209A">
            <w:pPr>
              <w:jc w:val="center"/>
              <w:rPr>
                <w:b/>
                <w:sz w:val="20"/>
                <w:szCs w:val="20"/>
              </w:rPr>
            </w:pPr>
            <w:r w:rsidRPr="00333536">
              <w:rPr>
                <w:b/>
                <w:sz w:val="20"/>
                <w:szCs w:val="20"/>
              </w:rPr>
              <w:t>No.</w:t>
            </w:r>
          </w:p>
        </w:tc>
        <w:tc>
          <w:tcPr>
            <w:tcW w:w="1851" w:type="pct"/>
            <w:vMerge w:val="restart"/>
            <w:shd w:val="clear" w:color="auto" w:fill="D9D9D9" w:themeFill="background1" w:themeFillShade="D9"/>
            <w:vAlign w:val="center"/>
          </w:tcPr>
          <w:p w:rsidR="00826481" w:rsidRPr="00333536" w:rsidRDefault="00826481" w:rsidP="000F211D">
            <w:pPr>
              <w:jc w:val="center"/>
              <w:rPr>
                <w:b/>
                <w:sz w:val="20"/>
                <w:szCs w:val="20"/>
              </w:rPr>
            </w:pPr>
            <w:r w:rsidRPr="00333536">
              <w:rPr>
                <w:b/>
                <w:sz w:val="20"/>
                <w:szCs w:val="20"/>
              </w:rPr>
              <w:t>Functional Requirements</w:t>
            </w:r>
          </w:p>
        </w:tc>
        <w:tc>
          <w:tcPr>
            <w:tcW w:w="330" w:type="pct"/>
            <w:gridSpan w:val="2"/>
            <w:shd w:val="clear" w:color="auto" w:fill="D9D9D9" w:themeFill="background1" w:themeFillShade="D9"/>
            <w:vAlign w:val="center"/>
          </w:tcPr>
          <w:p w:rsidR="00826481" w:rsidRPr="00333536" w:rsidRDefault="00826481" w:rsidP="0039209A">
            <w:pPr>
              <w:jc w:val="center"/>
              <w:rPr>
                <w:b/>
                <w:sz w:val="20"/>
                <w:szCs w:val="20"/>
              </w:rPr>
            </w:pPr>
            <w:r w:rsidRPr="00333536">
              <w:rPr>
                <w:b/>
                <w:sz w:val="20"/>
                <w:szCs w:val="20"/>
              </w:rPr>
              <w:t>Select One</w:t>
            </w:r>
          </w:p>
        </w:tc>
        <w:tc>
          <w:tcPr>
            <w:tcW w:w="133" w:type="pct"/>
            <w:shd w:val="clear" w:color="auto" w:fill="D9D9D9" w:themeFill="background1" w:themeFillShade="D9"/>
            <w:textDirection w:val="btLr"/>
            <w:vAlign w:val="center"/>
          </w:tcPr>
          <w:p w:rsidR="00826481" w:rsidRPr="00333536" w:rsidRDefault="00826481" w:rsidP="00FB0528">
            <w:pPr>
              <w:ind w:left="113" w:right="113"/>
              <w:jc w:val="right"/>
              <w:rPr>
                <w:b/>
                <w:sz w:val="20"/>
                <w:szCs w:val="20"/>
              </w:rPr>
            </w:pPr>
            <w:r w:rsidRPr="00333536">
              <w:rPr>
                <w:b/>
                <w:sz w:val="20"/>
                <w:szCs w:val="20"/>
              </w:rPr>
              <w:t>Supported</w:t>
            </w:r>
          </w:p>
        </w:tc>
        <w:tc>
          <w:tcPr>
            <w:tcW w:w="133" w:type="pct"/>
            <w:shd w:val="clear" w:color="auto" w:fill="D9D9D9" w:themeFill="background1" w:themeFillShade="D9"/>
            <w:textDirection w:val="btLr"/>
            <w:vAlign w:val="center"/>
          </w:tcPr>
          <w:p w:rsidR="00826481" w:rsidRPr="00333536" w:rsidRDefault="00826481" w:rsidP="00FB0528">
            <w:pPr>
              <w:ind w:left="113" w:right="113"/>
              <w:jc w:val="right"/>
              <w:rPr>
                <w:b/>
                <w:sz w:val="20"/>
                <w:szCs w:val="20"/>
              </w:rPr>
            </w:pPr>
            <w:r w:rsidRPr="00333536">
              <w:rPr>
                <w:b/>
                <w:sz w:val="20"/>
                <w:szCs w:val="20"/>
              </w:rPr>
              <w:t>Configurable</w:t>
            </w:r>
          </w:p>
        </w:tc>
        <w:tc>
          <w:tcPr>
            <w:tcW w:w="132" w:type="pct"/>
            <w:shd w:val="clear" w:color="auto" w:fill="D9D9D9" w:themeFill="background1" w:themeFillShade="D9"/>
            <w:textDirection w:val="btLr"/>
            <w:vAlign w:val="center"/>
          </w:tcPr>
          <w:p w:rsidR="00826481" w:rsidRPr="00333536" w:rsidRDefault="00826481" w:rsidP="00FB0528">
            <w:pPr>
              <w:ind w:left="113" w:right="113"/>
              <w:jc w:val="right"/>
              <w:rPr>
                <w:b/>
                <w:sz w:val="20"/>
                <w:szCs w:val="20"/>
              </w:rPr>
            </w:pPr>
            <w:r w:rsidRPr="00333536">
              <w:rPr>
                <w:b/>
                <w:sz w:val="20"/>
                <w:szCs w:val="20"/>
              </w:rPr>
              <w:t>Future</w:t>
            </w:r>
          </w:p>
        </w:tc>
        <w:tc>
          <w:tcPr>
            <w:tcW w:w="132" w:type="pct"/>
            <w:shd w:val="clear" w:color="auto" w:fill="D9D9D9" w:themeFill="background1" w:themeFillShade="D9"/>
            <w:textDirection w:val="btLr"/>
            <w:vAlign w:val="center"/>
          </w:tcPr>
          <w:p w:rsidR="00826481" w:rsidRPr="00333536" w:rsidRDefault="00826481" w:rsidP="00FB0528">
            <w:pPr>
              <w:ind w:left="113" w:right="113"/>
              <w:jc w:val="right"/>
              <w:rPr>
                <w:b/>
                <w:sz w:val="20"/>
                <w:szCs w:val="20"/>
              </w:rPr>
            </w:pPr>
            <w:r w:rsidRPr="00333536">
              <w:rPr>
                <w:b/>
                <w:sz w:val="20"/>
                <w:szCs w:val="20"/>
              </w:rPr>
              <w:t>Third Party</w:t>
            </w:r>
          </w:p>
        </w:tc>
        <w:tc>
          <w:tcPr>
            <w:tcW w:w="132" w:type="pct"/>
            <w:shd w:val="clear" w:color="auto" w:fill="D9D9D9" w:themeFill="background1" w:themeFillShade="D9"/>
            <w:textDirection w:val="btLr"/>
            <w:vAlign w:val="center"/>
          </w:tcPr>
          <w:p w:rsidR="00826481" w:rsidRPr="00333536" w:rsidRDefault="00826481" w:rsidP="002F555A">
            <w:pPr>
              <w:spacing w:before="120"/>
              <w:ind w:left="115" w:right="115"/>
              <w:jc w:val="right"/>
              <w:rPr>
                <w:b/>
                <w:sz w:val="20"/>
                <w:szCs w:val="20"/>
              </w:rPr>
            </w:pPr>
            <w:r w:rsidRPr="00333536">
              <w:rPr>
                <w:b/>
                <w:sz w:val="20"/>
                <w:szCs w:val="20"/>
              </w:rPr>
              <w:t>Custom</w:t>
            </w:r>
          </w:p>
        </w:tc>
        <w:tc>
          <w:tcPr>
            <w:tcW w:w="132" w:type="pct"/>
            <w:shd w:val="clear" w:color="auto" w:fill="D9D9D9" w:themeFill="background1" w:themeFillShade="D9"/>
            <w:textDirection w:val="btLr"/>
            <w:vAlign w:val="center"/>
          </w:tcPr>
          <w:p w:rsidR="00826481" w:rsidRPr="00333536" w:rsidRDefault="00826481" w:rsidP="002F555A">
            <w:pPr>
              <w:spacing w:before="120"/>
              <w:ind w:left="115" w:right="115"/>
              <w:jc w:val="right"/>
              <w:rPr>
                <w:b/>
                <w:sz w:val="20"/>
                <w:szCs w:val="20"/>
              </w:rPr>
            </w:pPr>
            <w:r w:rsidRPr="00333536">
              <w:rPr>
                <w:b/>
                <w:sz w:val="20"/>
                <w:szCs w:val="20"/>
              </w:rPr>
              <w:t>Sub-Contractor</w:t>
            </w:r>
          </w:p>
        </w:tc>
        <w:tc>
          <w:tcPr>
            <w:tcW w:w="1794" w:type="pct"/>
            <w:shd w:val="clear" w:color="auto" w:fill="D9D9D9" w:themeFill="background1" w:themeFillShade="D9"/>
            <w:vAlign w:val="center"/>
          </w:tcPr>
          <w:p w:rsidR="00826481" w:rsidRPr="00333536" w:rsidRDefault="00826481" w:rsidP="004D454D">
            <w:pPr>
              <w:jc w:val="center"/>
              <w:rPr>
                <w:b/>
                <w:sz w:val="20"/>
                <w:szCs w:val="20"/>
              </w:rPr>
            </w:pPr>
            <w:r w:rsidRPr="00333536">
              <w:rPr>
                <w:b/>
                <w:sz w:val="20"/>
                <w:szCs w:val="20"/>
              </w:rPr>
              <w:t>Comments</w:t>
            </w:r>
          </w:p>
          <w:p w:rsidR="00826481" w:rsidRPr="00333536" w:rsidRDefault="00826481" w:rsidP="004D454D">
            <w:pPr>
              <w:jc w:val="center"/>
              <w:rPr>
                <w:b/>
                <w:sz w:val="20"/>
                <w:szCs w:val="20"/>
              </w:rPr>
            </w:pPr>
            <w:r w:rsidRPr="00333536">
              <w:rPr>
                <w:sz w:val="20"/>
                <w:szCs w:val="20"/>
              </w:rPr>
              <w:t>(cells expand with text)</w:t>
            </w:r>
          </w:p>
        </w:tc>
      </w:tr>
      <w:tr w:rsidR="00333536" w:rsidRPr="00333536" w:rsidTr="00E01955">
        <w:trPr>
          <w:cantSplit/>
          <w:trHeight w:val="377"/>
          <w:tblHeader/>
        </w:trPr>
        <w:tc>
          <w:tcPr>
            <w:tcW w:w="231" w:type="pct"/>
            <w:vMerge/>
            <w:shd w:val="clear" w:color="auto" w:fill="D9D9D9" w:themeFill="background1" w:themeFillShade="D9"/>
            <w:vAlign w:val="center"/>
          </w:tcPr>
          <w:p w:rsidR="00826481" w:rsidRPr="00333536" w:rsidRDefault="00826481" w:rsidP="0039209A">
            <w:pPr>
              <w:jc w:val="center"/>
              <w:rPr>
                <w:b/>
                <w:sz w:val="20"/>
                <w:szCs w:val="20"/>
              </w:rPr>
            </w:pPr>
          </w:p>
        </w:tc>
        <w:tc>
          <w:tcPr>
            <w:tcW w:w="1851" w:type="pct"/>
            <w:vMerge/>
            <w:shd w:val="clear" w:color="auto" w:fill="D9D9D9" w:themeFill="background1" w:themeFillShade="D9"/>
            <w:vAlign w:val="center"/>
          </w:tcPr>
          <w:p w:rsidR="00826481" w:rsidRPr="00333536" w:rsidRDefault="00826481" w:rsidP="0039209A">
            <w:pPr>
              <w:rPr>
                <w:b/>
                <w:sz w:val="20"/>
                <w:szCs w:val="20"/>
              </w:rPr>
            </w:pPr>
          </w:p>
        </w:tc>
        <w:tc>
          <w:tcPr>
            <w:tcW w:w="165" w:type="pct"/>
            <w:shd w:val="clear" w:color="auto" w:fill="D9D9D9" w:themeFill="background1" w:themeFillShade="D9"/>
            <w:vAlign w:val="center"/>
          </w:tcPr>
          <w:p w:rsidR="00826481" w:rsidRPr="00333536" w:rsidRDefault="00826481" w:rsidP="0039209A">
            <w:pPr>
              <w:jc w:val="center"/>
              <w:rPr>
                <w:b/>
                <w:sz w:val="20"/>
                <w:szCs w:val="20"/>
              </w:rPr>
            </w:pPr>
            <w:r w:rsidRPr="00333536">
              <w:rPr>
                <w:b/>
                <w:sz w:val="20"/>
                <w:szCs w:val="20"/>
              </w:rPr>
              <w:t>Yes</w:t>
            </w:r>
          </w:p>
        </w:tc>
        <w:tc>
          <w:tcPr>
            <w:tcW w:w="165" w:type="pct"/>
            <w:shd w:val="clear" w:color="auto" w:fill="D9D9D9" w:themeFill="background1" w:themeFillShade="D9"/>
            <w:vAlign w:val="center"/>
          </w:tcPr>
          <w:p w:rsidR="00826481" w:rsidRPr="00333536" w:rsidRDefault="00826481" w:rsidP="00035EAA">
            <w:pPr>
              <w:jc w:val="center"/>
              <w:rPr>
                <w:b/>
                <w:sz w:val="20"/>
                <w:szCs w:val="20"/>
              </w:rPr>
            </w:pPr>
            <w:r w:rsidRPr="00333536">
              <w:rPr>
                <w:b/>
                <w:sz w:val="20"/>
                <w:szCs w:val="20"/>
              </w:rPr>
              <w:t>No</w:t>
            </w:r>
          </w:p>
        </w:tc>
        <w:tc>
          <w:tcPr>
            <w:tcW w:w="133" w:type="pct"/>
            <w:shd w:val="clear" w:color="auto" w:fill="D9D9D9" w:themeFill="background1" w:themeFillShade="D9"/>
            <w:vAlign w:val="center"/>
          </w:tcPr>
          <w:p w:rsidR="00826481" w:rsidRPr="00333536" w:rsidRDefault="00826481" w:rsidP="00826481">
            <w:pPr>
              <w:jc w:val="center"/>
              <w:rPr>
                <w:b/>
                <w:sz w:val="20"/>
                <w:szCs w:val="20"/>
              </w:rPr>
            </w:pPr>
            <w:r w:rsidRPr="00333536">
              <w:rPr>
                <w:b/>
                <w:sz w:val="20"/>
                <w:szCs w:val="20"/>
              </w:rPr>
              <w:t>1</w:t>
            </w:r>
          </w:p>
        </w:tc>
        <w:tc>
          <w:tcPr>
            <w:tcW w:w="133" w:type="pct"/>
            <w:shd w:val="clear" w:color="auto" w:fill="D9D9D9" w:themeFill="background1" w:themeFillShade="D9"/>
            <w:vAlign w:val="center"/>
          </w:tcPr>
          <w:p w:rsidR="00826481" w:rsidRPr="00333536" w:rsidRDefault="00826481" w:rsidP="00826481">
            <w:pPr>
              <w:jc w:val="center"/>
              <w:rPr>
                <w:b/>
                <w:sz w:val="20"/>
                <w:szCs w:val="20"/>
              </w:rPr>
            </w:pPr>
            <w:r w:rsidRPr="00333536">
              <w:rPr>
                <w:b/>
                <w:sz w:val="20"/>
                <w:szCs w:val="20"/>
              </w:rPr>
              <w:t>2</w:t>
            </w:r>
          </w:p>
        </w:tc>
        <w:tc>
          <w:tcPr>
            <w:tcW w:w="132" w:type="pct"/>
            <w:shd w:val="clear" w:color="auto" w:fill="D9D9D9" w:themeFill="background1" w:themeFillShade="D9"/>
            <w:vAlign w:val="center"/>
          </w:tcPr>
          <w:p w:rsidR="00826481" w:rsidRPr="00333536" w:rsidRDefault="00826481" w:rsidP="00826481">
            <w:pPr>
              <w:jc w:val="center"/>
              <w:rPr>
                <w:b/>
                <w:sz w:val="20"/>
                <w:szCs w:val="20"/>
              </w:rPr>
            </w:pPr>
            <w:r w:rsidRPr="00333536">
              <w:rPr>
                <w:b/>
                <w:sz w:val="20"/>
                <w:szCs w:val="20"/>
              </w:rPr>
              <w:t>3</w:t>
            </w:r>
          </w:p>
        </w:tc>
        <w:tc>
          <w:tcPr>
            <w:tcW w:w="132" w:type="pct"/>
            <w:shd w:val="clear" w:color="auto" w:fill="D9D9D9" w:themeFill="background1" w:themeFillShade="D9"/>
            <w:vAlign w:val="center"/>
          </w:tcPr>
          <w:p w:rsidR="00826481" w:rsidRPr="00333536" w:rsidRDefault="00826481" w:rsidP="00826481">
            <w:pPr>
              <w:jc w:val="center"/>
              <w:rPr>
                <w:b/>
                <w:sz w:val="20"/>
                <w:szCs w:val="20"/>
              </w:rPr>
            </w:pPr>
            <w:r w:rsidRPr="00333536">
              <w:rPr>
                <w:b/>
                <w:sz w:val="20"/>
                <w:szCs w:val="20"/>
              </w:rPr>
              <w:t>4</w:t>
            </w:r>
          </w:p>
        </w:tc>
        <w:tc>
          <w:tcPr>
            <w:tcW w:w="132" w:type="pct"/>
            <w:shd w:val="clear" w:color="auto" w:fill="D9D9D9" w:themeFill="background1" w:themeFillShade="D9"/>
            <w:vAlign w:val="center"/>
          </w:tcPr>
          <w:p w:rsidR="00826481" w:rsidRPr="00333536" w:rsidRDefault="00826481" w:rsidP="00826481">
            <w:pPr>
              <w:jc w:val="center"/>
              <w:rPr>
                <w:b/>
                <w:sz w:val="20"/>
                <w:szCs w:val="20"/>
              </w:rPr>
            </w:pPr>
            <w:r w:rsidRPr="00333536">
              <w:rPr>
                <w:b/>
                <w:sz w:val="20"/>
                <w:szCs w:val="20"/>
              </w:rPr>
              <w:t>5</w:t>
            </w:r>
          </w:p>
        </w:tc>
        <w:tc>
          <w:tcPr>
            <w:tcW w:w="132" w:type="pct"/>
            <w:shd w:val="clear" w:color="auto" w:fill="D9D9D9" w:themeFill="background1" w:themeFillShade="D9"/>
            <w:vAlign w:val="center"/>
          </w:tcPr>
          <w:p w:rsidR="00826481" w:rsidRPr="00333536" w:rsidRDefault="00826481" w:rsidP="00826481">
            <w:pPr>
              <w:jc w:val="center"/>
              <w:rPr>
                <w:b/>
                <w:sz w:val="20"/>
                <w:szCs w:val="20"/>
              </w:rPr>
            </w:pPr>
            <w:r w:rsidRPr="00333536">
              <w:rPr>
                <w:b/>
                <w:sz w:val="20"/>
                <w:szCs w:val="20"/>
              </w:rPr>
              <w:t>6</w:t>
            </w:r>
          </w:p>
        </w:tc>
        <w:tc>
          <w:tcPr>
            <w:tcW w:w="1794" w:type="pct"/>
            <w:shd w:val="clear" w:color="auto" w:fill="D9D9D9" w:themeFill="background1" w:themeFillShade="D9"/>
            <w:vAlign w:val="center"/>
          </w:tcPr>
          <w:p w:rsidR="00826481" w:rsidRPr="00333536" w:rsidRDefault="00826481" w:rsidP="001C17BA">
            <w:pPr>
              <w:rPr>
                <w:b/>
                <w:sz w:val="20"/>
                <w:szCs w:val="20"/>
              </w:rPr>
            </w:pPr>
          </w:p>
        </w:tc>
      </w:tr>
      <w:tr w:rsidR="00333536" w:rsidRPr="00333536" w:rsidTr="00826481">
        <w:trPr>
          <w:cantSplit/>
          <w:trHeight w:val="332"/>
        </w:trPr>
        <w:tc>
          <w:tcPr>
            <w:tcW w:w="5000" w:type="pct"/>
            <w:gridSpan w:val="11"/>
          </w:tcPr>
          <w:p w:rsidR="00826481" w:rsidRPr="00333536" w:rsidRDefault="00826481" w:rsidP="002E6E5B">
            <w:pPr>
              <w:spacing w:before="60" w:after="60"/>
              <w:rPr>
                <w:b/>
                <w:sz w:val="20"/>
                <w:szCs w:val="20"/>
              </w:rPr>
            </w:pPr>
            <w:r w:rsidRPr="00333536">
              <w:rPr>
                <w:b/>
                <w:sz w:val="20"/>
                <w:szCs w:val="20"/>
              </w:rPr>
              <w:t>PROPOSER</w:t>
            </w:r>
            <w:r w:rsidR="002F555A" w:rsidRPr="00333536">
              <w:rPr>
                <w:b/>
                <w:sz w:val="20"/>
                <w:szCs w:val="20"/>
              </w:rPr>
              <w:t>’</w:t>
            </w:r>
            <w:r w:rsidRPr="00333536">
              <w:rPr>
                <w:b/>
                <w:sz w:val="20"/>
                <w:szCs w:val="20"/>
              </w:rPr>
              <w:t>S EXPERTISE</w:t>
            </w:r>
          </w:p>
        </w:tc>
      </w:tr>
      <w:tr w:rsidR="00333536" w:rsidRPr="00333536" w:rsidTr="00E01955">
        <w:trPr>
          <w:cantSplit/>
          <w:trHeight w:val="440"/>
        </w:trPr>
        <w:tc>
          <w:tcPr>
            <w:tcW w:w="231" w:type="pct"/>
          </w:tcPr>
          <w:p w:rsidR="00F6050C" w:rsidRPr="00333536" w:rsidRDefault="00F6050C" w:rsidP="00B66F1C">
            <w:pPr>
              <w:spacing w:before="20" w:after="20"/>
              <w:jc w:val="center"/>
              <w:rPr>
                <w:sz w:val="20"/>
                <w:szCs w:val="20"/>
              </w:rPr>
            </w:pPr>
            <w:r w:rsidRPr="00333536">
              <w:rPr>
                <w:sz w:val="20"/>
                <w:szCs w:val="20"/>
              </w:rPr>
              <w:t>2.2.1</w:t>
            </w:r>
          </w:p>
        </w:tc>
        <w:tc>
          <w:tcPr>
            <w:tcW w:w="1851" w:type="pct"/>
          </w:tcPr>
          <w:p w:rsidR="00F6050C" w:rsidRPr="00333536" w:rsidRDefault="00F6050C" w:rsidP="002F555A">
            <w:pPr>
              <w:spacing w:before="20" w:after="20"/>
              <w:jc w:val="both"/>
              <w:rPr>
                <w:sz w:val="20"/>
                <w:szCs w:val="20"/>
              </w:rPr>
            </w:pPr>
            <w:r w:rsidRPr="00333536">
              <w:rPr>
                <w:sz w:val="20"/>
                <w:szCs w:val="20"/>
              </w:rPr>
              <w:t>Principles and practices of language access, including but not limited to interpretation</w:t>
            </w:r>
            <w:r w:rsidR="00E92334" w:rsidRPr="00333536">
              <w:rPr>
                <w:sz w:val="20"/>
                <w:szCs w:val="20"/>
              </w:rPr>
              <w:t>,</w:t>
            </w:r>
            <w:r w:rsidR="00111E75" w:rsidRPr="00333536">
              <w:rPr>
                <w:sz w:val="20"/>
                <w:szCs w:val="20"/>
              </w:rPr>
              <w:t xml:space="preserve"> </w:t>
            </w:r>
            <w:r w:rsidRPr="00333536">
              <w:rPr>
                <w:sz w:val="20"/>
                <w:szCs w:val="20"/>
              </w:rPr>
              <w:t>translation</w:t>
            </w:r>
            <w:r w:rsidR="00E92334" w:rsidRPr="00333536">
              <w:rPr>
                <w:sz w:val="20"/>
                <w:szCs w:val="20"/>
              </w:rPr>
              <w:t xml:space="preserve"> and other language access services</w:t>
            </w:r>
            <w:r w:rsidRPr="00333536">
              <w:rPr>
                <w:sz w:val="20"/>
                <w:szCs w:val="20"/>
              </w:rPr>
              <w:t>.</w:t>
            </w:r>
          </w:p>
        </w:tc>
        <w:tc>
          <w:tcPr>
            <w:tcW w:w="165" w:type="pct"/>
            <w:vAlign w:val="center"/>
          </w:tcPr>
          <w:p w:rsidR="00F6050C" w:rsidRPr="00333536" w:rsidRDefault="00D9055C" w:rsidP="00F23A50">
            <w:pPr>
              <w:jc w:val="center"/>
              <w:rPr>
                <w:b/>
                <w:sz w:val="20"/>
                <w:szCs w:val="20"/>
              </w:rPr>
            </w:pPr>
            <w:r w:rsidRPr="00333536">
              <w:rPr>
                <w:b/>
                <w:sz w:val="20"/>
                <w:szCs w:val="20"/>
              </w:rPr>
              <w:fldChar w:fldCharType="begin">
                <w:ffData>
                  <w:name w:val=""/>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65" w:type="pct"/>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232E74">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794" w:type="pct"/>
            <w:vAlign w:val="center"/>
          </w:tcPr>
          <w:p w:rsidR="00F6050C" w:rsidRPr="00333536" w:rsidRDefault="00D9055C" w:rsidP="009E59BC">
            <w:pPr>
              <w:rPr>
                <w:sz w:val="20"/>
                <w:szCs w:val="20"/>
              </w:rPr>
            </w:pPr>
            <w:r w:rsidRPr="00333536">
              <w:rPr>
                <w:sz w:val="20"/>
                <w:szCs w:val="20"/>
              </w:rPr>
              <w:fldChar w:fldCharType="begin">
                <w:ffData>
                  <w:name w:val="Text1"/>
                  <w:enabled/>
                  <w:calcOnExit w:val="0"/>
                  <w:textInput/>
                </w:ffData>
              </w:fldChar>
            </w:r>
            <w:r w:rsidR="00F6050C" w:rsidRPr="00333536">
              <w:rPr>
                <w:sz w:val="20"/>
                <w:szCs w:val="20"/>
              </w:rPr>
              <w:instrText xml:space="preserve"> FORMTEXT </w:instrText>
            </w:r>
            <w:r w:rsidRPr="00333536">
              <w:rPr>
                <w:sz w:val="20"/>
                <w:szCs w:val="20"/>
              </w:rPr>
            </w:r>
            <w:r w:rsidRPr="00333536">
              <w:rPr>
                <w:sz w:val="20"/>
                <w:szCs w:val="20"/>
              </w:rPr>
              <w:fldChar w:fldCharType="separate"/>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Pr="00333536">
              <w:rPr>
                <w:sz w:val="20"/>
                <w:szCs w:val="20"/>
              </w:rPr>
              <w:fldChar w:fldCharType="end"/>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p>
        </w:tc>
      </w:tr>
      <w:tr w:rsidR="00333536" w:rsidRPr="00333536" w:rsidTr="00E01955">
        <w:trPr>
          <w:cantSplit/>
        </w:trPr>
        <w:tc>
          <w:tcPr>
            <w:tcW w:w="231" w:type="pct"/>
          </w:tcPr>
          <w:p w:rsidR="00F6050C" w:rsidRPr="00333536" w:rsidRDefault="00F6050C" w:rsidP="00B66F1C">
            <w:pPr>
              <w:spacing w:before="20" w:after="20"/>
              <w:jc w:val="center"/>
              <w:rPr>
                <w:sz w:val="20"/>
                <w:szCs w:val="20"/>
              </w:rPr>
            </w:pPr>
            <w:r w:rsidRPr="00333536">
              <w:rPr>
                <w:sz w:val="20"/>
                <w:szCs w:val="20"/>
              </w:rPr>
              <w:t>2.2.2</w:t>
            </w:r>
          </w:p>
        </w:tc>
        <w:tc>
          <w:tcPr>
            <w:tcW w:w="1851" w:type="pct"/>
          </w:tcPr>
          <w:p w:rsidR="00F6050C" w:rsidRPr="00333536" w:rsidRDefault="00F6050C" w:rsidP="002F555A">
            <w:pPr>
              <w:spacing w:before="20" w:after="20"/>
              <w:jc w:val="both"/>
              <w:rPr>
                <w:sz w:val="20"/>
                <w:szCs w:val="20"/>
              </w:rPr>
            </w:pPr>
            <w:r w:rsidRPr="00333536">
              <w:rPr>
                <w:sz w:val="20"/>
                <w:szCs w:val="20"/>
              </w:rPr>
              <w:t>Laws (including statutory and case law) related to language access in the California Superior Courts,</w:t>
            </w:r>
            <w:r w:rsidR="00E92334" w:rsidRPr="00333536">
              <w:rPr>
                <w:sz w:val="20"/>
                <w:szCs w:val="20"/>
              </w:rPr>
              <w:t xml:space="preserve"> as well as</w:t>
            </w:r>
            <w:r w:rsidRPr="00333536">
              <w:rPr>
                <w:sz w:val="20"/>
                <w:szCs w:val="20"/>
              </w:rPr>
              <w:t xml:space="preserve"> California Rules of Court, Standards of Judicial Administration, and Judicial Council Forms related to language access.</w:t>
            </w:r>
          </w:p>
        </w:tc>
        <w:tc>
          <w:tcPr>
            <w:tcW w:w="165" w:type="pct"/>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65" w:type="pct"/>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232E74">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794" w:type="pct"/>
            <w:vAlign w:val="center"/>
          </w:tcPr>
          <w:p w:rsidR="00F6050C" w:rsidRPr="00333536" w:rsidRDefault="00D9055C" w:rsidP="009E59BC">
            <w:pPr>
              <w:rPr>
                <w:sz w:val="20"/>
                <w:szCs w:val="20"/>
              </w:rPr>
            </w:pPr>
            <w:r w:rsidRPr="00333536">
              <w:rPr>
                <w:sz w:val="20"/>
                <w:szCs w:val="20"/>
              </w:rPr>
              <w:fldChar w:fldCharType="begin">
                <w:ffData>
                  <w:name w:val="Text1"/>
                  <w:enabled/>
                  <w:calcOnExit w:val="0"/>
                  <w:textInput/>
                </w:ffData>
              </w:fldChar>
            </w:r>
            <w:r w:rsidR="00F6050C" w:rsidRPr="00333536">
              <w:rPr>
                <w:sz w:val="20"/>
                <w:szCs w:val="20"/>
              </w:rPr>
              <w:instrText xml:space="preserve"> FORMTEXT </w:instrText>
            </w:r>
            <w:r w:rsidRPr="00333536">
              <w:rPr>
                <w:sz w:val="20"/>
                <w:szCs w:val="20"/>
              </w:rPr>
            </w:r>
            <w:r w:rsidRPr="00333536">
              <w:rPr>
                <w:sz w:val="20"/>
                <w:szCs w:val="20"/>
              </w:rPr>
              <w:fldChar w:fldCharType="separate"/>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Pr="00333536">
              <w:rPr>
                <w:sz w:val="20"/>
                <w:szCs w:val="20"/>
              </w:rPr>
              <w:fldChar w:fldCharType="end"/>
            </w:r>
          </w:p>
        </w:tc>
      </w:tr>
      <w:tr w:rsidR="00333536" w:rsidRPr="00333536" w:rsidTr="00E01955">
        <w:trPr>
          <w:cantSplit/>
        </w:trPr>
        <w:tc>
          <w:tcPr>
            <w:tcW w:w="231" w:type="pct"/>
          </w:tcPr>
          <w:p w:rsidR="00F6050C" w:rsidRPr="00333536" w:rsidRDefault="00F6050C" w:rsidP="00B66F1C">
            <w:pPr>
              <w:spacing w:before="20" w:after="20"/>
              <w:jc w:val="center"/>
              <w:rPr>
                <w:sz w:val="20"/>
                <w:szCs w:val="20"/>
              </w:rPr>
            </w:pPr>
            <w:r w:rsidRPr="00333536">
              <w:rPr>
                <w:sz w:val="20"/>
                <w:szCs w:val="20"/>
              </w:rPr>
              <w:t>2.3.</w:t>
            </w:r>
            <w:r w:rsidR="00E92334" w:rsidRPr="00333536">
              <w:rPr>
                <w:sz w:val="20"/>
                <w:szCs w:val="20"/>
              </w:rPr>
              <w:t>3</w:t>
            </w:r>
          </w:p>
        </w:tc>
        <w:tc>
          <w:tcPr>
            <w:tcW w:w="1851" w:type="pct"/>
          </w:tcPr>
          <w:p w:rsidR="00F6050C" w:rsidRPr="00333536" w:rsidRDefault="00F6050C" w:rsidP="002F555A">
            <w:pPr>
              <w:spacing w:before="20" w:after="20"/>
              <w:jc w:val="both"/>
              <w:rPr>
                <w:sz w:val="20"/>
                <w:szCs w:val="20"/>
              </w:rPr>
            </w:pPr>
            <w:r w:rsidRPr="00333536">
              <w:rPr>
                <w:sz w:val="20"/>
                <w:szCs w:val="20"/>
              </w:rPr>
              <w:t xml:space="preserve">Education </w:t>
            </w:r>
            <w:r w:rsidR="00E92334" w:rsidRPr="00333536">
              <w:rPr>
                <w:sz w:val="20"/>
                <w:szCs w:val="20"/>
              </w:rPr>
              <w:t xml:space="preserve">resources </w:t>
            </w:r>
            <w:r w:rsidRPr="00333536">
              <w:rPr>
                <w:sz w:val="20"/>
                <w:szCs w:val="20"/>
              </w:rPr>
              <w:t>and training for court staff</w:t>
            </w:r>
            <w:r w:rsidR="00E92334" w:rsidRPr="00333536">
              <w:rPr>
                <w:sz w:val="20"/>
                <w:szCs w:val="20"/>
              </w:rPr>
              <w:t xml:space="preserve"> (including bilingual staff)</w:t>
            </w:r>
            <w:r w:rsidRPr="00333536">
              <w:rPr>
                <w:sz w:val="20"/>
                <w:szCs w:val="20"/>
              </w:rPr>
              <w:t>,</w:t>
            </w:r>
            <w:r w:rsidR="00E92334" w:rsidRPr="00333536">
              <w:rPr>
                <w:sz w:val="20"/>
                <w:szCs w:val="20"/>
              </w:rPr>
              <w:t xml:space="preserve"> court interpreters,</w:t>
            </w:r>
            <w:r w:rsidRPr="00333536">
              <w:rPr>
                <w:sz w:val="20"/>
                <w:szCs w:val="20"/>
              </w:rPr>
              <w:t xml:space="preserve"> judicial officers, justice partners, community organizations,</w:t>
            </w:r>
            <w:r w:rsidR="00E92334" w:rsidRPr="00333536">
              <w:rPr>
                <w:sz w:val="20"/>
                <w:szCs w:val="20"/>
              </w:rPr>
              <w:t xml:space="preserve"> including familiarity with educational v</w:t>
            </w:r>
            <w:r w:rsidR="00016AF5" w:rsidRPr="00333536">
              <w:rPr>
                <w:sz w:val="20"/>
                <w:szCs w:val="20"/>
              </w:rPr>
              <w:t>ideos, print or recorded materials, online videos and web modul</w:t>
            </w:r>
            <w:r w:rsidR="00E92334" w:rsidRPr="00333536">
              <w:rPr>
                <w:sz w:val="20"/>
                <w:szCs w:val="20"/>
              </w:rPr>
              <w:t>es, and other educational tools designed to assist court personnel and LEP court users.</w:t>
            </w:r>
          </w:p>
        </w:tc>
        <w:tc>
          <w:tcPr>
            <w:tcW w:w="165" w:type="pct"/>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65" w:type="pct"/>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232E74">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794" w:type="pct"/>
            <w:vAlign w:val="center"/>
          </w:tcPr>
          <w:p w:rsidR="00F6050C" w:rsidRPr="00333536" w:rsidRDefault="00D9055C" w:rsidP="009E59BC">
            <w:pPr>
              <w:rPr>
                <w:sz w:val="20"/>
                <w:szCs w:val="20"/>
              </w:rPr>
            </w:pPr>
            <w:r w:rsidRPr="00333536">
              <w:rPr>
                <w:sz w:val="20"/>
                <w:szCs w:val="20"/>
              </w:rPr>
              <w:fldChar w:fldCharType="begin">
                <w:ffData>
                  <w:name w:val="Text1"/>
                  <w:enabled/>
                  <w:calcOnExit w:val="0"/>
                  <w:textInput/>
                </w:ffData>
              </w:fldChar>
            </w:r>
            <w:r w:rsidR="00F6050C" w:rsidRPr="00333536">
              <w:rPr>
                <w:sz w:val="20"/>
                <w:szCs w:val="20"/>
              </w:rPr>
              <w:instrText xml:space="preserve"> FORMTEXT </w:instrText>
            </w:r>
            <w:r w:rsidRPr="00333536">
              <w:rPr>
                <w:sz w:val="20"/>
                <w:szCs w:val="20"/>
              </w:rPr>
            </w:r>
            <w:r w:rsidRPr="00333536">
              <w:rPr>
                <w:sz w:val="20"/>
                <w:szCs w:val="20"/>
              </w:rPr>
              <w:fldChar w:fldCharType="separate"/>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Pr="00333536">
              <w:rPr>
                <w:sz w:val="20"/>
                <w:szCs w:val="20"/>
              </w:rPr>
              <w:fldChar w:fldCharType="end"/>
            </w:r>
          </w:p>
        </w:tc>
      </w:tr>
      <w:tr w:rsidR="00333536" w:rsidRPr="00333536" w:rsidTr="00437EC4">
        <w:trPr>
          <w:cantSplit/>
          <w:trHeight w:val="368"/>
        </w:trPr>
        <w:tc>
          <w:tcPr>
            <w:tcW w:w="231" w:type="pct"/>
          </w:tcPr>
          <w:p w:rsidR="00F6050C" w:rsidRPr="00333536" w:rsidRDefault="00F6050C" w:rsidP="00C352B2">
            <w:pPr>
              <w:spacing w:before="80" w:after="80"/>
              <w:jc w:val="center"/>
              <w:rPr>
                <w:sz w:val="20"/>
                <w:szCs w:val="20"/>
              </w:rPr>
            </w:pPr>
            <w:r w:rsidRPr="00333536">
              <w:rPr>
                <w:sz w:val="20"/>
                <w:szCs w:val="20"/>
              </w:rPr>
              <w:lastRenderedPageBreak/>
              <w:t>2.3.</w:t>
            </w:r>
            <w:r w:rsidR="00E92334" w:rsidRPr="00333536">
              <w:rPr>
                <w:sz w:val="20"/>
                <w:szCs w:val="20"/>
              </w:rPr>
              <w:t>4</w:t>
            </w:r>
          </w:p>
        </w:tc>
        <w:tc>
          <w:tcPr>
            <w:tcW w:w="1851" w:type="pct"/>
          </w:tcPr>
          <w:p w:rsidR="00F6050C" w:rsidRPr="00333536" w:rsidRDefault="00F6050C" w:rsidP="00C352B2">
            <w:pPr>
              <w:spacing w:before="80" w:after="80"/>
              <w:jc w:val="both"/>
              <w:rPr>
                <w:sz w:val="20"/>
                <w:szCs w:val="20"/>
              </w:rPr>
            </w:pPr>
            <w:r w:rsidRPr="00333536">
              <w:rPr>
                <w:sz w:val="20"/>
                <w:szCs w:val="20"/>
              </w:rPr>
              <w:t>Research and writing for court-related audiences.</w:t>
            </w:r>
          </w:p>
        </w:tc>
        <w:tc>
          <w:tcPr>
            <w:tcW w:w="165"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65"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794" w:type="pct"/>
            <w:vAlign w:val="center"/>
          </w:tcPr>
          <w:p w:rsidR="00F6050C" w:rsidRPr="00333536" w:rsidRDefault="00D9055C" w:rsidP="00CA02FC">
            <w:pPr>
              <w:spacing w:before="60" w:after="60"/>
              <w:rPr>
                <w:sz w:val="20"/>
                <w:szCs w:val="20"/>
              </w:rPr>
            </w:pPr>
            <w:r w:rsidRPr="00333536">
              <w:rPr>
                <w:sz w:val="20"/>
                <w:szCs w:val="20"/>
              </w:rPr>
              <w:fldChar w:fldCharType="begin">
                <w:ffData>
                  <w:name w:val="Text1"/>
                  <w:enabled/>
                  <w:calcOnExit w:val="0"/>
                  <w:textInput/>
                </w:ffData>
              </w:fldChar>
            </w:r>
            <w:r w:rsidR="00F6050C" w:rsidRPr="00333536">
              <w:rPr>
                <w:sz w:val="20"/>
                <w:szCs w:val="20"/>
              </w:rPr>
              <w:instrText xml:space="preserve"> FORMTEXT </w:instrText>
            </w:r>
            <w:r w:rsidRPr="00333536">
              <w:rPr>
                <w:sz w:val="20"/>
                <w:szCs w:val="20"/>
              </w:rPr>
            </w:r>
            <w:r w:rsidRPr="00333536">
              <w:rPr>
                <w:sz w:val="20"/>
                <w:szCs w:val="20"/>
              </w:rPr>
              <w:fldChar w:fldCharType="separate"/>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Pr="00333536">
              <w:rPr>
                <w:sz w:val="20"/>
                <w:szCs w:val="20"/>
              </w:rPr>
              <w:fldChar w:fldCharType="end"/>
            </w:r>
          </w:p>
        </w:tc>
      </w:tr>
      <w:tr w:rsidR="00333536" w:rsidRPr="00333536" w:rsidTr="00437EC4">
        <w:trPr>
          <w:cantSplit/>
          <w:trHeight w:val="530"/>
        </w:trPr>
        <w:tc>
          <w:tcPr>
            <w:tcW w:w="231" w:type="pct"/>
          </w:tcPr>
          <w:p w:rsidR="00F6050C" w:rsidRPr="00333536" w:rsidRDefault="00F6050C" w:rsidP="00C352B2">
            <w:pPr>
              <w:spacing w:before="80" w:after="80"/>
              <w:jc w:val="center"/>
              <w:rPr>
                <w:sz w:val="20"/>
                <w:szCs w:val="20"/>
              </w:rPr>
            </w:pPr>
            <w:r w:rsidRPr="00333536">
              <w:rPr>
                <w:sz w:val="20"/>
                <w:szCs w:val="20"/>
              </w:rPr>
              <w:t>2.3.</w:t>
            </w:r>
            <w:r w:rsidR="00E92334" w:rsidRPr="00333536">
              <w:rPr>
                <w:sz w:val="20"/>
                <w:szCs w:val="20"/>
              </w:rPr>
              <w:t>5</w:t>
            </w:r>
          </w:p>
        </w:tc>
        <w:tc>
          <w:tcPr>
            <w:tcW w:w="1851" w:type="pct"/>
          </w:tcPr>
          <w:p w:rsidR="00F6050C" w:rsidRPr="00333536" w:rsidRDefault="00F6050C" w:rsidP="00C352B2">
            <w:pPr>
              <w:spacing w:before="80" w:after="80"/>
              <w:jc w:val="both"/>
              <w:rPr>
                <w:sz w:val="20"/>
                <w:szCs w:val="20"/>
              </w:rPr>
            </w:pPr>
            <w:r w:rsidRPr="00333536">
              <w:rPr>
                <w:sz w:val="20"/>
                <w:szCs w:val="20"/>
              </w:rPr>
              <w:t>Court interpreting principles and how court interpretation services are organized in the California Superior Courts.</w:t>
            </w:r>
          </w:p>
        </w:tc>
        <w:tc>
          <w:tcPr>
            <w:tcW w:w="165"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65"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794" w:type="pct"/>
            <w:vAlign w:val="center"/>
          </w:tcPr>
          <w:p w:rsidR="00F6050C" w:rsidRPr="00333536" w:rsidRDefault="00D9055C" w:rsidP="00CA02FC">
            <w:pPr>
              <w:spacing w:before="60" w:after="60"/>
              <w:rPr>
                <w:sz w:val="20"/>
                <w:szCs w:val="20"/>
              </w:rPr>
            </w:pPr>
            <w:r w:rsidRPr="00333536">
              <w:rPr>
                <w:sz w:val="20"/>
                <w:szCs w:val="20"/>
              </w:rPr>
              <w:fldChar w:fldCharType="begin">
                <w:ffData>
                  <w:name w:val="Text1"/>
                  <w:enabled/>
                  <w:calcOnExit w:val="0"/>
                  <w:textInput/>
                </w:ffData>
              </w:fldChar>
            </w:r>
            <w:r w:rsidR="00F6050C" w:rsidRPr="00333536">
              <w:rPr>
                <w:sz w:val="20"/>
                <w:szCs w:val="20"/>
              </w:rPr>
              <w:instrText xml:space="preserve"> FORMTEXT </w:instrText>
            </w:r>
            <w:r w:rsidRPr="00333536">
              <w:rPr>
                <w:sz w:val="20"/>
                <w:szCs w:val="20"/>
              </w:rPr>
            </w:r>
            <w:r w:rsidRPr="00333536">
              <w:rPr>
                <w:sz w:val="20"/>
                <w:szCs w:val="20"/>
              </w:rPr>
              <w:fldChar w:fldCharType="separate"/>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Pr="00333536">
              <w:rPr>
                <w:sz w:val="20"/>
                <w:szCs w:val="20"/>
              </w:rPr>
              <w:fldChar w:fldCharType="end"/>
            </w:r>
          </w:p>
        </w:tc>
      </w:tr>
      <w:tr w:rsidR="00333536" w:rsidRPr="00333536" w:rsidTr="00437EC4">
        <w:trPr>
          <w:cantSplit/>
          <w:trHeight w:val="530"/>
        </w:trPr>
        <w:tc>
          <w:tcPr>
            <w:tcW w:w="231" w:type="pct"/>
          </w:tcPr>
          <w:p w:rsidR="00F6050C" w:rsidRPr="00333536" w:rsidRDefault="00F6050C" w:rsidP="00C352B2">
            <w:pPr>
              <w:spacing w:before="80" w:after="80"/>
              <w:jc w:val="center"/>
              <w:rPr>
                <w:sz w:val="20"/>
                <w:szCs w:val="20"/>
              </w:rPr>
            </w:pPr>
            <w:r w:rsidRPr="00333536">
              <w:rPr>
                <w:sz w:val="20"/>
                <w:szCs w:val="20"/>
              </w:rPr>
              <w:t>2.2.</w:t>
            </w:r>
            <w:r w:rsidR="00E92334" w:rsidRPr="00333536">
              <w:rPr>
                <w:sz w:val="20"/>
                <w:szCs w:val="20"/>
              </w:rPr>
              <w:t>6</w:t>
            </w:r>
          </w:p>
        </w:tc>
        <w:tc>
          <w:tcPr>
            <w:tcW w:w="1851" w:type="pct"/>
          </w:tcPr>
          <w:p w:rsidR="00F6050C" w:rsidRPr="00333536" w:rsidRDefault="00E92334" w:rsidP="00C352B2">
            <w:pPr>
              <w:spacing w:before="80" w:after="80"/>
              <w:jc w:val="both"/>
              <w:rPr>
                <w:sz w:val="20"/>
                <w:szCs w:val="20"/>
              </w:rPr>
            </w:pPr>
            <w:r w:rsidRPr="00333536">
              <w:rPr>
                <w:sz w:val="20"/>
                <w:szCs w:val="20"/>
              </w:rPr>
              <w:t>Preparation of written, web or recorded communication materials and other language access tools to assist the courts.</w:t>
            </w:r>
          </w:p>
        </w:tc>
        <w:tc>
          <w:tcPr>
            <w:tcW w:w="165"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65"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794" w:type="pct"/>
            <w:vAlign w:val="center"/>
          </w:tcPr>
          <w:p w:rsidR="00F6050C" w:rsidRPr="00333536" w:rsidRDefault="00D9055C" w:rsidP="00CA02FC">
            <w:pPr>
              <w:spacing w:before="60" w:after="60"/>
              <w:rPr>
                <w:sz w:val="20"/>
                <w:szCs w:val="20"/>
              </w:rPr>
            </w:pPr>
            <w:r w:rsidRPr="00333536">
              <w:rPr>
                <w:sz w:val="20"/>
                <w:szCs w:val="20"/>
              </w:rPr>
              <w:fldChar w:fldCharType="begin">
                <w:ffData>
                  <w:name w:val="Text1"/>
                  <w:enabled/>
                  <w:calcOnExit w:val="0"/>
                  <w:textInput/>
                </w:ffData>
              </w:fldChar>
            </w:r>
            <w:r w:rsidR="00F6050C" w:rsidRPr="00333536">
              <w:rPr>
                <w:sz w:val="20"/>
                <w:szCs w:val="20"/>
              </w:rPr>
              <w:instrText xml:space="preserve"> FORMTEXT </w:instrText>
            </w:r>
            <w:r w:rsidRPr="00333536">
              <w:rPr>
                <w:sz w:val="20"/>
                <w:szCs w:val="20"/>
              </w:rPr>
            </w:r>
            <w:r w:rsidRPr="00333536">
              <w:rPr>
                <w:sz w:val="20"/>
                <w:szCs w:val="20"/>
              </w:rPr>
              <w:fldChar w:fldCharType="separate"/>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Pr="00333536">
              <w:rPr>
                <w:sz w:val="20"/>
                <w:szCs w:val="20"/>
              </w:rPr>
              <w:fldChar w:fldCharType="end"/>
            </w:r>
          </w:p>
        </w:tc>
      </w:tr>
      <w:tr w:rsidR="00333536" w:rsidRPr="00333536" w:rsidTr="00437EC4">
        <w:trPr>
          <w:cantSplit/>
          <w:trHeight w:val="1430"/>
        </w:trPr>
        <w:tc>
          <w:tcPr>
            <w:tcW w:w="231" w:type="pct"/>
          </w:tcPr>
          <w:p w:rsidR="00F6050C" w:rsidRPr="00333536" w:rsidRDefault="00F6050C" w:rsidP="00C352B2">
            <w:pPr>
              <w:spacing w:before="80" w:after="80"/>
              <w:jc w:val="center"/>
              <w:rPr>
                <w:sz w:val="20"/>
                <w:szCs w:val="20"/>
              </w:rPr>
            </w:pPr>
            <w:r w:rsidRPr="00333536">
              <w:rPr>
                <w:sz w:val="20"/>
                <w:szCs w:val="20"/>
              </w:rPr>
              <w:t>2.2.</w:t>
            </w:r>
            <w:r w:rsidR="00E92334" w:rsidRPr="00333536">
              <w:rPr>
                <w:sz w:val="20"/>
                <w:szCs w:val="20"/>
              </w:rPr>
              <w:t>7</w:t>
            </w:r>
          </w:p>
        </w:tc>
        <w:tc>
          <w:tcPr>
            <w:tcW w:w="1851" w:type="pct"/>
          </w:tcPr>
          <w:p w:rsidR="00F6050C" w:rsidRPr="00333536" w:rsidRDefault="00E92334" w:rsidP="00C352B2">
            <w:pPr>
              <w:spacing w:before="80" w:after="80"/>
              <w:jc w:val="both"/>
              <w:rPr>
                <w:sz w:val="20"/>
                <w:szCs w:val="20"/>
              </w:rPr>
            </w:pPr>
            <w:r w:rsidRPr="00333536">
              <w:rPr>
                <w:sz w:val="20"/>
                <w:szCs w:val="20"/>
              </w:rPr>
              <w:t>Development of public outreach materials and tools to ethnic/cultural communities, including engagement with ethnic and racial minorities about language access resources, including strategy and messaging to target audiences, multilingual print materials (notices and signs) and non-print materials (audio recordings).</w:t>
            </w:r>
          </w:p>
        </w:tc>
        <w:tc>
          <w:tcPr>
            <w:tcW w:w="165"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65"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794" w:type="pct"/>
            <w:vAlign w:val="center"/>
          </w:tcPr>
          <w:p w:rsidR="00F6050C" w:rsidRPr="00333536" w:rsidRDefault="00D9055C" w:rsidP="00CA02FC">
            <w:pPr>
              <w:spacing w:before="60" w:after="60"/>
              <w:rPr>
                <w:sz w:val="20"/>
                <w:szCs w:val="20"/>
              </w:rPr>
            </w:pPr>
            <w:r w:rsidRPr="00333536">
              <w:rPr>
                <w:sz w:val="20"/>
                <w:szCs w:val="20"/>
              </w:rPr>
              <w:fldChar w:fldCharType="begin">
                <w:ffData>
                  <w:name w:val="Text1"/>
                  <w:enabled/>
                  <w:calcOnExit w:val="0"/>
                  <w:textInput/>
                </w:ffData>
              </w:fldChar>
            </w:r>
            <w:r w:rsidR="00F6050C" w:rsidRPr="00333536">
              <w:rPr>
                <w:sz w:val="20"/>
                <w:szCs w:val="20"/>
              </w:rPr>
              <w:instrText xml:space="preserve"> FORMTEXT </w:instrText>
            </w:r>
            <w:r w:rsidRPr="00333536">
              <w:rPr>
                <w:sz w:val="20"/>
                <w:szCs w:val="20"/>
              </w:rPr>
            </w:r>
            <w:r w:rsidRPr="00333536">
              <w:rPr>
                <w:sz w:val="20"/>
                <w:szCs w:val="20"/>
              </w:rPr>
              <w:fldChar w:fldCharType="separate"/>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Pr="00333536">
              <w:rPr>
                <w:sz w:val="20"/>
                <w:szCs w:val="20"/>
              </w:rPr>
              <w:fldChar w:fldCharType="end"/>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p>
        </w:tc>
      </w:tr>
      <w:tr w:rsidR="00333536" w:rsidRPr="00333536" w:rsidTr="00E01955">
        <w:trPr>
          <w:cantSplit/>
        </w:trPr>
        <w:tc>
          <w:tcPr>
            <w:tcW w:w="231" w:type="pct"/>
          </w:tcPr>
          <w:p w:rsidR="00F6050C" w:rsidRPr="00333536" w:rsidRDefault="00F6050C" w:rsidP="00C352B2">
            <w:pPr>
              <w:spacing w:before="80" w:after="80"/>
              <w:jc w:val="center"/>
              <w:rPr>
                <w:sz w:val="20"/>
                <w:szCs w:val="20"/>
              </w:rPr>
            </w:pPr>
            <w:r w:rsidRPr="00333536">
              <w:rPr>
                <w:sz w:val="20"/>
                <w:szCs w:val="20"/>
              </w:rPr>
              <w:t>2.2.</w:t>
            </w:r>
            <w:r w:rsidR="00DD6918" w:rsidRPr="00333536">
              <w:rPr>
                <w:sz w:val="20"/>
                <w:szCs w:val="20"/>
              </w:rPr>
              <w:t>8</w:t>
            </w:r>
          </w:p>
        </w:tc>
        <w:tc>
          <w:tcPr>
            <w:tcW w:w="1851" w:type="pct"/>
          </w:tcPr>
          <w:p w:rsidR="00F6050C" w:rsidRPr="00333536" w:rsidRDefault="002E1802" w:rsidP="00C352B2">
            <w:pPr>
              <w:spacing w:before="80" w:after="80"/>
              <w:jc w:val="both"/>
              <w:rPr>
                <w:sz w:val="20"/>
                <w:szCs w:val="20"/>
              </w:rPr>
            </w:pPr>
            <w:r w:rsidRPr="00333536">
              <w:rPr>
                <w:sz w:val="20"/>
                <w:szCs w:val="20"/>
              </w:rPr>
              <w:t>Systems to help statewide monitoring of the implementation of the LAP.</w:t>
            </w:r>
          </w:p>
        </w:tc>
        <w:tc>
          <w:tcPr>
            <w:tcW w:w="165"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65"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794" w:type="pct"/>
            <w:vAlign w:val="center"/>
          </w:tcPr>
          <w:p w:rsidR="00F6050C" w:rsidRPr="00333536" w:rsidRDefault="00D9055C" w:rsidP="00CA02FC">
            <w:pPr>
              <w:spacing w:before="60" w:after="60"/>
              <w:rPr>
                <w:sz w:val="20"/>
                <w:szCs w:val="20"/>
              </w:rPr>
            </w:pPr>
            <w:r w:rsidRPr="00333536">
              <w:rPr>
                <w:sz w:val="20"/>
                <w:szCs w:val="20"/>
              </w:rPr>
              <w:fldChar w:fldCharType="begin">
                <w:ffData>
                  <w:name w:val="Text1"/>
                  <w:enabled/>
                  <w:calcOnExit w:val="0"/>
                  <w:textInput/>
                </w:ffData>
              </w:fldChar>
            </w:r>
            <w:r w:rsidR="00F6050C" w:rsidRPr="00333536">
              <w:rPr>
                <w:sz w:val="20"/>
                <w:szCs w:val="20"/>
              </w:rPr>
              <w:instrText xml:space="preserve"> FORMTEXT </w:instrText>
            </w:r>
            <w:r w:rsidRPr="00333536">
              <w:rPr>
                <w:sz w:val="20"/>
                <w:szCs w:val="20"/>
              </w:rPr>
            </w:r>
            <w:r w:rsidRPr="00333536">
              <w:rPr>
                <w:sz w:val="20"/>
                <w:szCs w:val="20"/>
              </w:rPr>
              <w:fldChar w:fldCharType="separate"/>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Pr="00333536">
              <w:rPr>
                <w:sz w:val="20"/>
                <w:szCs w:val="20"/>
              </w:rPr>
              <w:fldChar w:fldCharType="end"/>
            </w:r>
          </w:p>
        </w:tc>
      </w:tr>
      <w:tr w:rsidR="00333536" w:rsidRPr="00333536" w:rsidTr="00437EC4">
        <w:trPr>
          <w:cantSplit/>
          <w:trHeight w:val="557"/>
        </w:trPr>
        <w:tc>
          <w:tcPr>
            <w:tcW w:w="231" w:type="pct"/>
          </w:tcPr>
          <w:p w:rsidR="00F6050C" w:rsidRPr="00333536" w:rsidRDefault="00F6050C" w:rsidP="00C352B2">
            <w:pPr>
              <w:spacing w:before="80" w:after="80"/>
              <w:jc w:val="center"/>
              <w:rPr>
                <w:sz w:val="20"/>
                <w:szCs w:val="20"/>
              </w:rPr>
            </w:pPr>
            <w:r w:rsidRPr="00333536">
              <w:rPr>
                <w:sz w:val="20"/>
                <w:szCs w:val="20"/>
              </w:rPr>
              <w:t>2.2.</w:t>
            </w:r>
            <w:r w:rsidR="002E1802" w:rsidRPr="00333536">
              <w:rPr>
                <w:sz w:val="20"/>
                <w:szCs w:val="20"/>
              </w:rPr>
              <w:t>9</w:t>
            </w:r>
          </w:p>
        </w:tc>
        <w:tc>
          <w:tcPr>
            <w:tcW w:w="1851" w:type="pct"/>
          </w:tcPr>
          <w:p w:rsidR="00F6050C" w:rsidRPr="00333536" w:rsidRDefault="002E1802" w:rsidP="00C352B2">
            <w:pPr>
              <w:spacing w:before="80" w:after="80"/>
              <w:jc w:val="both"/>
              <w:rPr>
                <w:sz w:val="20"/>
                <w:szCs w:val="20"/>
              </w:rPr>
            </w:pPr>
            <w:r w:rsidRPr="00333536">
              <w:rPr>
                <w:sz w:val="20"/>
                <w:szCs w:val="20"/>
              </w:rPr>
              <w:t>Methods to evaluate Program effectiveness and the quality of language access services.</w:t>
            </w:r>
          </w:p>
        </w:tc>
        <w:tc>
          <w:tcPr>
            <w:tcW w:w="165"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65"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794" w:type="pct"/>
            <w:vAlign w:val="center"/>
          </w:tcPr>
          <w:p w:rsidR="00F6050C" w:rsidRPr="00333536" w:rsidRDefault="00D9055C" w:rsidP="00CA02FC">
            <w:pPr>
              <w:spacing w:before="60" w:after="60"/>
              <w:rPr>
                <w:sz w:val="20"/>
                <w:szCs w:val="20"/>
              </w:rPr>
            </w:pPr>
            <w:r w:rsidRPr="00333536">
              <w:rPr>
                <w:sz w:val="20"/>
                <w:szCs w:val="20"/>
              </w:rPr>
              <w:fldChar w:fldCharType="begin">
                <w:ffData>
                  <w:name w:val="Text1"/>
                  <w:enabled/>
                  <w:calcOnExit w:val="0"/>
                  <w:textInput/>
                </w:ffData>
              </w:fldChar>
            </w:r>
            <w:r w:rsidR="00F6050C" w:rsidRPr="00333536">
              <w:rPr>
                <w:sz w:val="20"/>
                <w:szCs w:val="20"/>
              </w:rPr>
              <w:instrText xml:space="preserve"> FORMTEXT </w:instrText>
            </w:r>
            <w:r w:rsidRPr="00333536">
              <w:rPr>
                <w:sz w:val="20"/>
                <w:szCs w:val="20"/>
              </w:rPr>
            </w:r>
            <w:r w:rsidRPr="00333536">
              <w:rPr>
                <w:sz w:val="20"/>
                <w:szCs w:val="20"/>
              </w:rPr>
              <w:fldChar w:fldCharType="separate"/>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Pr="00333536">
              <w:rPr>
                <w:sz w:val="20"/>
                <w:szCs w:val="20"/>
              </w:rPr>
              <w:fldChar w:fldCharType="end"/>
            </w:r>
          </w:p>
        </w:tc>
      </w:tr>
      <w:tr w:rsidR="00333536" w:rsidRPr="00333536" w:rsidTr="00437EC4">
        <w:trPr>
          <w:cantSplit/>
          <w:trHeight w:val="1313"/>
        </w:trPr>
        <w:tc>
          <w:tcPr>
            <w:tcW w:w="231" w:type="pct"/>
          </w:tcPr>
          <w:p w:rsidR="00F6050C" w:rsidRPr="00333536" w:rsidRDefault="00F6050C" w:rsidP="00C352B2">
            <w:pPr>
              <w:spacing w:before="80" w:after="80"/>
              <w:jc w:val="center"/>
              <w:rPr>
                <w:sz w:val="20"/>
                <w:szCs w:val="20"/>
              </w:rPr>
            </w:pPr>
            <w:r w:rsidRPr="00333536">
              <w:rPr>
                <w:sz w:val="20"/>
                <w:szCs w:val="20"/>
              </w:rPr>
              <w:t>2.2.</w:t>
            </w:r>
            <w:r w:rsidR="002E1802" w:rsidRPr="00333536">
              <w:rPr>
                <w:sz w:val="20"/>
                <w:szCs w:val="20"/>
              </w:rPr>
              <w:t>10</w:t>
            </w:r>
          </w:p>
        </w:tc>
        <w:tc>
          <w:tcPr>
            <w:tcW w:w="1851" w:type="pct"/>
          </w:tcPr>
          <w:p w:rsidR="00F6050C" w:rsidRPr="00333536" w:rsidRDefault="002E1802" w:rsidP="00C352B2">
            <w:pPr>
              <w:spacing w:before="80" w:after="80"/>
              <w:jc w:val="both"/>
              <w:rPr>
                <w:sz w:val="20"/>
                <w:szCs w:val="20"/>
              </w:rPr>
            </w:pPr>
            <w:r w:rsidRPr="00333536">
              <w:rPr>
                <w:sz w:val="20"/>
                <w:szCs w:val="20"/>
              </w:rPr>
              <w:t>Web conten</w:t>
            </w:r>
            <w:r w:rsidR="00437EC4" w:rsidRPr="00333536">
              <w:rPr>
                <w:sz w:val="20"/>
                <w:szCs w:val="20"/>
              </w:rPr>
              <w:t>t design and web implementation</w:t>
            </w:r>
            <w:r w:rsidRPr="00333536">
              <w:rPr>
                <w:sz w:val="20"/>
                <w:szCs w:val="20"/>
              </w:rPr>
              <w:t>, including knowledge of web and courthouse accessibility for LEP courts users, including signage and wayfinding strategies and other web-based resources (online presence, e.g. resource center) regarding language access services.</w:t>
            </w:r>
          </w:p>
        </w:tc>
        <w:tc>
          <w:tcPr>
            <w:tcW w:w="165"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65"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794" w:type="pct"/>
            <w:vAlign w:val="center"/>
          </w:tcPr>
          <w:p w:rsidR="00F6050C" w:rsidRPr="00333536" w:rsidRDefault="00D9055C" w:rsidP="00CA02FC">
            <w:pPr>
              <w:spacing w:before="60" w:after="60"/>
              <w:rPr>
                <w:sz w:val="20"/>
                <w:szCs w:val="20"/>
              </w:rPr>
            </w:pPr>
            <w:r w:rsidRPr="00333536">
              <w:rPr>
                <w:sz w:val="20"/>
                <w:szCs w:val="20"/>
              </w:rPr>
              <w:fldChar w:fldCharType="begin">
                <w:ffData>
                  <w:name w:val="Text1"/>
                  <w:enabled/>
                  <w:calcOnExit w:val="0"/>
                  <w:textInput/>
                </w:ffData>
              </w:fldChar>
            </w:r>
            <w:r w:rsidR="00F6050C" w:rsidRPr="00333536">
              <w:rPr>
                <w:sz w:val="20"/>
                <w:szCs w:val="20"/>
              </w:rPr>
              <w:instrText xml:space="preserve"> FORMTEXT </w:instrText>
            </w:r>
            <w:r w:rsidRPr="00333536">
              <w:rPr>
                <w:sz w:val="20"/>
                <w:szCs w:val="20"/>
              </w:rPr>
            </w:r>
            <w:r w:rsidRPr="00333536">
              <w:rPr>
                <w:sz w:val="20"/>
                <w:szCs w:val="20"/>
              </w:rPr>
              <w:fldChar w:fldCharType="separate"/>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Pr="00333536">
              <w:rPr>
                <w:sz w:val="20"/>
                <w:szCs w:val="20"/>
              </w:rPr>
              <w:fldChar w:fldCharType="end"/>
            </w:r>
          </w:p>
        </w:tc>
      </w:tr>
      <w:tr w:rsidR="00333536" w:rsidRPr="00333536" w:rsidTr="00437EC4">
        <w:trPr>
          <w:cantSplit/>
          <w:trHeight w:val="827"/>
        </w:trPr>
        <w:tc>
          <w:tcPr>
            <w:tcW w:w="231" w:type="pct"/>
          </w:tcPr>
          <w:p w:rsidR="00F6050C" w:rsidRPr="00333536" w:rsidRDefault="00F6050C" w:rsidP="00C352B2">
            <w:pPr>
              <w:spacing w:before="80" w:after="80"/>
              <w:jc w:val="center"/>
              <w:rPr>
                <w:sz w:val="20"/>
                <w:szCs w:val="20"/>
              </w:rPr>
            </w:pPr>
            <w:r w:rsidRPr="00333536">
              <w:rPr>
                <w:sz w:val="20"/>
                <w:szCs w:val="20"/>
              </w:rPr>
              <w:t>2.2.</w:t>
            </w:r>
            <w:r w:rsidR="002E1802" w:rsidRPr="00333536">
              <w:rPr>
                <w:sz w:val="20"/>
                <w:szCs w:val="20"/>
              </w:rPr>
              <w:t>11</w:t>
            </w:r>
          </w:p>
        </w:tc>
        <w:tc>
          <w:tcPr>
            <w:tcW w:w="1851" w:type="pct"/>
          </w:tcPr>
          <w:p w:rsidR="00F6050C" w:rsidRPr="00333536" w:rsidRDefault="002E1802" w:rsidP="00C352B2">
            <w:pPr>
              <w:spacing w:before="80" w:after="80"/>
              <w:jc w:val="both"/>
              <w:rPr>
                <w:sz w:val="20"/>
                <w:szCs w:val="20"/>
              </w:rPr>
            </w:pPr>
            <w:r w:rsidRPr="00333536">
              <w:rPr>
                <w:bCs/>
                <w:sz w:val="20"/>
                <w:szCs w:val="20"/>
              </w:rPr>
              <w:t>Analysis, display and re-engineering of content for LEP court users, including:  multilingual optimal design and display of information and resources for any platform.</w:t>
            </w:r>
          </w:p>
        </w:tc>
        <w:tc>
          <w:tcPr>
            <w:tcW w:w="165"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65"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794" w:type="pct"/>
            <w:vAlign w:val="center"/>
          </w:tcPr>
          <w:p w:rsidR="00F6050C" w:rsidRPr="00333536" w:rsidRDefault="00D9055C" w:rsidP="00CA02FC">
            <w:pPr>
              <w:spacing w:before="60" w:after="60"/>
              <w:rPr>
                <w:sz w:val="20"/>
                <w:szCs w:val="20"/>
              </w:rPr>
            </w:pPr>
            <w:r w:rsidRPr="00333536">
              <w:rPr>
                <w:sz w:val="20"/>
                <w:szCs w:val="20"/>
              </w:rPr>
              <w:fldChar w:fldCharType="begin">
                <w:ffData>
                  <w:name w:val="Text1"/>
                  <w:enabled/>
                  <w:calcOnExit w:val="0"/>
                  <w:textInput/>
                </w:ffData>
              </w:fldChar>
            </w:r>
            <w:r w:rsidR="00F6050C" w:rsidRPr="00333536">
              <w:rPr>
                <w:sz w:val="20"/>
                <w:szCs w:val="20"/>
              </w:rPr>
              <w:instrText xml:space="preserve"> FORMTEXT </w:instrText>
            </w:r>
            <w:r w:rsidRPr="00333536">
              <w:rPr>
                <w:sz w:val="20"/>
                <w:szCs w:val="20"/>
              </w:rPr>
            </w:r>
            <w:r w:rsidRPr="00333536">
              <w:rPr>
                <w:sz w:val="20"/>
                <w:szCs w:val="20"/>
              </w:rPr>
              <w:fldChar w:fldCharType="separate"/>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Pr="00333536">
              <w:rPr>
                <w:sz w:val="20"/>
                <w:szCs w:val="20"/>
              </w:rPr>
              <w:fldChar w:fldCharType="end"/>
            </w:r>
          </w:p>
        </w:tc>
      </w:tr>
      <w:tr w:rsidR="00333536" w:rsidRPr="00333536" w:rsidTr="00437EC4">
        <w:trPr>
          <w:cantSplit/>
          <w:trHeight w:val="710"/>
        </w:trPr>
        <w:tc>
          <w:tcPr>
            <w:tcW w:w="231" w:type="pct"/>
          </w:tcPr>
          <w:p w:rsidR="00F6050C" w:rsidRPr="00333536" w:rsidRDefault="00F6050C" w:rsidP="00C352B2">
            <w:pPr>
              <w:spacing w:before="80" w:after="80"/>
              <w:jc w:val="center"/>
              <w:rPr>
                <w:sz w:val="20"/>
                <w:szCs w:val="20"/>
              </w:rPr>
            </w:pPr>
            <w:r w:rsidRPr="00333536">
              <w:rPr>
                <w:sz w:val="20"/>
                <w:szCs w:val="20"/>
              </w:rPr>
              <w:t>2.2.</w:t>
            </w:r>
            <w:r w:rsidR="002E1802" w:rsidRPr="00333536">
              <w:rPr>
                <w:sz w:val="20"/>
                <w:szCs w:val="20"/>
              </w:rPr>
              <w:t>12</w:t>
            </w:r>
          </w:p>
        </w:tc>
        <w:tc>
          <w:tcPr>
            <w:tcW w:w="1851" w:type="pct"/>
          </w:tcPr>
          <w:p w:rsidR="00F6050C" w:rsidRPr="00333536" w:rsidRDefault="002E1802" w:rsidP="00C352B2">
            <w:pPr>
              <w:spacing w:before="80" w:after="80"/>
              <w:jc w:val="both"/>
              <w:rPr>
                <w:sz w:val="20"/>
                <w:szCs w:val="20"/>
              </w:rPr>
            </w:pPr>
            <w:r w:rsidRPr="00333536">
              <w:rPr>
                <w:sz w:val="20"/>
                <w:szCs w:val="20"/>
              </w:rPr>
              <w:t>Familiarity with video remote interpreting (VRI) best</w:t>
            </w:r>
            <w:r w:rsidR="002F555A" w:rsidRPr="00333536">
              <w:rPr>
                <w:sz w:val="20"/>
                <w:szCs w:val="20"/>
              </w:rPr>
              <w:t xml:space="preserve"> </w:t>
            </w:r>
            <w:r w:rsidRPr="00333536">
              <w:rPr>
                <w:sz w:val="20"/>
                <w:szCs w:val="20"/>
              </w:rPr>
              <w:t xml:space="preserve"> </w:t>
            </w:r>
            <w:r w:rsidR="00C64584" w:rsidRPr="00333536">
              <w:rPr>
                <w:sz w:val="20"/>
                <w:szCs w:val="20"/>
              </w:rPr>
              <w:t xml:space="preserve"> </w:t>
            </w:r>
            <w:r w:rsidRPr="00333536">
              <w:rPr>
                <w:sz w:val="20"/>
                <w:szCs w:val="20"/>
              </w:rPr>
              <w:t>practices and resources.</w:t>
            </w:r>
          </w:p>
        </w:tc>
        <w:tc>
          <w:tcPr>
            <w:tcW w:w="165"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65"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CA02FC">
            <w:pPr>
              <w:spacing w:before="60" w:after="60"/>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794" w:type="pct"/>
            <w:vAlign w:val="center"/>
          </w:tcPr>
          <w:p w:rsidR="00F6050C" w:rsidRPr="00333536" w:rsidRDefault="00D9055C" w:rsidP="00CA02FC">
            <w:pPr>
              <w:spacing w:before="60" w:after="60"/>
              <w:rPr>
                <w:sz w:val="20"/>
                <w:szCs w:val="20"/>
              </w:rPr>
            </w:pPr>
            <w:r w:rsidRPr="00333536">
              <w:rPr>
                <w:sz w:val="20"/>
                <w:szCs w:val="20"/>
              </w:rPr>
              <w:fldChar w:fldCharType="begin">
                <w:ffData>
                  <w:name w:val="Text1"/>
                  <w:enabled/>
                  <w:calcOnExit w:val="0"/>
                  <w:textInput/>
                </w:ffData>
              </w:fldChar>
            </w:r>
            <w:r w:rsidR="00F6050C" w:rsidRPr="00333536">
              <w:rPr>
                <w:sz w:val="20"/>
                <w:szCs w:val="20"/>
              </w:rPr>
              <w:instrText xml:space="preserve"> FORMTEXT </w:instrText>
            </w:r>
            <w:r w:rsidRPr="00333536">
              <w:rPr>
                <w:sz w:val="20"/>
                <w:szCs w:val="20"/>
              </w:rPr>
            </w:r>
            <w:r w:rsidRPr="00333536">
              <w:rPr>
                <w:sz w:val="20"/>
                <w:szCs w:val="20"/>
              </w:rPr>
              <w:fldChar w:fldCharType="separate"/>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Pr="00333536">
              <w:rPr>
                <w:sz w:val="20"/>
                <w:szCs w:val="20"/>
              </w:rPr>
              <w:fldChar w:fldCharType="end"/>
            </w:r>
          </w:p>
        </w:tc>
      </w:tr>
      <w:tr w:rsidR="00333536" w:rsidRPr="00333536" w:rsidTr="00F6050C">
        <w:trPr>
          <w:cantSplit/>
          <w:trHeight w:val="377"/>
        </w:trPr>
        <w:tc>
          <w:tcPr>
            <w:tcW w:w="5000" w:type="pct"/>
            <w:gridSpan w:val="11"/>
          </w:tcPr>
          <w:p w:rsidR="00F6050C" w:rsidRPr="00333536" w:rsidRDefault="00F6050C" w:rsidP="008839CC">
            <w:pPr>
              <w:spacing w:before="60"/>
              <w:rPr>
                <w:b/>
                <w:sz w:val="20"/>
                <w:szCs w:val="20"/>
              </w:rPr>
            </w:pPr>
            <w:r w:rsidRPr="00333536">
              <w:rPr>
                <w:b/>
                <w:sz w:val="20"/>
                <w:szCs w:val="20"/>
              </w:rPr>
              <w:lastRenderedPageBreak/>
              <w:t>DELIVERABLES</w:t>
            </w:r>
          </w:p>
        </w:tc>
      </w:tr>
      <w:tr w:rsidR="00333536" w:rsidRPr="00333536" w:rsidTr="00531DCE">
        <w:trPr>
          <w:cantSplit/>
          <w:trHeight w:val="872"/>
        </w:trPr>
        <w:tc>
          <w:tcPr>
            <w:tcW w:w="231" w:type="pct"/>
          </w:tcPr>
          <w:p w:rsidR="00F6050C" w:rsidRPr="00333536" w:rsidRDefault="00F6050C" w:rsidP="00B66F1C">
            <w:pPr>
              <w:spacing w:before="20" w:after="20"/>
              <w:jc w:val="center"/>
              <w:rPr>
                <w:sz w:val="17"/>
                <w:szCs w:val="17"/>
              </w:rPr>
            </w:pPr>
            <w:r w:rsidRPr="00333536">
              <w:rPr>
                <w:sz w:val="17"/>
                <w:szCs w:val="17"/>
              </w:rPr>
              <w:t>3.1.1</w:t>
            </w:r>
          </w:p>
        </w:tc>
        <w:tc>
          <w:tcPr>
            <w:tcW w:w="1851" w:type="pct"/>
          </w:tcPr>
          <w:p w:rsidR="00F6050C" w:rsidRPr="00333536" w:rsidRDefault="0080535C" w:rsidP="00313BAA">
            <w:pPr>
              <w:spacing w:before="20" w:after="20"/>
              <w:jc w:val="both"/>
              <w:rPr>
                <w:sz w:val="17"/>
                <w:szCs w:val="17"/>
              </w:rPr>
            </w:pPr>
            <w:r w:rsidRPr="00333536">
              <w:rPr>
                <w:bCs/>
                <w:sz w:val="17"/>
                <w:szCs w:val="17"/>
              </w:rPr>
              <w:t xml:space="preserve">After consulting with the Judicial Council staff by conference call to determine initial Project needs, Contractor should </w:t>
            </w:r>
            <w:r w:rsidRPr="00333536">
              <w:rPr>
                <w:sz w:val="17"/>
                <w:szCs w:val="17"/>
              </w:rPr>
              <w:t xml:space="preserve">submit a draft Strategy Document and Timeline regarding completion of all Project deliverables covered under the </w:t>
            </w:r>
            <w:r w:rsidRPr="00333536">
              <w:rPr>
                <w:bCs/>
                <w:sz w:val="17"/>
                <w:szCs w:val="17"/>
              </w:rPr>
              <w:t>Proposed Contract</w:t>
            </w:r>
            <w:r w:rsidRPr="00333536">
              <w:rPr>
                <w:sz w:val="17"/>
                <w:szCs w:val="17"/>
              </w:rPr>
              <w:t xml:space="preserve">. </w:t>
            </w:r>
            <w:r w:rsidRPr="00333536">
              <w:rPr>
                <w:bCs/>
                <w:sz w:val="17"/>
                <w:szCs w:val="17"/>
              </w:rPr>
              <w:t xml:space="preserve"> Shall occur by </w:t>
            </w:r>
            <w:r w:rsidRPr="00333536">
              <w:rPr>
                <w:b/>
                <w:bCs/>
                <w:sz w:val="17"/>
                <w:szCs w:val="17"/>
              </w:rPr>
              <w:t>June 29, 2018</w:t>
            </w:r>
            <w:r w:rsidR="00B8291A" w:rsidRPr="00333536">
              <w:rPr>
                <w:sz w:val="17"/>
                <w:szCs w:val="17"/>
              </w:rPr>
              <w:t>.</w:t>
            </w:r>
          </w:p>
        </w:tc>
        <w:tc>
          <w:tcPr>
            <w:tcW w:w="165" w:type="pct"/>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65" w:type="pct"/>
            <w:vAlign w:val="center"/>
          </w:tcPr>
          <w:p w:rsidR="00F6050C" w:rsidRPr="00333536" w:rsidRDefault="00D9055C" w:rsidP="00F23A50">
            <w:pPr>
              <w:jc w:val="center"/>
              <w:rPr>
                <w:sz w:val="20"/>
                <w:szCs w:val="20"/>
              </w:rPr>
            </w:pPr>
            <w:r w:rsidRPr="00333536">
              <w:rPr>
                <w:sz w:val="20"/>
                <w:szCs w:val="20"/>
              </w:rPr>
              <w:fldChar w:fldCharType="begin">
                <w:ffData>
                  <w:name w:val="Check1"/>
                  <w:enabled/>
                  <w:calcOnExit w:val="0"/>
                  <w:checkBox>
                    <w:sizeAuto/>
                    <w:default w:val="0"/>
                    <w:checked w:val="0"/>
                  </w:checkBox>
                </w:ffData>
              </w:fldChar>
            </w:r>
            <w:r w:rsidR="00F6050C" w:rsidRPr="00333536">
              <w:rPr>
                <w:sz w:val="20"/>
                <w:szCs w:val="20"/>
              </w:rPr>
              <w:instrText xml:space="preserve"> FORMCHECKBOX </w:instrText>
            </w:r>
            <w:r w:rsidR="00EE2F31">
              <w:rPr>
                <w:sz w:val="20"/>
                <w:szCs w:val="20"/>
              </w:rPr>
            </w:r>
            <w:r w:rsidR="00EE2F31">
              <w:rPr>
                <w:sz w:val="20"/>
                <w:szCs w:val="20"/>
              </w:rPr>
              <w:fldChar w:fldCharType="separate"/>
            </w:r>
            <w:r w:rsidRPr="00333536">
              <w:rPr>
                <w:sz w:val="20"/>
                <w:szCs w:val="20"/>
              </w:rPr>
              <w:fldChar w:fldCharType="end"/>
            </w:r>
          </w:p>
        </w:tc>
        <w:tc>
          <w:tcPr>
            <w:tcW w:w="133"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232E74">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794" w:type="pct"/>
            <w:vAlign w:val="center"/>
          </w:tcPr>
          <w:p w:rsidR="00F6050C" w:rsidRPr="00333536" w:rsidRDefault="00D9055C" w:rsidP="005C68FF">
            <w:pPr>
              <w:rPr>
                <w:sz w:val="20"/>
                <w:szCs w:val="20"/>
              </w:rPr>
            </w:pPr>
            <w:r w:rsidRPr="00333536">
              <w:rPr>
                <w:sz w:val="20"/>
                <w:szCs w:val="20"/>
              </w:rPr>
              <w:fldChar w:fldCharType="begin">
                <w:ffData>
                  <w:name w:val="Text1"/>
                  <w:enabled/>
                  <w:calcOnExit w:val="0"/>
                  <w:textInput/>
                </w:ffData>
              </w:fldChar>
            </w:r>
            <w:r w:rsidR="00F6050C" w:rsidRPr="00333536">
              <w:rPr>
                <w:sz w:val="20"/>
                <w:szCs w:val="20"/>
              </w:rPr>
              <w:instrText xml:space="preserve"> FORMTEXT </w:instrText>
            </w:r>
            <w:r w:rsidRPr="00333536">
              <w:rPr>
                <w:sz w:val="20"/>
                <w:szCs w:val="20"/>
              </w:rPr>
            </w:r>
            <w:r w:rsidRPr="00333536">
              <w:rPr>
                <w:sz w:val="20"/>
                <w:szCs w:val="20"/>
              </w:rPr>
              <w:fldChar w:fldCharType="separate"/>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Pr="00333536">
              <w:rPr>
                <w:sz w:val="20"/>
                <w:szCs w:val="20"/>
              </w:rPr>
              <w:fldChar w:fldCharType="end"/>
            </w:r>
          </w:p>
        </w:tc>
      </w:tr>
      <w:tr w:rsidR="00333536" w:rsidRPr="00333536" w:rsidTr="00E01955">
        <w:trPr>
          <w:cantSplit/>
        </w:trPr>
        <w:tc>
          <w:tcPr>
            <w:tcW w:w="231" w:type="pct"/>
          </w:tcPr>
          <w:p w:rsidR="00F6050C" w:rsidRPr="00333536" w:rsidRDefault="00F6050C" w:rsidP="00B66F1C">
            <w:pPr>
              <w:spacing w:before="20" w:after="20"/>
              <w:jc w:val="center"/>
              <w:rPr>
                <w:sz w:val="17"/>
                <w:szCs w:val="17"/>
              </w:rPr>
            </w:pPr>
            <w:r w:rsidRPr="00333536">
              <w:rPr>
                <w:sz w:val="17"/>
                <w:szCs w:val="17"/>
              </w:rPr>
              <w:t>3.1.2</w:t>
            </w:r>
          </w:p>
        </w:tc>
        <w:tc>
          <w:tcPr>
            <w:tcW w:w="1851" w:type="pct"/>
          </w:tcPr>
          <w:p w:rsidR="0080535C" w:rsidRPr="00333536" w:rsidRDefault="0080535C" w:rsidP="00137C75">
            <w:pPr>
              <w:spacing w:before="20" w:after="20"/>
              <w:jc w:val="both"/>
              <w:rPr>
                <w:sz w:val="17"/>
                <w:szCs w:val="17"/>
              </w:rPr>
            </w:pPr>
            <w:r w:rsidRPr="00333536">
              <w:rPr>
                <w:sz w:val="17"/>
                <w:szCs w:val="17"/>
              </w:rPr>
              <w:t xml:space="preserve">By this date, Contractor to meet by </w:t>
            </w:r>
            <w:r w:rsidRPr="00333536">
              <w:rPr>
                <w:bCs/>
                <w:sz w:val="17"/>
                <w:szCs w:val="17"/>
              </w:rPr>
              <w:t>conference call</w:t>
            </w:r>
            <w:r w:rsidRPr="00333536">
              <w:rPr>
                <w:sz w:val="17"/>
                <w:szCs w:val="17"/>
              </w:rPr>
              <w:t xml:space="preserve"> with the Task Force’s Budget and LAP Monitoring Subcommi</w:t>
            </w:r>
            <w:r w:rsidR="00137C75" w:rsidRPr="00333536">
              <w:rPr>
                <w:sz w:val="17"/>
                <w:szCs w:val="17"/>
              </w:rPr>
              <w:t>ttee and Judicial Council staff</w:t>
            </w:r>
            <w:r w:rsidR="00137C75" w:rsidRPr="00333536">
              <w:rPr>
                <w:sz w:val="17"/>
                <w:szCs w:val="17"/>
              </w:rPr>
              <w:br/>
            </w:r>
            <w:r w:rsidRPr="00333536">
              <w:rPr>
                <w:sz w:val="17"/>
                <w:szCs w:val="17"/>
              </w:rPr>
              <w:t>to discuss the draft Strategy D</w:t>
            </w:r>
            <w:r w:rsidR="00137C75" w:rsidRPr="00333536">
              <w:rPr>
                <w:sz w:val="17"/>
                <w:szCs w:val="17"/>
              </w:rPr>
              <w:t xml:space="preserve">ocument and Timeline, </w:t>
            </w:r>
            <w:proofErr w:type="spellStart"/>
            <w:r w:rsidR="00137C75" w:rsidRPr="00333536">
              <w:rPr>
                <w:sz w:val="17"/>
                <w:szCs w:val="17"/>
              </w:rPr>
              <w:t>includ</w:t>
            </w:r>
            <w:proofErr w:type="spellEnd"/>
            <w:r w:rsidR="00137C75" w:rsidRPr="00333536">
              <w:rPr>
                <w:sz w:val="17"/>
                <w:szCs w:val="17"/>
              </w:rPr>
              <w:t>-</w:t>
            </w:r>
            <w:r w:rsidR="00137C75" w:rsidRPr="00333536">
              <w:rPr>
                <w:sz w:val="17"/>
                <w:szCs w:val="17"/>
              </w:rPr>
              <w:br/>
            </w:r>
            <w:proofErr w:type="spellStart"/>
            <w:r w:rsidR="00137C75" w:rsidRPr="00333536">
              <w:rPr>
                <w:sz w:val="17"/>
                <w:szCs w:val="17"/>
              </w:rPr>
              <w:t>ing</w:t>
            </w:r>
            <w:proofErr w:type="spellEnd"/>
            <w:r w:rsidR="00137C75" w:rsidRPr="00333536">
              <w:rPr>
                <w:sz w:val="17"/>
                <w:szCs w:val="17"/>
              </w:rPr>
              <w:t xml:space="preserve"> </w:t>
            </w:r>
            <w:r w:rsidRPr="00333536">
              <w:rPr>
                <w:sz w:val="17"/>
                <w:szCs w:val="17"/>
              </w:rPr>
              <w:t>the proposed Public Outreach Campaign for LEP Court Users (statewide strategy, messaging to target audiences, m</w:t>
            </w:r>
            <w:r w:rsidR="00137C75" w:rsidRPr="00333536">
              <w:rPr>
                <w:sz w:val="17"/>
                <w:szCs w:val="17"/>
              </w:rPr>
              <w:t>ultilingual</w:t>
            </w:r>
            <w:r w:rsidR="00137C75" w:rsidRPr="00333536">
              <w:rPr>
                <w:sz w:val="17"/>
                <w:szCs w:val="17"/>
              </w:rPr>
              <w:br/>
              <w:t xml:space="preserve">print and non-print </w:t>
            </w:r>
            <w:r w:rsidRPr="00333536">
              <w:rPr>
                <w:sz w:val="17"/>
                <w:szCs w:val="17"/>
              </w:rPr>
              <w:t>mate</w:t>
            </w:r>
            <w:r w:rsidR="00C64584" w:rsidRPr="00333536">
              <w:rPr>
                <w:sz w:val="17"/>
                <w:szCs w:val="17"/>
              </w:rPr>
              <w:t>rials, including notices, signs</w:t>
            </w:r>
            <w:r w:rsidR="00C64584" w:rsidRPr="00333536">
              <w:rPr>
                <w:sz w:val="17"/>
                <w:szCs w:val="17"/>
              </w:rPr>
              <w:br/>
            </w:r>
            <w:r w:rsidRPr="00333536">
              <w:rPr>
                <w:sz w:val="17"/>
                <w:szCs w:val="17"/>
              </w:rPr>
              <w:t xml:space="preserve">and recordings).  Based on subcommittee and Judicial </w:t>
            </w:r>
            <w:r w:rsidR="00313BAA" w:rsidRPr="00333536">
              <w:rPr>
                <w:sz w:val="17"/>
                <w:szCs w:val="17"/>
              </w:rPr>
              <w:t>Council staff input, Contractor</w:t>
            </w:r>
            <w:r w:rsidR="00C64584" w:rsidRPr="00333536">
              <w:rPr>
                <w:sz w:val="17"/>
                <w:szCs w:val="17"/>
              </w:rPr>
              <w:t xml:space="preserve"> </w:t>
            </w:r>
            <w:r w:rsidRPr="00333536">
              <w:rPr>
                <w:sz w:val="17"/>
                <w:szCs w:val="17"/>
              </w:rPr>
              <w:t>to prepare a revised Strategy Document and Time</w:t>
            </w:r>
            <w:r w:rsidR="009E0D9A" w:rsidRPr="00333536">
              <w:rPr>
                <w:sz w:val="17"/>
                <w:szCs w:val="17"/>
              </w:rPr>
              <w:t>-</w:t>
            </w:r>
            <w:r w:rsidR="009E0D9A" w:rsidRPr="00333536">
              <w:rPr>
                <w:sz w:val="17"/>
                <w:szCs w:val="17"/>
              </w:rPr>
              <w:br/>
            </w:r>
            <w:r w:rsidRPr="00333536">
              <w:rPr>
                <w:sz w:val="17"/>
                <w:szCs w:val="17"/>
              </w:rPr>
              <w:t xml:space="preserve">line regarding the Public Outreach Campaign.  </w:t>
            </w:r>
            <w:r w:rsidR="009E0D9A" w:rsidRPr="00333536">
              <w:rPr>
                <w:iCs/>
                <w:noProof/>
                <w:sz w:val="17"/>
                <w:szCs w:val="17"/>
              </w:rPr>
              <w:t>Shall occur by</w:t>
            </w:r>
            <w:r w:rsidR="009E0D9A" w:rsidRPr="00333536">
              <w:rPr>
                <w:iCs/>
                <w:noProof/>
                <w:sz w:val="17"/>
                <w:szCs w:val="17"/>
              </w:rPr>
              <w:br/>
            </w:r>
            <w:r w:rsidRPr="00333536">
              <w:rPr>
                <w:b/>
                <w:iCs/>
                <w:noProof/>
                <w:sz w:val="17"/>
                <w:szCs w:val="17"/>
              </w:rPr>
              <w:t>August 31, 2018</w:t>
            </w:r>
            <w:r w:rsidRPr="00333536">
              <w:rPr>
                <w:iCs/>
                <w:noProof/>
                <w:sz w:val="17"/>
                <w:szCs w:val="17"/>
              </w:rPr>
              <w:t>.</w:t>
            </w:r>
          </w:p>
        </w:tc>
        <w:tc>
          <w:tcPr>
            <w:tcW w:w="165" w:type="pct"/>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65" w:type="pct"/>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232E74">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794" w:type="pct"/>
            <w:vAlign w:val="center"/>
          </w:tcPr>
          <w:p w:rsidR="00F6050C" w:rsidRPr="00333536" w:rsidRDefault="00D9055C" w:rsidP="005C68FF">
            <w:pPr>
              <w:rPr>
                <w:sz w:val="20"/>
                <w:szCs w:val="20"/>
              </w:rPr>
            </w:pPr>
            <w:r w:rsidRPr="00333536">
              <w:rPr>
                <w:sz w:val="20"/>
                <w:szCs w:val="20"/>
              </w:rPr>
              <w:fldChar w:fldCharType="begin">
                <w:ffData>
                  <w:name w:val="Text1"/>
                  <w:enabled/>
                  <w:calcOnExit w:val="0"/>
                  <w:textInput/>
                </w:ffData>
              </w:fldChar>
            </w:r>
            <w:r w:rsidR="00F6050C" w:rsidRPr="00333536">
              <w:rPr>
                <w:sz w:val="20"/>
                <w:szCs w:val="20"/>
              </w:rPr>
              <w:instrText xml:space="preserve"> FORMTEXT </w:instrText>
            </w:r>
            <w:r w:rsidRPr="00333536">
              <w:rPr>
                <w:sz w:val="20"/>
                <w:szCs w:val="20"/>
              </w:rPr>
            </w:r>
            <w:r w:rsidRPr="00333536">
              <w:rPr>
                <w:sz w:val="20"/>
                <w:szCs w:val="20"/>
              </w:rPr>
              <w:fldChar w:fldCharType="separate"/>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Pr="00333536">
              <w:rPr>
                <w:sz w:val="20"/>
                <w:szCs w:val="20"/>
              </w:rPr>
              <w:fldChar w:fldCharType="end"/>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p>
        </w:tc>
      </w:tr>
      <w:tr w:rsidR="00333536" w:rsidRPr="00333536" w:rsidTr="00E01955">
        <w:trPr>
          <w:cantSplit/>
          <w:trHeight w:val="377"/>
        </w:trPr>
        <w:tc>
          <w:tcPr>
            <w:tcW w:w="231" w:type="pct"/>
          </w:tcPr>
          <w:p w:rsidR="00F6050C" w:rsidRPr="00333536" w:rsidRDefault="00F6050C" w:rsidP="00B66F1C">
            <w:pPr>
              <w:spacing w:before="20" w:after="20"/>
              <w:jc w:val="center"/>
              <w:rPr>
                <w:sz w:val="17"/>
                <w:szCs w:val="17"/>
              </w:rPr>
            </w:pPr>
            <w:r w:rsidRPr="00333536">
              <w:rPr>
                <w:sz w:val="17"/>
                <w:szCs w:val="17"/>
              </w:rPr>
              <w:t>3.1.3</w:t>
            </w:r>
          </w:p>
        </w:tc>
        <w:tc>
          <w:tcPr>
            <w:tcW w:w="1851" w:type="pct"/>
          </w:tcPr>
          <w:p w:rsidR="00F6050C" w:rsidRPr="00333536" w:rsidRDefault="00D20B88" w:rsidP="00531DCE">
            <w:pPr>
              <w:keepNext/>
              <w:spacing w:after="60"/>
              <w:jc w:val="both"/>
              <w:rPr>
                <w:sz w:val="17"/>
                <w:szCs w:val="17"/>
              </w:rPr>
            </w:pPr>
            <w:r w:rsidRPr="00333536">
              <w:rPr>
                <w:sz w:val="17"/>
                <w:szCs w:val="17"/>
              </w:rPr>
              <w:t xml:space="preserve">By this date, Contractor to meet by </w:t>
            </w:r>
            <w:r w:rsidRPr="00333536">
              <w:rPr>
                <w:bCs/>
                <w:sz w:val="17"/>
                <w:szCs w:val="17"/>
              </w:rPr>
              <w:t>conference call</w:t>
            </w:r>
            <w:r w:rsidRPr="00333536">
              <w:rPr>
                <w:sz w:val="17"/>
                <w:szCs w:val="17"/>
              </w:rPr>
              <w:t xml:space="preserve"> with the Task Force’s Translation, Signage and Tools for Courts Subcommittee and Judicial Council staff to discuss the draft Strategy Document and Timeline, including the proposed build out of the Language Access Toolkit (improved organization and delivery of content, creation of a glossary, and creation of modules for LEP court users), and identify the two new videos to be created for LEP court users.  Under this Project, </w:t>
            </w:r>
            <w:r w:rsidRPr="00333536">
              <w:rPr>
                <w:bCs/>
                <w:sz w:val="17"/>
                <w:szCs w:val="17"/>
              </w:rPr>
              <w:t>Contractor</w:t>
            </w:r>
            <w:r w:rsidRPr="00333536">
              <w:rPr>
                <w:sz w:val="17"/>
                <w:szCs w:val="17"/>
              </w:rPr>
              <w:t xml:space="preserve">, will develop a new module for LEP Court Users for the Language Access Toolkit.  This module should include a multilingual video or graphic interface to direct court users to content or court resources in their language, and should include a LEP Video Center for the Toolkit to educate LEP court users on court practices.  As part of this Toolkit buildout, the Contractor will also develop and submit to the Judicial Council two new videos for LEP Court Users (subject matter of videos to be identified in consultation with Task Force staff; text of videos to be translated into 8 languages), along with a multilingual glossary of common language access terms.  Based on subcommittee and Judicial Council staff input, Contractor to prepare a revised Strategy Document and Timeline regarding completion of the Language Access Toolkit build-out.  </w:t>
            </w:r>
            <w:r w:rsidRPr="00333536">
              <w:rPr>
                <w:bCs/>
                <w:sz w:val="17"/>
                <w:szCs w:val="17"/>
              </w:rPr>
              <w:t xml:space="preserve">Shall occur by </w:t>
            </w:r>
            <w:r w:rsidRPr="00333536">
              <w:rPr>
                <w:b/>
                <w:bCs/>
                <w:sz w:val="17"/>
                <w:szCs w:val="17"/>
              </w:rPr>
              <w:t>August 31, 2018</w:t>
            </w:r>
            <w:r w:rsidRPr="00333536">
              <w:rPr>
                <w:bCs/>
                <w:sz w:val="17"/>
                <w:szCs w:val="17"/>
              </w:rPr>
              <w:t>.</w:t>
            </w:r>
          </w:p>
        </w:tc>
        <w:tc>
          <w:tcPr>
            <w:tcW w:w="165" w:type="pct"/>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65" w:type="pct"/>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232E74">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794" w:type="pct"/>
            <w:vAlign w:val="center"/>
          </w:tcPr>
          <w:p w:rsidR="00F6050C" w:rsidRPr="00333536" w:rsidRDefault="00D9055C" w:rsidP="005C68FF">
            <w:pPr>
              <w:rPr>
                <w:sz w:val="20"/>
                <w:szCs w:val="20"/>
              </w:rPr>
            </w:pPr>
            <w:r w:rsidRPr="00333536">
              <w:rPr>
                <w:sz w:val="20"/>
                <w:szCs w:val="20"/>
              </w:rPr>
              <w:fldChar w:fldCharType="begin">
                <w:ffData>
                  <w:name w:val="Text1"/>
                  <w:enabled/>
                  <w:calcOnExit w:val="0"/>
                  <w:textInput/>
                </w:ffData>
              </w:fldChar>
            </w:r>
            <w:r w:rsidR="00F6050C" w:rsidRPr="00333536">
              <w:rPr>
                <w:sz w:val="20"/>
                <w:szCs w:val="20"/>
              </w:rPr>
              <w:instrText xml:space="preserve"> FORMTEXT </w:instrText>
            </w:r>
            <w:r w:rsidRPr="00333536">
              <w:rPr>
                <w:sz w:val="20"/>
                <w:szCs w:val="20"/>
              </w:rPr>
            </w:r>
            <w:r w:rsidRPr="00333536">
              <w:rPr>
                <w:sz w:val="20"/>
                <w:szCs w:val="20"/>
              </w:rPr>
              <w:fldChar w:fldCharType="separate"/>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Pr="00333536">
              <w:rPr>
                <w:sz w:val="20"/>
                <w:szCs w:val="20"/>
              </w:rPr>
              <w:fldChar w:fldCharType="end"/>
            </w:r>
          </w:p>
        </w:tc>
      </w:tr>
      <w:tr w:rsidR="00333536" w:rsidRPr="00333536" w:rsidTr="00E01955">
        <w:trPr>
          <w:cantSplit/>
        </w:trPr>
        <w:tc>
          <w:tcPr>
            <w:tcW w:w="231" w:type="pct"/>
          </w:tcPr>
          <w:p w:rsidR="00F6050C" w:rsidRPr="00333536" w:rsidRDefault="00F6050C" w:rsidP="0048095E">
            <w:pPr>
              <w:spacing w:before="60" w:after="60"/>
              <w:jc w:val="center"/>
              <w:rPr>
                <w:sz w:val="20"/>
                <w:szCs w:val="20"/>
              </w:rPr>
            </w:pPr>
            <w:r w:rsidRPr="00333536">
              <w:rPr>
                <w:sz w:val="20"/>
                <w:szCs w:val="20"/>
              </w:rPr>
              <w:lastRenderedPageBreak/>
              <w:t>3.1.4</w:t>
            </w:r>
          </w:p>
        </w:tc>
        <w:tc>
          <w:tcPr>
            <w:tcW w:w="1851" w:type="pct"/>
          </w:tcPr>
          <w:p w:rsidR="00D20B88" w:rsidRPr="00333536" w:rsidRDefault="00D20B88" w:rsidP="0048095E">
            <w:pPr>
              <w:spacing w:before="60" w:after="60"/>
              <w:jc w:val="both"/>
              <w:rPr>
                <w:sz w:val="20"/>
                <w:szCs w:val="20"/>
              </w:rPr>
            </w:pPr>
            <w:r w:rsidRPr="00333536">
              <w:rPr>
                <w:sz w:val="20"/>
                <w:szCs w:val="20"/>
              </w:rPr>
              <w:t xml:space="preserve">By this date, Contractor to meet by </w:t>
            </w:r>
            <w:r w:rsidRPr="00333536">
              <w:rPr>
                <w:bCs/>
                <w:sz w:val="20"/>
                <w:szCs w:val="20"/>
              </w:rPr>
              <w:t>conference call</w:t>
            </w:r>
            <w:r w:rsidRPr="00333536">
              <w:rPr>
                <w:sz w:val="20"/>
                <w:szCs w:val="20"/>
              </w:rPr>
              <w:t xml:space="preserve"> with the Task Force’s Technological Solutions Subcommittee and Judicial Council staff to discuss the proposed web-based VRI Resource Center, and assistance to establish VRI Technical Standards for Courts.  Based on subcommittee and Judicial Council staff input, Contractor to prepare a revised Strategy Document and Timeline regarding completion of the web-based VRI Resour</w:t>
            </w:r>
            <w:r w:rsidR="00851EF9" w:rsidRPr="00333536">
              <w:rPr>
                <w:sz w:val="20"/>
                <w:szCs w:val="20"/>
              </w:rPr>
              <w:t>ce Center, and establishment of</w:t>
            </w:r>
            <w:r w:rsidR="00851EF9" w:rsidRPr="00333536">
              <w:rPr>
                <w:sz w:val="20"/>
                <w:szCs w:val="20"/>
              </w:rPr>
              <w:br/>
            </w:r>
            <w:r w:rsidRPr="00333536">
              <w:rPr>
                <w:sz w:val="20"/>
                <w:szCs w:val="20"/>
              </w:rPr>
              <w:t>VRI Technical Standards for Courts.</w:t>
            </w:r>
            <w:r w:rsidRPr="00333536">
              <w:rPr>
                <w:bCs/>
                <w:sz w:val="20"/>
                <w:szCs w:val="20"/>
              </w:rPr>
              <w:t xml:space="preserve">  Shal</w:t>
            </w:r>
            <w:r w:rsidR="00851EF9" w:rsidRPr="00333536">
              <w:rPr>
                <w:bCs/>
                <w:sz w:val="20"/>
                <w:szCs w:val="20"/>
              </w:rPr>
              <w:t>l occur by</w:t>
            </w:r>
            <w:r w:rsidR="00851EF9" w:rsidRPr="00333536">
              <w:rPr>
                <w:bCs/>
                <w:sz w:val="20"/>
                <w:szCs w:val="20"/>
              </w:rPr>
              <w:br/>
            </w:r>
            <w:r w:rsidRPr="00333536">
              <w:rPr>
                <w:b/>
                <w:bCs/>
                <w:sz w:val="20"/>
                <w:szCs w:val="20"/>
              </w:rPr>
              <w:t>August 31, 2018</w:t>
            </w:r>
            <w:r w:rsidRPr="00333536">
              <w:rPr>
                <w:bCs/>
                <w:sz w:val="20"/>
                <w:szCs w:val="20"/>
              </w:rPr>
              <w:t>.</w:t>
            </w:r>
          </w:p>
        </w:tc>
        <w:tc>
          <w:tcPr>
            <w:tcW w:w="165" w:type="pct"/>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65" w:type="pct"/>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232E74">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794" w:type="pct"/>
            <w:vAlign w:val="center"/>
          </w:tcPr>
          <w:p w:rsidR="00F6050C" w:rsidRPr="00333536" w:rsidRDefault="00D9055C" w:rsidP="005C68FF">
            <w:pPr>
              <w:rPr>
                <w:sz w:val="20"/>
                <w:szCs w:val="20"/>
              </w:rPr>
            </w:pPr>
            <w:r w:rsidRPr="00333536">
              <w:rPr>
                <w:sz w:val="20"/>
                <w:szCs w:val="20"/>
              </w:rPr>
              <w:fldChar w:fldCharType="begin">
                <w:ffData>
                  <w:name w:val="Text1"/>
                  <w:enabled/>
                  <w:calcOnExit w:val="0"/>
                  <w:textInput/>
                </w:ffData>
              </w:fldChar>
            </w:r>
            <w:r w:rsidR="00F6050C" w:rsidRPr="00333536">
              <w:rPr>
                <w:sz w:val="20"/>
                <w:szCs w:val="20"/>
              </w:rPr>
              <w:instrText xml:space="preserve"> FORMTEXT </w:instrText>
            </w:r>
            <w:r w:rsidRPr="00333536">
              <w:rPr>
                <w:sz w:val="20"/>
                <w:szCs w:val="20"/>
              </w:rPr>
            </w:r>
            <w:r w:rsidRPr="00333536">
              <w:rPr>
                <w:sz w:val="20"/>
                <w:szCs w:val="20"/>
              </w:rPr>
              <w:fldChar w:fldCharType="separate"/>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Pr="00333536">
              <w:rPr>
                <w:sz w:val="20"/>
                <w:szCs w:val="20"/>
              </w:rPr>
              <w:fldChar w:fldCharType="end"/>
            </w:r>
          </w:p>
        </w:tc>
      </w:tr>
      <w:tr w:rsidR="00333536" w:rsidRPr="00333536" w:rsidTr="00E01955">
        <w:trPr>
          <w:cantSplit/>
          <w:trHeight w:val="413"/>
        </w:trPr>
        <w:tc>
          <w:tcPr>
            <w:tcW w:w="231" w:type="pct"/>
          </w:tcPr>
          <w:p w:rsidR="00F6050C" w:rsidRPr="00333536" w:rsidRDefault="00F6050C" w:rsidP="0048095E">
            <w:pPr>
              <w:spacing w:before="60" w:after="60"/>
              <w:jc w:val="center"/>
              <w:rPr>
                <w:sz w:val="20"/>
                <w:szCs w:val="20"/>
              </w:rPr>
            </w:pPr>
            <w:r w:rsidRPr="00333536">
              <w:rPr>
                <w:sz w:val="20"/>
                <w:szCs w:val="20"/>
              </w:rPr>
              <w:t>3.1.5</w:t>
            </w:r>
          </w:p>
        </w:tc>
        <w:tc>
          <w:tcPr>
            <w:tcW w:w="1851" w:type="pct"/>
          </w:tcPr>
          <w:p w:rsidR="00F6050C" w:rsidRPr="00333536" w:rsidRDefault="00D20B88" w:rsidP="0048095E">
            <w:pPr>
              <w:spacing w:before="60" w:after="60"/>
              <w:jc w:val="both"/>
              <w:rPr>
                <w:sz w:val="20"/>
                <w:szCs w:val="20"/>
              </w:rPr>
            </w:pPr>
            <w:r w:rsidRPr="00333536">
              <w:rPr>
                <w:sz w:val="20"/>
                <w:szCs w:val="20"/>
              </w:rPr>
              <w:t>By this date, contractor to pr</w:t>
            </w:r>
            <w:r w:rsidR="00851EF9" w:rsidRPr="00333536">
              <w:rPr>
                <w:sz w:val="20"/>
                <w:szCs w:val="20"/>
              </w:rPr>
              <w:t>ovide the Judicial Council with</w:t>
            </w:r>
            <w:r w:rsidR="00851EF9" w:rsidRPr="00333536">
              <w:rPr>
                <w:sz w:val="20"/>
                <w:szCs w:val="20"/>
              </w:rPr>
              <w:br/>
            </w:r>
            <w:r w:rsidRPr="00333536">
              <w:rPr>
                <w:sz w:val="20"/>
                <w:szCs w:val="20"/>
              </w:rPr>
              <w:t xml:space="preserve">a proposal regarding how to implement the online course regarding court interpreters in </w:t>
            </w:r>
            <w:r w:rsidR="00851EF9" w:rsidRPr="00333536">
              <w:rPr>
                <w:sz w:val="20"/>
                <w:szCs w:val="20"/>
              </w:rPr>
              <w:t xml:space="preserve">civil cases, including </w:t>
            </w:r>
            <w:proofErr w:type="spellStart"/>
            <w:r w:rsidR="00851EF9" w:rsidRPr="00333536">
              <w:rPr>
                <w:sz w:val="20"/>
                <w:szCs w:val="20"/>
              </w:rPr>
              <w:t>crea</w:t>
            </w:r>
            <w:proofErr w:type="spellEnd"/>
            <w:r w:rsidR="00851EF9" w:rsidRPr="00333536">
              <w:rPr>
                <w:sz w:val="20"/>
                <w:szCs w:val="20"/>
              </w:rPr>
              <w:t>-</w:t>
            </w:r>
            <w:r w:rsidR="00851EF9" w:rsidRPr="00333536">
              <w:rPr>
                <w:sz w:val="20"/>
                <w:szCs w:val="20"/>
              </w:rPr>
              <w:br/>
            </w:r>
            <w:proofErr w:type="spellStart"/>
            <w:r w:rsidR="00851EF9" w:rsidRPr="00333536">
              <w:rPr>
                <w:sz w:val="20"/>
                <w:szCs w:val="20"/>
              </w:rPr>
              <w:t>tion</w:t>
            </w:r>
            <w:proofErr w:type="spellEnd"/>
            <w:r w:rsidR="00851EF9" w:rsidRPr="00333536">
              <w:rPr>
                <w:sz w:val="20"/>
                <w:szCs w:val="20"/>
              </w:rPr>
              <w:t xml:space="preserve"> </w:t>
            </w:r>
            <w:r w:rsidRPr="00333536">
              <w:rPr>
                <w:sz w:val="20"/>
                <w:szCs w:val="20"/>
              </w:rPr>
              <w:t xml:space="preserve">of online modules by Contractor. </w:t>
            </w:r>
            <w:r w:rsidR="00851EF9" w:rsidRPr="00333536">
              <w:rPr>
                <w:bCs/>
                <w:sz w:val="20"/>
                <w:szCs w:val="20"/>
              </w:rPr>
              <w:t xml:space="preserve"> Shall occur by</w:t>
            </w:r>
            <w:r w:rsidR="00851EF9" w:rsidRPr="00333536">
              <w:rPr>
                <w:bCs/>
                <w:sz w:val="20"/>
                <w:szCs w:val="20"/>
              </w:rPr>
              <w:br/>
            </w:r>
            <w:r w:rsidRPr="00333536">
              <w:rPr>
                <w:b/>
                <w:bCs/>
                <w:sz w:val="20"/>
                <w:szCs w:val="20"/>
              </w:rPr>
              <w:t>September 28, 2018</w:t>
            </w:r>
            <w:r w:rsidRPr="00333536">
              <w:rPr>
                <w:bCs/>
                <w:sz w:val="20"/>
                <w:szCs w:val="20"/>
              </w:rPr>
              <w:t>.</w:t>
            </w:r>
          </w:p>
        </w:tc>
        <w:tc>
          <w:tcPr>
            <w:tcW w:w="165" w:type="pct"/>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65" w:type="pct"/>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232E74">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794" w:type="pct"/>
            <w:vAlign w:val="center"/>
          </w:tcPr>
          <w:p w:rsidR="00F6050C" w:rsidRPr="00333536" w:rsidRDefault="00D9055C" w:rsidP="005C68FF">
            <w:pPr>
              <w:rPr>
                <w:sz w:val="20"/>
                <w:szCs w:val="20"/>
              </w:rPr>
            </w:pPr>
            <w:r w:rsidRPr="00333536">
              <w:rPr>
                <w:sz w:val="20"/>
                <w:szCs w:val="20"/>
              </w:rPr>
              <w:fldChar w:fldCharType="begin">
                <w:ffData>
                  <w:name w:val="Text1"/>
                  <w:enabled/>
                  <w:calcOnExit w:val="0"/>
                  <w:textInput/>
                </w:ffData>
              </w:fldChar>
            </w:r>
            <w:r w:rsidR="00F6050C" w:rsidRPr="00333536">
              <w:rPr>
                <w:sz w:val="20"/>
                <w:szCs w:val="20"/>
              </w:rPr>
              <w:instrText xml:space="preserve"> FORMTEXT </w:instrText>
            </w:r>
            <w:r w:rsidRPr="00333536">
              <w:rPr>
                <w:sz w:val="20"/>
                <w:szCs w:val="20"/>
              </w:rPr>
            </w:r>
            <w:r w:rsidRPr="00333536">
              <w:rPr>
                <w:sz w:val="20"/>
                <w:szCs w:val="20"/>
              </w:rPr>
              <w:fldChar w:fldCharType="separate"/>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Pr="00333536">
              <w:rPr>
                <w:sz w:val="20"/>
                <w:szCs w:val="20"/>
              </w:rPr>
              <w:fldChar w:fldCharType="end"/>
            </w:r>
          </w:p>
        </w:tc>
      </w:tr>
      <w:tr w:rsidR="00333536" w:rsidRPr="00333536" w:rsidTr="00E01955">
        <w:trPr>
          <w:cantSplit/>
        </w:trPr>
        <w:tc>
          <w:tcPr>
            <w:tcW w:w="231" w:type="pct"/>
          </w:tcPr>
          <w:p w:rsidR="00F6050C" w:rsidRPr="00333536" w:rsidRDefault="00F6050C" w:rsidP="0048095E">
            <w:pPr>
              <w:spacing w:before="60" w:after="60"/>
              <w:jc w:val="center"/>
              <w:rPr>
                <w:sz w:val="20"/>
                <w:szCs w:val="20"/>
              </w:rPr>
            </w:pPr>
            <w:r w:rsidRPr="00333536">
              <w:rPr>
                <w:sz w:val="20"/>
                <w:szCs w:val="20"/>
              </w:rPr>
              <w:t>3.1.6</w:t>
            </w:r>
          </w:p>
        </w:tc>
        <w:tc>
          <w:tcPr>
            <w:tcW w:w="1851" w:type="pct"/>
          </w:tcPr>
          <w:p w:rsidR="00D20B88" w:rsidRPr="00333536" w:rsidRDefault="00D20B88" w:rsidP="0048095E">
            <w:pPr>
              <w:spacing w:before="60" w:after="60"/>
              <w:jc w:val="both"/>
              <w:rPr>
                <w:sz w:val="20"/>
                <w:szCs w:val="20"/>
              </w:rPr>
            </w:pPr>
            <w:r w:rsidRPr="00333536">
              <w:rPr>
                <w:sz w:val="20"/>
                <w:szCs w:val="20"/>
              </w:rPr>
              <w:t xml:space="preserve">Based on feedback from Judicial Council staff, Contractor to submit a revised Strategy Document and Timeline regarding completion of all Project deliverables covered under the </w:t>
            </w:r>
            <w:r w:rsidRPr="00333536">
              <w:rPr>
                <w:bCs/>
                <w:sz w:val="20"/>
                <w:szCs w:val="20"/>
              </w:rPr>
              <w:t>Proposed Contract</w:t>
            </w:r>
            <w:r w:rsidRPr="00333536">
              <w:rPr>
                <w:sz w:val="20"/>
                <w:szCs w:val="20"/>
              </w:rPr>
              <w:t xml:space="preserve">.  </w:t>
            </w:r>
            <w:r w:rsidRPr="00333536">
              <w:rPr>
                <w:bCs/>
                <w:sz w:val="20"/>
                <w:szCs w:val="20"/>
              </w:rPr>
              <w:t xml:space="preserve">Shall occur by </w:t>
            </w:r>
            <w:r w:rsidRPr="00333536">
              <w:rPr>
                <w:b/>
                <w:bCs/>
                <w:sz w:val="20"/>
                <w:szCs w:val="20"/>
              </w:rPr>
              <w:t>September 28, 2018</w:t>
            </w:r>
            <w:r w:rsidRPr="00333536">
              <w:rPr>
                <w:bCs/>
                <w:sz w:val="20"/>
                <w:szCs w:val="20"/>
              </w:rPr>
              <w:t>.</w:t>
            </w:r>
          </w:p>
        </w:tc>
        <w:tc>
          <w:tcPr>
            <w:tcW w:w="165" w:type="pct"/>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65" w:type="pct"/>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232E74">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794" w:type="pct"/>
            <w:vAlign w:val="center"/>
          </w:tcPr>
          <w:p w:rsidR="00F6050C" w:rsidRPr="00333536" w:rsidRDefault="00D9055C" w:rsidP="005C68FF">
            <w:pPr>
              <w:rPr>
                <w:sz w:val="20"/>
                <w:szCs w:val="20"/>
              </w:rPr>
            </w:pPr>
            <w:r w:rsidRPr="00333536">
              <w:rPr>
                <w:sz w:val="20"/>
                <w:szCs w:val="20"/>
              </w:rPr>
              <w:fldChar w:fldCharType="begin">
                <w:ffData>
                  <w:name w:val="Text1"/>
                  <w:enabled/>
                  <w:calcOnExit w:val="0"/>
                  <w:textInput/>
                </w:ffData>
              </w:fldChar>
            </w:r>
            <w:r w:rsidR="00F6050C" w:rsidRPr="00333536">
              <w:rPr>
                <w:sz w:val="20"/>
                <w:szCs w:val="20"/>
              </w:rPr>
              <w:instrText xml:space="preserve"> FORMTEXT </w:instrText>
            </w:r>
            <w:r w:rsidRPr="00333536">
              <w:rPr>
                <w:sz w:val="20"/>
                <w:szCs w:val="20"/>
              </w:rPr>
            </w:r>
            <w:r w:rsidRPr="00333536">
              <w:rPr>
                <w:sz w:val="20"/>
                <w:szCs w:val="20"/>
              </w:rPr>
              <w:fldChar w:fldCharType="separate"/>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Pr="00333536">
              <w:rPr>
                <w:sz w:val="20"/>
                <w:szCs w:val="20"/>
              </w:rPr>
              <w:fldChar w:fldCharType="end"/>
            </w:r>
          </w:p>
        </w:tc>
      </w:tr>
      <w:tr w:rsidR="00333536" w:rsidRPr="00333536" w:rsidTr="00E01955">
        <w:trPr>
          <w:cantSplit/>
          <w:trHeight w:val="422"/>
        </w:trPr>
        <w:tc>
          <w:tcPr>
            <w:tcW w:w="231" w:type="pct"/>
          </w:tcPr>
          <w:p w:rsidR="00F6050C" w:rsidRPr="00333536" w:rsidRDefault="00F6050C" w:rsidP="0048095E">
            <w:pPr>
              <w:spacing w:before="60" w:after="60"/>
              <w:jc w:val="center"/>
              <w:rPr>
                <w:sz w:val="20"/>
                <w:szCs w:val="20"/>
              </w:rPr>
            </w:pPr>
            <w:r w:rsidRPr="00333536">
              <w:rPr>
                <w:sz w:val="20"/>
                <w:szCs w:val="20"/>
              </w:rPr>
              <w:t>3.1.7</w:t>
            </w:r>
          </w:p>
        </w:tc>
        <w:tc>
          <w:tcPr>
            <w:tcW w:w="1851" w:type="pct"/>
          </w:tcPr>
          <w:p w:rsidR="00D20B88" w:rsidRPr="00333536" w:rsidRDefault="00D20B88" w:rsidP="0048095E">
            <w:pPr>
              <w:spacing w:before="60" w:after="60"/>
              <w:jc w:val="both"/>
              <w:rPr>
                <w:sz w:val="20"/>
                <w:szCs w:val="20"/>
              </w:rPr>
            </w:pPr>
            <w:r w:rsidRPr="00333536">
              <w:rPr>
                <w:sz w:val="20"/>
                <w:szCs w:val="20"/>
              </w:rPr>
              <w:t>By this date, contractor to provide Judicial Council staff with draft materials for the proposed Public Outreach Campaign for LEP Court Users (including statewide strategy, messaging to target audiences, multilingual print and non-print materials, including notices, signs and recordings).  Contractor to also conduct a meeting, via conference call or WebEx (approximately one hour) with the Budget and LAP Monitoring Subcommittee and Judicial Council staff regard</w:t>
            </w:r>
            <w:r w:rsidR="0048095E" w:rsidRPr="00333536">
              <w:rPr>
                <w:sz w:val="20"/>
                <w:szCs w:val="20"/>
              </w:rPr>
              <w:t>-</w:t>
            </w:r>
            <w:proofErr w:type="spellStart"/>
            <w:r w:rsidRPr="00333536">
              <w:rPr>
                <w:sz w:val="20"/>
                <w:szCs w:val="20"/>
              </w:rPr>
              <w:t>ing</w:t>
            </w:r>
            <w:proofErr w:type="spellEnd"/>
            <w:r w:rsidRPr="00333536">
              <w:rPr>
                <w:sz w:val="20"/>
                <w:szCs w:val="20"/>
              </w:rPr>
              <w:t xml:space="preserve"> the draft materials and next steps.  </w:t>
            </w:r>
            <w:r w:rsidRPr="00333536">
              <w:rPr>
                <w:b/>
                <w:bCs/>
                <w:sz w:val="20"/>
                <w:szCs w:val="20"/>
              </w:rPr>
              <w:t>Shall occur by</w:t>
            </w:r>
            <w:r w:rsidR="0048095E" w:rsidRPr="00333536">
              <w:rPr>
                <w:b/>
                <w:bCs/>
                <w:sz w:val="20"/>
                <w:szCs w:val="20"/>
              </w:rPr>
              <w:br/>
            </w:r>
            <w:r w:rsidRPr="00333536">
              <w:rPr>
                <w:b/>
                <w:sz w:val="20"/>
                <w:szCs w:val="20"/>
              </w:rPr>
              <w:t>October 31, 2018/November 30, 2018</w:t>
            </w:r>
            <w:r w:rsidRPr="00333536">
              <w:rPr>
                <w:b/>
                <w:bCs/>
                <w:sz w:val="20"/>
                <w:szCs w:val="20"/>
              </w:rPr>
              <w:t>.</w:t>
            </w:r>
          </w:p>
        </w:tc>
        <w:tc>
          <w:tcPr>
            <w:tcW w:w="165" w:type="pct"/>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65" w:type="pct"/>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232E74">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794" w:type="pct"/>
            <w:vAlign w:val="center"/>
          </w:tcPr>
          <w:p w:rsidR="00F6050C" w:rsidRPr="00333536" w:rsidRDefault="00D9055C" w:rsidP="005C68FF">
            <w:pPr>
              <w:rPr>
                <w:sz w:val="20"/>
                <w:szCs w:val="20"/>
              </w:rPr>
            </w:pPr>
            <w:r w:rsidRPr="00333536">
              <w:rPr>
                <w:sz w:val="20"/>
                <w:szCs w:val="20"/>
              </w:rPr>
              <w:fldChar w:fldCharType="begin">
                <w:ffData>
                  <w:name w:val="Text1"/>
                  <w:enabled/>
                  <w:calcOnExit w:val="0"/>
                  <w:textInput/>
                </w:ffData>
              </w:fldChar>
            </w:r>
            <w:r w:rsidR="00F6050C" w:rsidRPr="00333536">
              <w:rPr>
                <w:sz w:val="20"/>
                <w:szCs w:val="20"/>
              </w:rPr>
              <w:instrText xml:space="preserve"> FORMTEXT </w:instrText>
            </w:r>
            <w:r w:rsidRPr="00333536">
              <w:rPr>
                <w:sz w:val="20"/>
                <w:szCs w:val="20"/>
              </w:rPr>
            </w:r>
            <w:r w:rsidRPr="00333536">
              <w:rPr>
                <w:sz w:val="20"/>
                <w:szCs w:val="20"/>
              </w:rPr>
              <w:fldChar w:fldCharType="separate"/>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Pr="00333536">
              <w:rPr>
                <w:sz w:val="20"/>
                <w:szCs w:val="20"/>
              </w:rPr>
              <w:fldChar w:fldCharType="end"/>
            </w:r>
          </w:p>
        </w:tc>
      </w:tr>
      <w:tr w:rsidR="00333536" w:rsidRPr="00333536" w:rsidTr="00573DB8">
        <w:trPr>
          <w:cantSplit/>
          <w:trHeight w:val="7577"/>
        </w:trPr>
        <w:tc>
          <w:tcPr>
            <w:tcW w:w="231" w:type="pct"/>
          </w:tcPr>
          <w:p w:rsidR="00F6050C" w:rsidRPr="00333536" w:rsidRDefault="00F6050C" w:rsidP="00DE2894">
            <w:pPr>
              <w:spacing w:before="20" w:after="20"/>
              <w:jc w:val="center"/>
              <w:rPr>
                <w:sz w:val="20"/>
                <w:szCs w:val="20"/>
              </w:rPr>
            </w:pPr>
            <w:r w:rsidRPr="00333536">
              <w:rPr>
                <w:sz w:val="20"/>
                <w:szCs w:val="20"/>
              </w:rPr>
              <w:lastRenderedPageBreak/>
              <w:t>3.1.8</w:t>
            </w:r>
          </w:p>
        </w:tc>
        <w:tc>
          <w:tcPr>
            <w:tcW w:w="1851" w:type="pct"/>
          </w:tcPr>
          <w:p w:rsidR="00D20B88" w:rsidRPr="00333536" w:rsidRDefault="00D20B88" w:rsidP="00573DB8">
            <w:pPr>
              <w:spacing w:before="20" w:after="20"/>
              <w:jc w:val="both"/>
              <w:rPr>
                <w:sz w:val="20"/>
                <w:szCs w:val="20"/>
              </w:rPr>
            </w:pPr>
            <w:r w:rsidRPr="00333536">
              <w:rPr>
                <w:sz w:val="20"/>
                <w:szCs w:val="20"/>
              </w:rPr>
              <w:t>By this date, Contractor to conduct a meeting, via conference call or WebEx (approximately one hour) with the Translation, Signage and Tools for Courts Subcommittee and Judicial Council staff regarding the proposed Toolkit buildout and next steps.  Contractor to also provide the Judicial Council staff with draft recommendations for the proposed build out of Language Access Toolkit, to address the following elements of the build out:</w:t>
            </w:r>
          </w:p>
          <w:p w:rsidR="00D20B88" w:rsidRPr="00333536" w:rsidRDefault="00D20B88" w:rsidP="00573DB8">
            <w:pPr>
              <w:pStyle w:val="ListParagraph"/>
              <w:numPr>
                <w:ilvl w:val="0"/>
                <w:numId w:val="6"/>
              </w:numPr>
              <w:spacing w:before="20" w:after="20"/>
              <w:ind w:left="181" w:hanging="181"/>
              <w:jc w:val="both"/>
              <w:rPr>
                <w:sz w:val="20"/>
                <w:szCs w:val="20"/>
              </w:rPr>
            </w:pPr>
            <w:r w:rsidRPr="00333536">
              <w:rPr>
                <w:sz w:val="20"/>
                <w:szCs w:val="20"/>
              </w:rPr>
              <w:t xml:space="preserve">Creation of multilingual general content and resource links for a LEP Court User module, to include a LEP Video Center on the Toolkit to educate LEP court users (content and design, including translations, to be delivered by Contractor under the </w:t>
            </w:r>
            <w:r w:rsidRPr="00333536">
              <w:rPr>
                <w:bCs/>
                <w:sz w:val="20"/>
                <w:szCs w:val="20"/>
              </w:rPr>
              <w:t>Proposed Contract</w:t>
            </w:r>
            <w:r w:rsidRPr="00333536">
              <w:rPr>
                <w:sz w:val="20"/>
                <w:szCs w:val="20"/>
              </w:rPr>
              <w:t>);</w:t>
            </w:r>
          </w:p>
          <w:p w:rsidR="00D20B88" w:rsidRPr="00333536" w:rsidRDefault="00D20B88" w:rsidP="00573DB8">
            <w:pPr>
              <w:pStyle w:val="ListParagraph"/>
              <w:keepNext/>
              <w:numPr>
                <w:ilvl w:val="0"/>
                <w:numId w:val="6"/>
              </w:numPr>
              <w:tabs>
                <w:tab w:val="left" w:pos="181"/>
              </w:tabs>
              <w:ind w:left="181" w:hanging="181"/>
              <w:contextualSpacing w:val="0"/>
              <w:jc w:val="both"/>
              <w:rPr>
                <w:sz w:val="20"/>
                <w:szCs w:val="20"/>
              </w:rPr>
            </w:pPr>
            <w:r w:rsidRPr="00333536">
              <w:rPr>
                <w:sz w:val="20"/>
                <w:szCs w:val="20"/>
              </w:rPr>
              <w:t xml:space="preserve">Creation of two new videos to assist LEP court users (to be delivered by Contractor under the </w:t>
            </w:r>
            <w:r w:rsidRPr="00333536">
              <w:rPr>
                <w:bCs/>
                <w:sz w:val="20"/>
                <w:szCs w:val="20"/>
              </w:rPr>
              <w:t>Proposed Contract</w:t>
            </w:r>
            <w:r w:rsidRPr="00333536">
              <w:rPr>
                <w:sz w:val="20"/>
                <w:szCs w:val="20"/>
              </w:rPr>
              <w:t>, including translations);</w:t>
            </w:r>
          </w:p>
          <w:p w:rsidR="00D20B88" w:rsidRPr="00333536" w:rsidRDefault="00D20B88" w:rsidP="00FA2250">
            <w:pPr>
              <w:pStyle w:val="ListParagraph"/>
              <w:keepNext/>
              <w:numPr>
                <w:ilvl w:val="0"/>
                <w:numId w:val="6"/>
              </w:numPr>
              <w:tabs>
                <w:tab w:val="left" w:pos="196"/>
              </w:tabs>
              <w:ind w:left="181" w:hanging="181"/>
              <w:contextualSpacing w:val="0"/>
              <w:jc w:val="both"/>
              <w:rPr>
                <w:bCs/>
                <w:sz w:val="20"/>
                <w:szCs w:val="20"/>
              </w:rPr>
            </w:pPr>
            <w:r w:rsidRPr="00333536">
              <w:rPr>
                <w:sz w:val="20"/>
                <w:szCs w:val="20"/>
              </w:rPr>
              <w:t xml:space="preserve">Creation or purchase of a multilingual glossary with common language access terms to assist LEP court users (to be delivered by Contractor under the </w:t>
            </w:r>
            <w:r w:rsidRPr="00333536">
              <w:rPr>
                <w:bCs/>
                <w:sz w:val="20"/>
                <w:szCs w:val="20"/>
              </w:rPr>
              <w:t>Proposed Contract</w:t>
            </w:r>
            <w:r w:rsidRPr="00333536">
              <w:rPr>
                <w:sz w:val="20"/>
                <w:szCs w:val="20"/>
              </w:rPr>
              <w:t>);</w:t>
            </w:r>
          </w:p>
          <w:p w:rsidR="00D07581" w:rsidRPr="00333536" w:rsidRDefault="00D20B88" w:rsidP="00D07581">
            <w:pPr>
              <w:pStyle w:val="ListParagraph"/>
              <w:keepNext/>
              <w:numPr>
                <w:ilvl w:val="0"/>
                <w:numId w:val="6"/>
              </w:numPr>
              <w:tabs>
                <w:tab w:val="left" w:pos="196"/>
              </w:tabs>
              <w:ind w:left="181" w:hanging="181"/>
              <w:contextualSpacing w:val="0"/>
              <w:jc w:val="both"/>
              <w:rPr>
                <w:bCs/>
                <w:sz w:val="20"/>
                <w:szCs w:val="20"/>
              </w:rPr>
            </w:pPr>
            <w:r w:rsidRPr="00333536">
              <w:rPr>
                <w:sz w:val="20"/>
                <w:szCs w:val="20"/>
              </w:rPr>
              <w:t xml:space="preserve">Report to be delivered by Contractor under the </w:t>
            </w:r>
            <w:r w:rsidRPr="00333536">
              <w:rPr>
                <w:bCs/>
                <w:sz w:val="20"/>
                <w:szCs w:val="20"/>
              </w:rPr>
              <w:t>Proposed Contract</w:t>
            </w:r>
            <w:r w:rsidRPr="00333536">
              <w:rPr>
                <w:sz w:val="20"/>
                <w:szCs w:val="20"/>
              </w:rPr>
              <w:t xml:space="preserve"> for:</w:t>
            </w:r>
          </w:p>
          <w:p w:rsidR="00322F0D" w:rsidRPr="00333536" w:rsidRDefault="00C71B2B" w:rsidP="00322F0D">
            <w:pPr>
              <w:pStyle w:val="ListParagraph"/>
              <w:keepNext/>
              <w:numPr>
                <w:ilvl w:val="0"/>
                <w:numId w:val="7"/>
              </w:numPr>
              <w:tabs>
                <w:tab w:val="left" w:pos="181"/>
              </w:tabs>
              <w:contextualSpacing w:val="0"/>
              <w:jc w:val="both"/>
              <w:rPr>
                <w:sz w:val="19"/>
                <w:szCs w:val="19"/>
              </w:rPr>
            </w:pPr>
            <w:r w:rsidRPr="00333536">
              <w:rPr>
                <w:sz w:val="19"/>
                <w:szCs w:val="19"/>
              </w:rPr>
              <w:t>B</w:t>
            </w:r>
            <w:r w:rsidR="00D20B88" w:rsidRPr="00333536">
              <w:rPr>
                <w:sz w:val="19"/>
                <w:szCs w:val="19"/>
              </w:rPr>
              <w:t>est practices for the development of a future multilingual web interface for the Toolkit with multilingual search optimization and mobile-friendly design;</w:t>
            </w:r>
          </w:p>
          <w:p w:rsidR="00322F0D" w:rsidRPr="00333536" w:rsidRDefault="00D20B88" w:rsidP="00322F0D">
            <w:pPr>
              <w:pStyle w:val="ListParagraph"/>
              <w:keepNext/>
              <w:numPr>
                <w:ilvl w:val="0"/>
                <w:numId w:val="7"/>
              </w:numPr>
              <w:tabs>
                <w:tab w:val="left" w:pos="181"/>
              </w:tabs>
              <w:contextualSpacing w:val="0"/>
              <w:jc w:val="both"/>
              <w:rPr>
                <w:bCs/>
                <w:sz w:val="19"/>
                <w:szCs w:val="19"/>
              </w:rPr>
            </w:pPr>
            <w:r w:rsidRPr="00333536">
              <w:rPr>
                <w:sz w:val="19"/>
                <w:szCs w:val="19"/>
              </w:rPr>
              <w:t xml:space="preserve">Strategy Document &amp; Language Access Toolkit Buildout Blueprint, including costs of additional buildout items not covered by the </w:t>
            </w:r>
            <w:r w:rsidRPr="00333536">
              <w:rPr>
                <w:bCs/>
                <w:sz w:val="19"/>
                <w:szCs w:val="19"/>
              </w:rPr>
              <w:t>Proposed Contract</w:t>
            </w:r>
            <w:r w:rsidRPr="00333536">
              <w:rPr>
                <w:sz w:val="19"/>
                <w:szCs w:val="19"/>
              </w:rPr>
              <w:t>;</w:t>
            </w:r>
          </w:p>
          <w:p w:rsidR="00322F0D" w:rsidRPr="00333536" w:rsidRDefault="00D20B88" w:rsidP="00322F0D">
            <w:pPr>
              <w:pStyle w:val="ListParagraph"/>
              <w:keepNext/>
              <w:numPr>
                <w:ilvl w:val="0"/>
                <w:numId w:val="7"/>
              </w:numPr>
              <w:tabs>
                <w:tab w:val="left" w:pos="181"/>
              </w:tabs>
              <w:contextualSpacing w:val="0"/>
              <w:jc w:val="both"/>
              <w:rPr>
                <w:bCs/>
                <w:sz w:val="19"/>
                <w:szCs w:val="19"/>
              </w:rPr>
            </w:pPr>
            <w:r w:rsidRPr="00333536">
              <w:rPr>
                <w:sz w:val="19"/>
                <w:szCs w:val="19"/>
              </w:rPr>
              <w:t>Recommendations regarding optimization of display for non-Latin languages; and</w:t>
            </w:r>
          </w:p>
          <w:p w:rsidR="00D20B88" w:rsidRPr="00333536" w:rsidRDefault="00D20B88" w:rsidP="00322F0D">
            <w:pPr>
              <w:pStyle w:val="ListParagraph"/>
              <w:keepNext/>
              <w:numPr>
                <w:ilvl w:val="0"/>
                <w:numId w:val="7"/>
              </w:numPr>
              <w:tabs>
                <w:tab w:val="left" w:pos="181"/>
              </w:tabs>
              <w:contextualSpacing w:val="0"/>
              <w:jc w:val="both"/>
              <w:rPr>
                <w:bCs/>
                <w:sz w:val="19"/>
                <w:szCs w:val="19"/>
              </w:rPr>
            </w:pPr>
            <w:r w:rsidRPr="00333536">
              <w:rPr>
                <w:sz w:val="19"/>
                <w:szCs w:val="19"/>
              </w:rPr>
              <w:t>Any recommendations regarding LEP court user testing for future buildout of the Toolkit.</w:t>
            </w:r>
          </w:p>
          <w:p w:rsidR="00D20B88" w:rsidRPr="00333536" w:rsidRDefault="00D20B88" w:rsidP="00573DB8">
            <w:pPr>
              <w:keepNext/>
              <w:jc w:val="both"/>
              <w:rPr>
                <w:sz w:val="20"/>
                <w:szCs w:val="20"/>
              </w:rPr>
            </w:pPr>
            <w:r w:rsidRPr="00333536">
              <w:rPr>
                <w:bCs/>
                <w:sz w:val="20"/>
                <w:szCs w:val="20"/>
              </w:rPr>
              <w:t>All of the above items 1) through 4) s</w:t>
            </w:r>
            <w:r w:rsidR="006950BC" w:rsidRPr="00333536">
              <w:rPr>
                <w:bCs/>
                <w:sz w:val="20"/>
                <w:szCs w:val="20"/>
              </w:rPr>
              <w:t>hall occur by</w:t>
            </w:r>
            <w:r w:rsidR="006950BC" w:rsidRPr="00333536">
              <w:rPr>
                <w:bCs/>
                <w:sz w:val="20"/>
                <w:szCs w:val="20"/>
              </w:rPr>
              <w:br/>
            </w:r>
            <w:r w:rsidRPr="00333536">
              <w:rPr>
                <w:b/>
                <w:sz w:val="20"/>
                <w:szCs w:val="20"/>
              </w:rPr>
              <w:t>October 31, 2018/November 30, 2018</w:t>
            </w:r>
            <w:r w:rsidRPr="00333536">
              <w:rPr>
                <w:b/>
                <w:bCs/>
                <w:sz w:val="20"/>
                <w:szCs w:val="20"/>
              </w:rPr>
              <w:t>.</w:t>
            </w:r>
          </w:p>
        </w:tc>
        <w:tc>
          <w:tcPr>
            <w:tcW w:w="165" w:type="pct"/>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65" w:type="pct"/>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vAlign w:val="center"/>
          </w:tcPr>
          <w:p w:rsidR="00F6050C" w:rsidRPr="00333536" w:rsidRDefault="00D9055C" w:rsidP="00232E74">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794" w:type="pct"/>
            <w:vAlign w:val="center"/>
          </w:tcPr>
          <w:p w:rsidR="00F6050C" w:rsidRPr="00333536" w:rsidRDefault="00D9055C" w:rsidP="005C68FF">
            <w:pPr>
              <w:rPr>
                <w:sz w:val="20"/>
                <w:szCs w:val="20"/>
              </w:rPr>
            </w:pPr>
            <w:r w:rsidRPr="00333536">
              <w:rPr>
                <w:sz w:val="20"/>
                <w:szCs w:val="20"/>
              </w:rPr>
              <w:fldChar w:fldCharType="begin">
                <w:ffData>
                  <w:name w:val="Text1"/>
                  <w:enabled/>
                  <w:calcOnExit w:val="0"/>
                  <w:textInput/>
                </w:ffData>
              </w:fldChar>
            </w:r>
            <w:r w:rsidR="00F6050C" w:rsidRPr="00333536">
              <w:rPr>
                <w:sz w:val="20"/>
                <w:szCs w:val="20"/>
              </w:rPr>
              <w:instrText xml:space="preserve"> FORMTEXT </w:instrText>
            </w:r>
            <w:r w:rsidRPr="00333536">
              <w:rPr>
                <w:sz w:val="20"/>
                <w:szCs w:val="20"/>
              </w:rPr>
            </w:r>
            <w:r w:rsidRPr="00333536">
              <w:rPr>
                <w:sz w:val="20"/>
                <w:szCs w:val="20"/>
              </w:rPr>
              <w:fldChar w:fldCharType="separate"/>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Pr="00333536">
              <w:rPr>
                <w:sz w:val="20"/>
                <w:szCs w:val="20"/>
              </w:rPr>
              <w:fldChar w:fldCharType="end"/>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p>
        </w:tc>
      </w:tr>
      <w:tr w:rsidR="00333536" w:rsidRPr="00333536" w:rsidTr="00B8291A">
        <w:trPr>
          <w:cantSplit/>
        </w:trPr>
        <w:tc>
          <w:tcPr>
            <w:tcW w:w="231" w:type="pct"/>
            <w:tcBorders>
              <w:bottom w:val="single" w:sz="4" w:space="0" w:color="auto"/>
            </w:tcBorders>
          </w:tcPr>
          <w:p w:rsidR="00F6050C" w:rsidRPr="00333536" w:rsidRDefault="00F6050C" w:rsidP="0019763F">
            <w:pPr>
              <w:spacing w:before="80" w:after="80"/>
              <w:jc w:val="center"/>
              <w:rPr>
                <w:sz w:val="19"/>
                <w:szCs w:val="19"/>
              </w:rPr>
            </w:pPr>
            <w:r w:rsidRPr="00333536">
              <w:rPr>
                <w:sz w:val="19"/>
                <w:szCs w:val="19"/>
              </w:rPr>
              <w:lastRenderedPageBreak/>
              <w:t>3.1.9</w:t>
            </w:r>
          </w:p>
        </w:tc>
        <w:tc>
          <w:tcPr>
            <w:tcW w:w="1851" w:type="pct"/>
            <w:tcBorders>
              <w:bottom w:val="single" w:sz="4" w:space="0" w:color="auto"/>
            </w:tcBorders>
          </w:tcPr>
          <w:p w:rsidR="00F472EF" w:rsidRPr="00333536" w:rsidRDefault="00C71B2B" w:rsidP="0019763F">
            <w:pPr>
              <w:spacing w:before="80" w:after="80"/>
              <w:jc w:val="both"/>
              <w:rPr>
                <w:sz w:val="19"/>
                <w:szCs w:val="19"/>
              </w:rPr>
            </w:pPr>
            <w:r w:rsidRPr="00333536">
              <w:rPr>
                <w:sz w:val="19"/>
                <w:szCs w:val="19"/>
              </w:rPr>
              <w:t>By this date, Contractor to provide the Technological Solutions Subcommittee and Judicial Council staff with draft materials for the proposed web-based VRI Resource Center, and establishment of VRI T</w:t>
            </w:r>
            <w:r w:rsidR="00F472EF" w:rsidRPr="00333536">
              <w:rPr>
                <w:sz w:val="19"/>
                <w:szCs w:val="19"/>
              </w:rPr>
              <w:t>echnical Standards for Courts.</w:t>
            </w:r>
          </w:p>
          <w:p w:rsidR="00C71B2B" w:rsidRPr="00333536" w:rsidRDefault="00C71B2B" w:rsidP="0019763F">
            <w:pPr>
              <w:spacing w:before="80" w:after="80"/>
              <w:jc w:val="both"/>
              <w:rPr>
                <w:sz w:val="19"/>
                <w:szCs w:val="19"/>
              </w:rPr>
            </w:pPr>
            <w:r w:rsidRPr="00333536">
              <w:rPr>
                <w:sz w:val="19"/>
                <w:szCs w:val="19"/>
              </w:rPr>
              <w:t>Contractor to also conduct</w:t>
            </w:r>
            <w:r w:rsidR="00F472EF" w:rsidRPr="00333536">
              <w:rPr>
                <w:sz w:val="19"/>
                <w:szCs w:val="19"/>
              </w:rPr>
              <w:t xml:space="preserve"> a meeting, via conference call</w:t>
            </w:r>
            <w:r w:rsidR="00F472EF" w:rsidRPr="00333536">
              <w:rPr>
                <w:sz w:val="19"/>
                <w:szCs w:val="19"/>
              </w:rPr>
              <w:br/>
            </w:r>
            <w:r w:rsidRPr="00333536">
              <w:rPr>
                <w:sz w:val="19"/>
                <w:szCs w:val="19"/>
              </w:rPr>
              <w:t xml:space="preserve">or WebEx (approximately one hour) with the </w:t>
            </w:r>
            <w:proofErr w:type="spellStart"/>
            <w:r w:rsidRPr="00333536">
              <w:rPr>
                <w:sz w:val="19"/>
                <w:szCs w:val="19"/>
              </w:rPr>
              <w:t>Technolog</w:t>
            </w:r>
            <w:proofErr w:type="spellEnd"/>
            <w:r w:rsidR="00F472EF" w:rsidRPr="00333536">
              <w:rPr>
                <w:sz w:val="19"/>
                <w:szCs w:val="19"/>
              </w:rPr>
              <w:t>-</w:t>
            </w:r>
            <w:r w:rsidR="00F472EF" w:rsidRPr="00333536">
              <w:rPr>
                <w:sz w:val="19"/>
                <w:szCs w:val="19"/>
              </w:rPr>
              <w:br/>
            </w:r>
            <w:proofErr w:type="spellStart"/>
            <w:r w:rsidRPr="00333536">
              <w:rPr>
                <w:sz w:val="19"/>
                <w:szCs w:val="19"/>
              </w:rPr>
              <w:t>ical</w:t>
            </w:r>
            <w:proofErr w:type="spellEnd"/>
            <w:r w:rsidRPr="00333536">
              <w:rPr>
                <w:sz w:val="19"/>
                <w:szCs w:val="19"/>
              </w:rPr>
              <w:t xml:space="preserve"> Solutions Subcommittee and Judicial Council</w:t>
            </w:r>
            <w:r w:rsidRPr="00333536">
              <w:rPr>
                <w:sz w:val="19"/>
                <w:szCs w:val="19"/>
              </w:rPr>
              <w:br/>
              <w:t>staff regarding the draft materials and next steps.  Shall occur</w:t>
            </w:r>
            <w:r w:rsidRPr="00333536">
              <w:rPr>
                <w:b/>
                <w:sz w:val="19"/>
                <w:szCs w:val="19"/>
              </w:rPr>
              <w:t xml:space="preserve"> </w:t>
            </w:r>
            <w:r w:rsidRPr="00333536">
              <w:rPr>
                <w:sz w:val="19"/>
                <w:szCs w:val="19"/>
              </w:rPr>
              <w:t>by</w:t>
            </w:r>
            <w:r w:rsidRPr="00333536">
              <w:rPr>
                <w:b/>
                <w:sz w:val="19"/>
                <w:szCs w:val="19"/>
              </w:rPr>
              <w:t xml:space="preserve"> November 30, 2018/December 28, 2018.</w:t>
            </w:r>
          </w:p>
        </w:tc>
        <w:tc>
          <w:tcPr>
            <w:tcW w:w="165"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65"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tcBorders>
              <w:bottom w:val="single" w:sz="4" w:space="0" w:color="auto"/>
            </w:tcBorders>
            <w:vAlign w:val="center"/>
          </w:tcPr>
          <w:p w:rsidR="00F6050C" w:rsidRPr="00333536" w:rsidRDefault="00D9055C" w:rsidP="00232E74">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794" w:type="pct"/>
            <w:tcBorders>
              <w:bottom w:val="single" w:sz="4" w:space="0" w:color="auto"/>
            </w:tcBorders>
            <w:vAlign w:val="center"/>
          </w:tcPr>
          <w:p w:rsidR="00F6050C" w:rsidRPr="00333536" w:rsidRDefault="00D9055C" w:rsidP="005C68FF">
            <w:pPr>
              <w:rPr>
                <w:sz w:val="20"/>
                <w:szCs w:val="20"/>
              </w:rPr>
            </w:pPr>
            <w:r w:rsidRPr="00333536">
              <w:rPr>
                <w:sz w:val="20"/>
                <w:szCs w:val="20"/>
              </w:rPr>
              <w:fldChar w:fldCharType="begin">
                <w:ffData>
                  <w:name w:val="Text1"/>
                  <w:enabled/>
                  <w:calcOnExit w:val="0"/>
                  <w:textInput/>
                </w:ffData>
              </w:fldChar>
            </w:r>
            <w:r w:rsidR="00F6050C" w:rsidRPr="00333536">
              <w:rPr>
                <w:sz w:val="20"/>
                <w:szCs w:val="20"/>
              </w:rPr>
              <w:instrText xml:space="preserve"> FORMTEXT </w:instrText>
            </w:r>
            <w:r w:rsidRPr="00333536">
              <w:rPr>
                <w:sz w:val="20"/>
                <w:szCs w:val="20"/>
              </w:rPr>
            </w:r>
            <w:r w:rsidRPr="00333536">
              <w:rPr>
                <w:sz w:val="20"/>
                <w:szCs w:val="20"/>
              </w:rPr>
              <w:fldChar w:fldCharType="separate"/>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Pr="00333536">
              <w:rPr>
                <w:sz w:val="20"/>
                <w:szCs w:val="20"/>
              </w:rPr>
              <w:fldChar w:fldCharType="end"/>
            </w:r>
          </w:p>
        </w:tc>
      </w:tr>
      <w:tr w:rsidR="00333536" w:rsidRPr="00333536" w:rsidTr="00B8291A">
        <w:trPr>
          <w:cantSplit/>
        </w:trPr>
        <w:tc>
          <w:tcPr>
            <w:tcW w:w="231" w:type="pct"/>
            <w:tcBorders>
              <w:bottom w:val="single" w:sz="4" w:space="0" w:color="auto"/>
            </w:tcBorders>
          </w:tcPr>
          <w:p w:rsidR="00F6050C" w:rsidRPr="00333536" w:rsidRDefault="00F6050C" w:rsidP="0019763F">
            <w:pPr>
              <w:spacing w:before="80" w:after="80"/>
              <w:jc w:val="center"/>
              <w:rPr>
                <w:sz w:val="19"/>
                <w:szCs w:val="19"/>
              </w:rPr>
            </w:pPr>
            <w:r w:rsidRPr="00333536">
              <w:rPr>
                <w:sz w:val="19"/>
                <w:szCs w:val="19"/>
              </w:rPr>
              <w:t>3.1.10</w:t>
            </w:r>
          </w:p>
        </w:tc>
        <w:tc>
          <w:tcPr>
            <w:tcW w:w="1851" w:type="pct"/>
            <w:tcBorders>
              <w:bottom w:val="single" w:sz="4" w:space="0" w:color="auto"/>
            </w:tcBorders>
          </w:tcPr>
          <w:p w:rsidR="00C71B2B" w:rsidRPr="00333536" w:rsidRDefault="00C71B2B" w:rsidP="0019763F">
            <w:pPr>
              <w:spacing w:before="80" w:after="80"/>
              <w:jc w:val="both"/>
              <w:rPr>
                <w:sz w:val="19"/>
                <w:szCs w:val="19"/>
              </w:rPr>
            </w:pPr>
            <w:r w:rsidRPr="00333536">
              <w:rPr>
                <w:sz w:val="19"/>
                <w:szCs w:val="19"/>
              </w:rPr>
              <w:t>By this date, Contractor to provide the Judicial Council with functional web modules for the online course regarding court interpreters in civil cases.  Shall occur by</w:t>
            </w:r>
            <w:r w:rsidRPr="00333536">
              <w:rPr>
                <w:b/>
                <w:sz w:val="19"/>
                <w:szCs w:val="19"/>
              </w:rPr>
              <w:t xml:space="preserve"> December 28, 2018</w:t>
            </w:r>
            <w:r w:rsidR="000C395C" w:rsidRPr="00333536">
              <w:rPr>
                <w:b/>
                <w:sz w:val="19"/>
                <w:szCs w:val="19"/>
              </w:rPr>
              <w:t>.</w:t>
            </w:r>
          </w:p>
        </w:tc>
        <w:tc>
          <w:tcPr>
            <w:tcW w:w="165"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65"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tcBorders>
              <w:bottom w:val="single" w:sz="4" w:space="0" w:color="auto"/>
            </w:tcBorders>
            <w:vAlign w:val="center"/>
          </w:tcPr>
          <w:p w:rsidR="00F6050C" w:rsidRPr="00333536" w:rsidRDefault="00D9055C" w:rsidP="00232E74">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794" w:type="pct"/>
            <w:tcBorders>
              <w:bottom w:val="single" w:sz="4" w:space="0" w:color="auto"/>
            </w:tcBorders>
            <w:vAlign w:val="center"/>
          </w:tcPr>
          <w:p w:rsidR="00F6050C" w:rsidRPr="00333536" w:rsidRDefault="00D9055C" w:rsidP="005C68FF">
            <w:pPr>
              <w:rPr>
                <w:sz w:val="20"/>
                <w:szCs w:val="20"/>
              </w:rPr>
            </w:pPr>
            <w:r w:rsidRPr="00333536">
              <w:rPr>
                <w:sz w:val="20"/>
                <w:szCs w:val="20"/>
              </w:rPr>
              <w:fldChar w:fldCharType="begin">
                <w:ffData>
                  <w:name w:val="Text1"/>
                  <w:enabled/>
                  <w:calcOnExit w:val="0"/>
                  <w:textInput/>
                </w:ffData>
              </w:fldChar>
            </w:r>
            <w:r w:rsidR="00F6050C" w:rsidRPr="00333536">
              <w:rPr>
                <w:sz w:val="20"/>
                <w:szCs w:val="20"/>
              </w:rPr>
              <w:instrText xml:space="preserve"> FORMTEXT </w:instrText>
            </w:r>
            <w:r w:rsidRPr="00333536">
              <w:rPr>
                <w:sz w:val="20"/>
                <w:szCs w:val="20"/>
              </w:rPr>
            </w:r>
            <w:r w:rsidRPr="00333536">
              <w:rPr>
                <w:sz w:val="20"/>
                <w:szCs w:val="20"/>
              </w:rPr>
              <w:fldChar w:fldCharType="separate"/>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Pr="00333536">
              <w:rPr>
                <w:sz w:val="20"/>
                <w:szCs w:val="20"/>
              </w:rPr>
              <w:fldChar w:fldCharType="end"/>
            </w:r>
          </w:p>
        </w:tc>
      </w:tr>
      <w:tr w:rsidR="00333536" w:rsidRPr="00333536" w:rsidTr="00B8291A">
        <w:trPr>
          <w:cantSplit/>
        </w:trPr>
        <w:tc>
          <w:tcPr>
            <w:tcW w:w="231" w:type="pct"/>
            <w:tcBorders>
              <w:bottom w:val="single" w:sz="4" w:space="0" w:color="auto"/>
            </w:tcBorders>
          </w:tcPr>
          <w:p w:rsidR="00F6050C" w:rsidRPr="00333536" w:rsidRDefault="00F6050C" w:rsidP="0019763F">
            <w:pPr>
              <w:spacing w:before="80" w:after="80"/>
              <w:jc w:val="center"/>
              <w:rPr>
                <w:sz w:val="19"/>
                <w:szCs w:val="19"/>
              </w:rPr>
            </w:pPr>
            <w:r w:rsidRPr="00333536">
              <w:rPr>
                <w:sz w:val="19"/>
                <w:szCs w:val="19"/>
              </w:rPr>
              <w:t>3.1.11</w:t>
            </w:r>
          </w:p>
        </w:tc>
        <w:tc>
          <w:tcPr>
            <w:tcW w:w="1851" w:type="pct"/>
            <w:tcBorders>
              <w:bottom w:val="single" w:sz="4" w:space="0" w:color="auto"/>
            </w:tcBorders>
          </w:tcPr>
          <w:p w:rsidR="00C71B2B" w:rsidRPr="00333536" w:rsidRDefault="00C71B2B" w:rsidP="0019763F">
            <w:pPr>
              <w:spacing w:before="80" w:after="80"/>
              <w:jc w:val="both"/>
              <w:rPr>
                <w:sz w:val="19"/>
                <w:szCs w:val="19"/>
              </w:rPr>
            </w:pPr>
            <w:r w:rsidRPr="00333536">
              <w:rPr>
                <w:sz w:val="19"/>
                <w:szCs w:val="19"/>
              </w:rPr>
              <w:t xml:space="preserve">Based on feedback received from the Budget and LAP Monitoring Subcommittee and Judicial Council staff, Contractor to submit final materials for the Public Outreach Campaign for LEP Court Users (including the statewide strategy, messaging to target audiences, multilingual print and non-print materials, including notices, signs and recordings).  Contractor to also conduct a meeting, via conference call or WebEx (approximately one hour) with Judicial Council staff regarding the final materials and next steps.  </w:t>
            </w:r>
            <w:r w:rsidRPr="00333536">
              <w:rPr>
                <w:bCs/>
                <w:sz w:val="19"/>
                <w:szCs w:val="19"/>
              </w:rPr>
              <w:t>Shall occur by</w:t>
            </w:r>
            <w:r w:rsidRPr="00333536">
              <w:rPr>
                <w:b/>
                <w:bCs/>
                <w:sz w:val="19"/>
                <w:szCs w:val="19"/>
              </w:rPr>
              <w:t xml:space="preserve"> March 29, 2019.</w:t>
            </w:r>
          </w:p>
        </w:tc>
        <w:tc>
          <w:tcPr>
            <w:tcW w:w="165"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65"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tcBorders>
              <w:bottom w:val="single" w:sz="4" w:space="0" w:color="auto"/>
            </w:tcBorders>
            <w:vAlign w:val="center"/>
          </w:tcPr>
          <w:p w:rsidR="00F6050C" w:rsidRPr="00333536" w:rsidRDefault="00D9055C" w:rsidP="00232E74">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794" w:type="pct"/>
            <w:tcBorders>
              <w:bottom w:val="single" w:sz="4" w:space="0" w:color="auto"/>
            </w:tcBorders>
            <w:vAlign w:val="center"/>
          </w:tcPr>
          <w:p w:rsidR="00F6050C" w:rsidRPr="00333536" w:rsidRDefault="00D9055C" w:rsidP="00035EAA">
            <w:pPr>
              <w:rPr>
                <w:sz w:val="20"/>
                <w:szCs w:val="20"/>
              </w:rPr>
            </w:pPr>
            <w:r w:rsidRPr="00333536">
              <w:rPr>
                <w:sz w:val="20"/>
                <w:szCs w:val="20"/>
              </w:rPr>
              <w:fldChar w:fldCharType="begin">
                <w:ffData>
                  <w:name w:val="Text1"/>
                  <w:enabled/>
                  <w:calcOnExit w:val="0"/>
                  <w:textInput/>
                </w:ffData>
              </w:fldChar>
            </w:r>
            <w:r w:rsidR="00F6050C" w:rsidRPr="00333536">
              <w:rPr>
                <w:sz w:val="20"/>
                <w:szCs w:val="20"/>
              </w:rPr>
              <w:instrText xml:space="preserve"> FORMTEXT </w:instrText>
            </w:r>
            <w:r w:rsidRPr="00333536">
              <w:rPr>
                <w:sz w:val="20"/>
                <w:szCs w:val="20"/>
              </w:rPr>
            </w:r>
            <w:r w:rsidRPr="00333536">
              <w:rPr>
                <w:sz w:val="20"/>
                <w:szCs w:val="20"/>
              </w:rPr>
              <w:fldChar w:fldCharType="separate"/>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Pr="00333536">
              <w:rPr>
                <w:sz w:val="20"/>
                <w:szCs w:val="20"/>
              </w:rPr>
              <w:fldChar w:fldCharType="end"/>
            </w:r>
          </w:p>
        </w:tc>
      </w:tr>
      <w:tr w:rsidR="00333536" w:rsidRPr="00333536" w:rsidTr="00B8291A">
        <w:trPr>
          <w:cantSplit/>
        </w:trPr>
        <w:tc>
          <w:tcPr>
            <w:tcW w:w="231" w:type="pct"/>
            <w:tcBorders>
              <w:bottom w:val="single" w:sz="4" w:space="0" w:color="auto"/>
            </w:tcBorders>
          </w:tcPr>
          <w:p w:rsidR="00F6050C" w:rsidRPr="00333536" w:rsidRDefault="00F6050C" w:rsidP="0019763F">
            <w:pPr>
              <w:spacing w:before="80" w:after="80"/>
              <w:jc w:val="center"/>
              <w:rPr>
                <w:sz w:val="19"/>
                <w:szCs w:val="19"/>
              </w:rPr>
            </w:pPr>
            <w:r w:rsidRPr="00333536">
              <w:rPr>
                <w:sz w:val="19"/>
                <w:szCs w:val="19"/>
              </w:rPr>
              <w:t>3.1.12</w:t>
            </w:r>
          </w:p>
        </w:tc>
        <w:tc>
          <w:tcPr>
            <w:tcW w:w="1851" w:type="pct"/>
            <w:tcBorders>
              <w:bottom w:val="single" w:sz="4" w:space="0" w:color="auto"/>
            </w:tcBorders>
          </w:tcPr>
          <w:p w:rsidR="001B2C0A" w:rsidRPr="00333536" w:rsidRDefault="001B2C0A" w:rsidP="0019763F">
            <w:pPr>
              <w:spacing w:before="80" w:after="80"/>
              <w:jc w:val="both"/>
              <w:rPr>
                <w:sz w:val="19"/>
                <w:szCs w:val="19"/>
              </w:rPr>
            </w:pPr>
            <w:r w:rsidRPr="00333536">
              <w:rPr>
                <w:sz w:val="19"/>
                <w:szCs w:val="19"/>
              </w:rPr>
              <w:t xml:space="preserve">Based on feedback received from the Translation, Signage and Tools for Courts Subcommittee and Judicial Council staff, by this date, Contractor to provide the Judicial Council with final materials for the proposed build out of Language Access Toolkit (including the improved organization and delivery of content, the glossary, and modules for LEP court users), and the two new videos to be created for LEP court users.  Contractor to also conduct a meeting, via conference call or WebEx (approximately one hour) with Judicial Council staff regarding the final materials and next steps.  </w:t>
            </w:r>
            <w:r w:rsidRPr="00333536">
              <w:rPr>
                <w:bCs/>
                <w:sz w:val="19"/>
                <w:szCs w:val="19"/>
              </w:rPr>
              <w:t>Shall occur by</w:t>
            </w:r>
            <w:r w:rsidRPr="00333536">
              <w:rPr>
                <w:b/>
                <w:bCs/>
                <w:sz w:val="19"/>
                <w:szCs w:val="19"/>
              </w:rPr>
              <w:t xml:space="preserve"> April 30, 2019/May 31, 2019.</w:t>
            </w:r>
          </w:p>
        </w:tc>
        <w:tc>
          <w:tcPr>
            <w:tcW w:w="165"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65"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tcBorders>
              <w:bottom w:val="single" w:sz="4" w:space="0" w:color="auto"/>
            </w:tcBorders>
            <w:vAlign w:val="center"/>
          </w:tcPr>
          <w:p w:rsidR="00F6050C" w:rsidRPr="00333536" w:rsidRDefault="00D9055C" w:rsidP="00232E74">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794" w:type="pct"/>
            <w:tcBorders>
              <w:bottom w:val="single" w:sz="4" w:space="0" w:color="auto"/>
            </w:tcBorders>
            <w:vAlign w:val="center"/>
          </w:tcPr>
          <w:p w:rsidR="00F6050C" w:rsidRPr="00333536" w:rsidRDefault="00D9055C" w:rsidP="00035EAA">
            <w:pPr>
              <w:rPr>
                <w:sz w:val="20"/>
                <w:szCs w:val="20"/>
              </w:rPr>
            </w:pPr>
            <w:r w:rsidRPr="00333536">
              <w:rPr>
                <w:sz w:val="20"/>
                <w:szCs w:val="20"/>
              </w:rPr>
              <w:fldChar w:fldCharType="begin">
                <w:ffData>
                  <w:name w:val="Text1"/>
                  <w:enabled/>
                  <w:calcOnExit w:val="0"/>
                  <w:textInput/>
                </w:ffData>
              </w:fldChar>
            </w:r>
            <w:r w:rsidR="00F6050C" w:rsidRPr="00333536">
              <w:rPr>
                <w:sz w:val="20"/>
                <w:szCs w:val="20"/>
              </w:rPr>
              <w:instrText xml:space="preserve"> FORMTEXT </w:instrText>
            </w:r>
            <w:r w:rsidRPr="00333536">
              <w:rPr>
                <w:sz w:val="20"/>
                <w:szCs w:val="20"/>
              </w:rPr>
            </w:r>
            <w:r w:rsidRPr="00333536">
              <w:rPr>
                <w:sz w:val="20"/>
                <w:szCs w:val="20"/>
              </w:rPr>
              <w:fldChar w:fldCharType="separate"/>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Pr="00333536">
              <w:rPr>
                <w:sz w:val="20"/>
                <w:szCs w:val="20"/>
              </w:rPr>
              <w:fldChar w:fldCharType="end"/>
            </w:r>
          </w:p>
        </w:tc>
      </w:tr>
      <w:tr w:rsidR="00333536" w:rsidRPr="00333536" w:rsidTr="00B8291A">
        <w:trPr>
          <w:cantSplit/>
        </w:trPr>
        <w:tc>
          <w:tcPr>
            <w:tcW w:w="231" w:type="pct"/>
            <w:tcBorders>
              <w:bottom w:val="single" w:sz="4" w:space="0" w:color="auto"/>
            </w:tcBorders>
          </w:tcPr>
          <w:p w:rsidR="00F6050C" w:rsidRPr="00333536" w:rsidRDefault="00F6050C" w:rsidP="00DE2894">
            <w:pPr>
              <w:spacing w:before="20" w:after="20"/>
              <w:jc w:val="center"/>
              <w:rPr>
                <w:sz w:val="20"/>
                <w:szCs w:val="20"/>
              </w:rPr>
            </w:pPr>
            <w:r w:rsidRPr="00333536">
              <w:rPr>
                <w:sz w:val="20"/>
                <w:szCs w:val="20"/>
              </w:rPr>
              <w:lastRenderedPageBreak/>
              <w:t>3.1.13</w:t>
            </w:r>
          </w:p>
        </w:tc>
        <w:tc>
          <w:tcPr>
            <w:tcW w:w="1851" w:type="pct"/>
            <w:tcBorders>
              <w:bottom w:val="single" w:sz="4" w:space="0" w:color="auto"/>
            </w:tcBorders>
          </w:tcPr>
          <w:p w:rsidR="00F6050C" w:rsidRPr="00333536" w:rsidRDefault="001B2C0A" w:rsidP="00EB1304">
            <w:pPr>
              <w:spacing w:before="20" w:after="20"/>
              <w:jc w:val="both"/>
              <w:rPr>
                <w:sz w:val="20"/>
                <w:szCs w:val="20"/>
              </w:rPr>
            </w:pPr>
            <w:r w:rsidRPr="00333536">
              <w:rPr>
                <w:sz w:val="20"/>
                <w:szCs w:val="20"/>
              </w:rPr>
              <w:t xml:space="preserve">Based on feedback received by the Technological Solutions Sub-committee and Judicial Council staff, by this date, Contractor to provide the Judicial Council with the final web-based VRI Resource Center, and establishment of VRI Technical Standards for Courts.  Contractor to also conduct a meeting, via conference call or WebEx (approximately one hour) with Judicial Council staff regarding the final materials and next steps. </w:t>
            </w:r>
            <w:r w:rsidRPr="00333536">
              <w:rPr>
                <w:bCs/>
                <w:sz w:val="20"/>
                <w:szCs w:val="20"/>
              </w:rPr>
              <w:t xml:space="preserve"> Shall occur by </w:t>
            </w:r>
            <w:r w:rsidRPr="00333536">
              <w:rPr>
                <w:b/>
                <w:bCs/>
                <w:sz w:val="20"/>
                <w:szCs w:val="20"/>
              </w:rPr>
              <w:t>May 31, 2019.</w:t>
            </w:r>
          </w:p>
        </w:tc>
        <w:tc>
          <w:tcPr>
            <w:tcW w:w="165"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65"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tcBorders>
              <w:bottom w:val="single" w:sz="4" w:space="0" w:color="auto"/>
            </w:tcBorders>
            <w:vAlign w:val="center"/>
          </w:tcPr>
          <w:p w:rsidR="00F6050C" w:rsidRPr="00333536" w:rsidRDefault="00D9055C" w:rsidP="00232E74">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794" w:type="pct"/>
            <w:tcBorders>
              <w:bottom w:val="single" w:sz="4" w:space="0" w:color="auto"/>
            </w:tcBorders>
            <w:vAlign w:val="center"/>
          </w:tcPr>
          <w:p w:rsidR="00F6050C" w:rsidRPr="00333536" w:rsidRDefault="00D9055C" w:rsidP="00035EAA">
            <w:pPr>
              <w:rPr>
                <w:sz w:val="20"/>
                <w:szCs w:val="20"/>
              </w:rPr>
            </w:pPr>
            <w:r w:rsidRPr="00333536">
              <w:rPr>
                <w:sz w:val="20"/>
                <w:szCs w:val="20"/>
              </w:rPr>
              <w:fldChar w:fldCharType="begin">
                <w:ffData>
                  <w:name w:val="Text1"/>
                  <w:enabled/>
                  <w:calcOnExit w:val="0"/>
                  <w:textInput/>
                </w:ffData>
              </w:fldChar>
            </w:r>
            <w:r w:rsidR="00F6050C" w:rsidRPr="00333536">
              <w:rPr>
                <w:sz w:val="20"/>
                <w:szCs w:val="20"/>
              </w:rPr>
              <w:instrText xml:space="preserve"> FORMTEXT </w:instrText>
            </w:r>
            <w:r w:rsidRPr="00333536">
              <w:rPr>
                <w:sz w:val="20"/>
                <w:szCs w:val="20"/>
              </w:rPr>
            </w:r>
            <w:r w:rsidRPr="00333536">
              <w:rPr>
                <w:sz w:val="20"/>
                <w:szCs w:val="20"/>
              </w:rPr>
              <w:fldChar w:fldCharType="separate"/>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Pr="00333536">
              <w:rPr>
                <w:sz w:val="20"/>
                <w:szCs w:val="20"/>
              </w:rPr>
              <w:fldChar w:fldCharType="end"/>
            </w:r>
          </w:p>
        </w:tc>
      </w:tr>
      <w:tr w:rsidR="00E01955" w:rsidRPr="00333536" w:rsidTr="00B8291A">
        <w:trPr>
          <w:cantSplit/>
        </w:trPr>
        <w:tc>
          <w:tcPr>
            <w:tcW w:w="231" w:type="pct"/>
            <w:tcBorders>
              <w:bottom w:val="single" w:sz="4" w:space="0" w:color="auto"/>
            </w:tcBorders>
          </w:tcPr>
          <w:p w:rsidR="00F6050C" w:rsidRPr="00333536" w:rsidRDefault="00F6050C" w:rsidP="00DE2894">
            <w:pPr>
              <w:spacing w:before="20" w:after="20"/>
              <w:jc w:val="center"/>
              <w:rPr>
                <w:sz w:val="20"/>
                <w:szCs w:val="20"/>
              </w:rPr>
            </w:pPr>
            <w:r w:rsidRPr="00333536">
              <w:rPr>
                <w:sz w:val="20"/>
                <w:szCs w:val="20"/>
              </w:rPr>
              <w:t>3.1.14</w:t>
            </w:r>
          </w:p>
        </w:tc>
        <w:tc>
          <w:tcPr>
            <w:tcW w:w="1851" w:type="pct"/>
            <w:tcBorders>
              <w:bottom w:val="single" w:sz="4" w:space="0" w:color="auto"/>
            </w:tcBorders>
          </w:tcPr>
          <w:p w:rsidR="001B2C0A" w:rsidRPr="00333536" w:rsidRDefault="001B2C0A" w:rsidP="00EB1304">
            <w:pPr>
              <w:spacing w:before="20" w:after="20"/>
              <w:jc w:val="both"/>
              <w:rPr>
                <w:sz w:val="20"/>
                <w:szCs w:val="20"/>
              </w:rPr>
            </w:pPr>
            <w:r w:rsidRPr="00333536">
              <w:rPr>
                <w:sz w:val="20"/>
                <w:szCs w:val="20"/>
              </w:rPr>
              <w:t xml:space="preserve">By this date, Contractor to provide the Judicial Council with a final report, a meeting, via conference call (approximately one hour) with Judicial Council staff, and any outstanding materials for the contract deliverables identified above.  </w:t>
            </w:r>
            <w:r w:rsidRPr="00333536">
              <w:rPr>
                <w:bCs/>
                <w:sz w:val="20"/>
                <w:szCs w:val="20"/>
              </w:rPr>
              <w:t xml:space="preserve">Shall occur by </w:t>
            </w:r>
            <w:r w:rsidRPr="00333536">
              <w:rPr>
                <w:b/>
                <w:bCs/>
                <w:sz w:val="20"/>
                <w:szCs w:val="20"/>
              </w:rPr>
              <w:t>June 28, 2019.</w:t>
            </w:r>
          </w:p>
        </w:tc>
        <w:tc>
          <w:tcPr>
            <w:tcW w:w="165"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65"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1"/>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3"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tcBorders>
              <w:bottom w:val="single" w:sz="4" w:space="0" w:color="auto"/>
            </w:tcBorders>
            <w:vAlign w:val="center"/>
          </w:tcPr>
          <w:p w:rsidR="00F6050C" w:rsidRPr="00333536" w:rsidRDefault="00D9055C" w:rsidP="00F23A50">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32" w:type="pct"/>
            <w:tcBorders>
              <w:bottom w:val="single" w:sz="4" w:space="0" w:color="auto"/>
            </w:tcBorders>
            <w:vAlign w:val="center"/>
          </w:tcPr>
          <w:p w:rsidR="00F6050C" w:rsidRPr="00333536" w:rsidRDefault="00D9055C" w:rsidP="00232E74">
            <w:pPr>
              <w:jc w:val="center"/>
              <w:rPr>
                <w:b/>
                <w:sz w:val="20"/>
                <w:szCs w:val="20"/>
              </w:rPr>
            </w:pPr>
            <w:r w:rsidRPr="00333536">
              <w:rPr>
                <w:b/>
                <w:sz w:val="20"/>
                <w:szCs w:val="20"/>
              </w:rPr>
              <w:fldChar w:fldCharType="begin">
                <w:ffData>
                  <w:name w:val="Check2"/>
                  <w:enabled/>
                  <w:calcOnExit w:val="0"/>
                  <w:checkBox>
                    <w:sizeAuto/>
                    <w:default w:val="0"/>
                    <w:checked w:val="0"/>
                  </w:checkBox>
                </w:ffData>
              </w:fldChar>
            </w:r>
            <w:r w:rsidR="00F6050C" w:rsidRPr="00333536">
              <w:rPr>
                <w:b/>
                <w:sz w:val="20"/>
                <w:szCs w:val="20"/>
              </w:rPr>
              <w:instrText xml:space="preserve"> FORMCHECKBOX </w:instrText>
            </w:r>
            <w:r w:rsidR="00EE2F31">
              <w:rPr>
                <w:b/>
                <w:sz w:val="20"/>
                <w:szCs w:val="20"/>
              </w:rPr>
            </w:r>
            <w:r w:rsidR="00EE2F31">
              <w:rPr>
                <w:b/>
                <w:sz w:val="20"/>
                <w:szCs w:val="20"/>
              </w:rPr>
              <w:fldChar w:fldCharType="separate"/>
            </w:r>
            <w:r w:rsidRPr="00333536">
              <w:rPr>
                <w:b/>
                <w:sz w:val="20"/>
                <w:szCs w:val="20"/>
              </w:rPr>
              <w:fldChar w:fldCharType="end"/>
            </w:r>
          </w:p>
        </w:tc>
        <w:tc>
          <w:tcPr>
            <w:tcW w:w="1794" w:type="pct"/>
            <w:tcBorders>
              <w:bottom w:val="single" w:sz="4" w:space="0" w:color="auto"/>
            </w:tcBorders>
            <w:vAlign w:val="center"/>
          </w:tcPr>
          <w:p w:rsidR="00F6050C" w:rsidRPr="00333536" w:rsidRDefault="00D9055C" w:rsidP="00035EAA">
            <w:pPr>
              <w:rPr>
                <w:sz w:val="20"/>
                <w:szCs w:val="20"/>
              </w:rPr>
            </w:pPr>
            <w:r w:rsidRPr="00333536">
              <w:rPr>
                <w:sz w:val="20"/>
                <w:szCs w:val="20"/>
              </w:rPr>
              <w:fldChar w:fldCharType="begin">
                <w:ffData>
                  <w:name w:val="Text1"/>
                  <w:enabled/>
                  <w:calcOnExit w:val="0"/>
                  <w:textInput/>
                </w:ffData>
              </w:fldChar>
            </w:r>
            <w:r w:rsidR="00F6050C" w:rsidRPr="00333536">
              <w:rPr>
                <w:sz w:val="20"/>
                <w:szCs w:val="20"/>
              </w:rPr>
              <w:instrText xml:space="preserve"> FORMTEXT </w:instrText>
            </w:r>
            <w:r w:rsidRPr="00333536">
              <w:rPr>
                <w:sz w:val="20"/>
                <w:szCs w:val="20"/>
              </w:rPr>
            </w:r>
            <w:r w:rsidRPr="00333536">
              <w:rPr>
                <w:sz w:val="20"/>
                <w:szCs w:val="20"/>
              </w:rPr>
              <w:fldChar w:fldCharType="separate"/>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00F6050C" w:rsidRPr="00333536">
              <w:rPr>
                <w:sz w:val="20"/>
                <w:szCs w:val="20"/>
              </w:rPr>
              <w:t> </w:t>
            </w:r>
            <w:r w:rsidRPr="00333536">
              <w:rPr>
                <w:sz w:val="20"/>
                <w:szCs w:val="20"/>
              </w:rPr>
              <w:fldChar w:fldCharType="end"/>
            </w:r>
          </w:p>
        </w:tc>
      </w:tr>
    </w:tbl>
    <w:p w:rsidR="001C17BA" w:rsidRPr="00333536" w:rsidRDefault="001C17BA"/>
    <w:p w:rsidR="00726BDA" w:rsidRPr="00333536" w:rsidRDefault="00726BDA"/>
    <w:p w:rsidR="00726BDA" w:rsidRPr="00333536" w:rsidRDefault="00726BDA" w:rsidP="00726BDA">
      <w:pPr>
        <w:jc w:val="center"/>
        <w:rPr>
          <w:b/>
          <w:i/>
        </w:rPr>
      </w:pPr>
      <w:r w:rsidRPr="00333536">
        <w:rPr>
          <w:b/>
          <w:i/>
        </w:rPr>
        <w:t>END OF ATTACHMENT 7</w:t>
      </w:r>
    </w:p>
    <w:sectPr w:rsidR="00726BDA" w:rsidRPr="00333536" w:rsidSect="00B22C1D">
      <w:headerReference w:type="default" r:id="rId7"/>
      <w:footerReference w:type="default" r:id="rId8"/>
      <w:pgSz w:w="15840" w:h="12240" w:orient="landscape"/>
      <w:pgMar w:top="990" w:right="1170" w:bottom="900" w:left="990" w:header="54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536" w:rsidRDefault="00333536" w:rsidP="001C17BA">
      <w:r>
        <w:separator/>
      </w:r>
    </w:p>
  </w:endnote>
  <w:endnote w:type="continuationSeparator" w:id="0">
    <w:p w:rsidR="00333536" w:rsidRDefault="00333536" w:rsidP="001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89208"/>
      <w:docPartObj>
        <w:docPartGallery w:val="Page Numbers (Bottom of Page)"/>
        <w:docPartUnique/>
      </w:docPartObj>
    </w:sdtPr>
    <w:sdtEndPr/>
    <w:sdtContent>
      <w:sdt>
        <w:sdtPr>
          <w:id w:val="565050523"/>
          <w:docPartObj>
            <w:docPartGallery w:val="Page Numbers (Top of Page)"/>
            <w:docPartUnique/>
          </w:docPartObj>
        </w:sdtPr>
        <w:sdtEndPr/>
        <w:sdtContent>
          <w:p w:rsidR="00333536" w:rsidRDefault="00333536" w:rsidP="00602515">
            <w:pPr>
              <w:pStyle w:val="Footer"/>
              <w:spacing w:before="120"/>
              <w:ind w:left="-270" w:right="-360"/>
              <w:jc w:val="right"/>
            </w:pPr>
            <w:r>
              <w:t xml:space="preserve">Page </w:t>
            </w:r>
            <w:r>
              <w:rPr>
                <w:b/>
              </w:rPr>
              <w:fldChar w:fldCharType="begin"/>
            </w:r>
            <w:r>
              <w:rPr>
                <w:b/>
              </w:rPr>
              <w:instrText xml:space="preserve"> PAGE </w:instrText>
            </w:r>
            <w:r>
              <w:rPr>
                <w:b/>
              </w:rPr>
              <w:fldChar w:fldCharType="separate"/>
            </w:r>
            <w:r w:rsidR="00EE2F31">
              <w:rPr>
                <w:b/>
                <w:noProof/>
              </w:rPr>
              <w:t>7</w:t>
            </w:r>
            <w:r>
              <w:rPr>
                <w:b/>
              </w:rPr>
              <w:fldChar w:fldCharType="end"/>
            </w:r>
            <w:r>
              <w:t xml:space="preserve"> of </w:t>
            </w:r>
            <w:r>
              <w:rPr>
                <w:b/>
              </w:rPr>
              <w:fldChar w:fldCharType="begin"/>
            </w:r>
            <w:r>
              <w:rPr>
                <w:b/>
              </w:rPr>
              <w:instrText xml:space="preserve"> NUMPAGES  </w:instrText>
            </w:r>
            <w:r>
              <w:rPr>
                <w:b/>
              </w:rPr>
              <w:fldChar w:fldCharType="separate"/>
            </w:r>
            <w:r w:rsidR="00EE2F31">
              <w:rPr>
                <w:b/>
                <w:noProof/>
              </w:rPr>
              <w:t>7</w:t>
            </w:r>
            <w:r>
              <w:rPr>
                <w:b/>
              </w:rPr>
              <w:fldChar w:fldCharType="end"/>
            </w:r>
          </w:p>
        </w:sdtContent>
      </w:sdt>
    </w:sdtContent>
  </w:sdt>
  <w:p w:rsidR="00333536" w:rsidRDefault="0033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536" w:rsidRDefault="00333536" w:rsidP="001C17BA">
      <w:r>
        <w:separator/>
      </w:r>
    </w:p>
  </w:footnote>
  <w:footnote w:type="continuationSeparator" w:id="0">
    <w:p w:rsidR="00333536" w:rsidRDefault="00333536" w:rsidP="001C1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536" w:rsidRPr="00333536" w:rsidRDefault="00333536" w:rsidP="001C17BA">
    <w:pPr>
      <w:pStyle w:val="CommentText"/>
      <w:ind w:left="1350" w:right="252" w:hanging="1350"/>
      <w:jc w:val="both"/>
      <w:rPr>
        <w:b/>
        <w:sz w:val="22"/>
        <w:szCs w:val="22"/>
      </w:rPr>
    </w:pPr>
    <w:r w:rsidRPr="00333536">
      <w:t xml:space="preserve">RFP Title:  </w:t>
    </w:r>
    <w:r w:rsidRPr="00333536">
      <w:rPr>
        <w:sz w:val="22"/>
        <w:szCs w:val="22"/>
      </w:rPr>
      <w:t xml:space="preserve">  </w:t>
    </w:r>
    <w:r w:rsidRPr="00333536">
      <w:rPr>
        <w:sz w:val="22"/>
        <w:szCs w:val="22"/>
      </w:rPr>
      <w:tab/>
    </w:r>
    <w:r w:rsidRPr="00333536">
      <w:rPr>
        <w:b/>
        <w:sz w:val="22"/>
        <w:szCs w:val="22"/>
      </w:rPr>
      <w:t>2018 LANGUAGE ACCESS IN THE CALIFORNIA COURTS</w:t>
    </w:r>
  </w:p>
  <w:p w:rsidR="00333536" w:rsidRPr="00333536" w:rsidRDefault="00333536" w:rsidP="001C17BA">
    <w:pPr>
      <w:pStyle w:val="CommentText"/>
      <w:ind w:left="1350" w:right="252" w:hanging="1350"/>
      <w:jc w:val="both"/>
      <w:rPr>
        <w:sz w:val="22"/>
        <w:szCs w:val="22"/>
      </w:rPr>
    </w:pPr>
    <w:r w:rsidRPr="00333536">
      <w:t xml:space="preserve">RFP Number:  </w:t>
    </w:r>
    <w:r w:rsidRPr="00333536">
      <w:rPr>
        <w:sz w:val="22"/>
        <w:szCs w:val="22"/>
      </w:rPr>
      <w:t xml:space="preserve"> </w:t>
    </w:r>
    <w:r w:rsidRPr="00333536">
      <w:rPr>
        <w:sz w:val="22"/>
        <w:szCs w:val="22"/>
      </w:rPr>
      <w:tab/>
    </w:r>
    <w:r w:rsidRPr="00333536">
      <w:rPr>
        <w:b/>
        <w:sz w:val="22"/>
        <w:szCs w:val="22"/>
      </w:rPr>
      <w:t>COSSO-2018-01</w:t>
    </w:r>
    <w:r w:rsidR="00EE2F31">
      <w:rPr>
        <w:b/>
        <w:sz w:val="22"/>
        <w:szCs w:val="22"/>
      </w:rPr>
      <w:t>-Language-Access-in-the-CA-Courts-PSK</w:t>
    </w:r>
  </w:p>
  <w:p w:rsidR="00333536" w:rsidRDefault="00333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CD3"/>
    <w:multiLevelType w:val="hybridMultilevel"/>
    <w:tmpl w:val="A9941902"/>
    <w:lvl w:ilvl="0" w:tplc="C1022070">
      <w:start w:val="1"/>
      <w:numFmt w:val="decimal"/>
      <w:lvlText w:val="%1."/>
      <w:lvlJc w:val="left"/>
      <w:pPr>
        <w:ind w:left="2700" w:hanging="360"/>
      </w:pPr>
      <w:rPr>
        <w:rFonts w:ascii="Times New Roman" w:eastAsia="Times New Roman" w:hAnsi="Times New Roman" w:cs="Times New Roman"/>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082406C6"/>
    <w:multiLevelType w:val="multilevel"/>
    <w:tmpl w:val="E4FC3E2C"/>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33DB1435"/>
    <w:multiLevelType w:val="hybridMultilevel"/>
    <w:tmpl w:val="3A3C7E2C"/>
    <w:lvl w:ilvl="0" w:tplc="992A4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BF2DE5"/>
    <w:multiLevelType w:val="hybridMultilevel"/>
    <w:tmpl w:val="DCDC7604"/>
    <w:lvl w:ilvl="0" w:tplc="1DC6A476">
      <w:start w:val="1"/>
      <w:numFmt w:val="lowerLetter"/>
      <w:lvlText w:val="%1."/>
      <w:lvlJc w:val="lef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4" w15:restartNumberingAfterBreak="0">
    <w:nsid w:val="49C00051"/>
    <w:multiLevelType w:val="hybridMultilevel"/>
    <w:tmpl w:val="B91E464C"/>
    <w:lvl w:ilvl="0" w:tplc="992A4AD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4A8753F1"/>
    <w:multiLevelType w:val="hybridMultilevel"/>
    <w:tmpl w:val="D51421D8"/>
    <w:lvl w:ilvl="0" w:tplc="D304D250">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6F9D1F47"/>
    <w:multiLevelType w:val="hybridMultilevel"/>
    <w:tmpl w:val="3E86F1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7BA"/>
    <w:rsid w:val="00016AF5"/>
    <w:rsid w:val="0002605F"/>
    <w:rsid w:val="000311CE"/>
    <w:rsid w:val="00034860"/>
    <w:rsid w:val="00035EAA"/>
    <w:rsid w:val="00044220"/>
    <w:rsid w:val="00072A4A"/>
    <w:rsid w:val="00094C07"/>
    <w:rsid w:val="000B3297"/>
    <w:rsid w:val="000C395C"/>
    <w:rsid w:val="000E0581"/>
    <w:rsid w:val="000E1475"/>
    <w:rsid w:val="000F211D"/>
    <w:rsid w:val="00111E75"/>
    <w:rsid w:val="001341C0"/>
    <w:rsid w:val="00137C75"/>
    <w:rsid w:val="00142E3B"/>
    <w:rsid w:val="0015647F"/>
    <w:rsid w:val="00171804"/>
    <w:rsid w:val="001744C3"/>
    <w:rsid w:val="0018055D"/>
    <w:rsid w:val="001837E8"/>
    <w:rsid w:val="0018611A"/>
    <w:rsid w:val="00192342"/>
    <w:rsid w:val="0019763F"/>
    <w:rsid w:val="001A6374"/>
    <w:rsid w:val="001B2C0A"/>
    <w:rsid w:val="001C17BA"/>
    <w:rsid w:val="001E7B6F"/>
    <w:rsid w:val="00232E74"/>
    <w:rsid w:val="00260AE4"/>
    <w:rsid w:val="002737A8"/>
    <w:rsid w:val="002A3681"/>
    <w:rsid w:val="002D5825"/>
    <w:rsid w:val="002D7E9A"/>
    <w:rsid w:val="002E1802"/>
    <w:rsid w:val="002E6E5B"/>
    <w:rsid w:val="002F555A"/>
    <w:rsid w:val="00300496"/>
    <w:rsid w:val="0030293A"/>
    <w:rsid w:val="00313BAA"/>
    <w:rsid w:val="00314235"/>
    <w:rsid w:val="00317942"/>
    <w:rsid w:val="00322F0D"/>
    <w:rsid w:val="00333536"/>
    <w:rsid w:val="003454FF"/>
    <w:rsid w:val="003460DC"/>
    <w:rsid w:val="003745E3"/>
    <w:rsid w:val="00380929"/>
    <w:rsid w:val="0039209A"/>
    <w:rsid w:val="00397703"/>
    <w:rsid w:val="003A2920"/>
    <w:rsid w:val="003E04C5"/>
    <w:rsid w:val="003E2C95"/>
    <w:rsid w:val="003E52F5"/>
    <w:rsid w:val="003E6212"/>
    <w:rsid w:val="003F4DDD"/>
    <w:rsid w:val="004012F5"/>
    <w:rsid w:val="00422384"/>
    <w:rsid w:val="004334B1"/>
    <w:rsid w:val="00437EC4"/>
    <w:rsid w:val="00452A1C"/>
    <w:rsid w:val="00453FDA"/>
    <w:rsid w:val="0048095E"/>
    <w:rsid w:val="004B16FE"/>
    <w:rsid w:val="004C70BC"/>
    <w:rsid w:val="004D454D"/>
    <w:rsid w:val="00515F18"/>
    <w:rsid w:val="00525F40"/>
    <w:rsid w:val="00531DCE"/>
    <w:rsid w:val="00533B46"/>
    <w:rsid w:val="00534DAB"/>
    <w:rsid w:val="00541CAB"/>
    <w:rsid w:val="00555065"/>
    <w:rsid w:val="00573DB8"/>
    <w:rsid w:val="00573E9A"/>
    <w:rsid w:val="0059583A"/>
    <w:rsid w:val="005B207A"/>
    <w:rsid w:val="005B55D0"/>
    <w:rsid w:val="005B782B"/>
    <w:rsid w:val="005C68FF"/>
    <w:rsid w:val="005D48A1"/>
    <w:rsid w:val="00602515"/>
    <w:rsid w:val="00611499"/>
    <w:rsid w:val="00646011"/>
    <w:rsid w:val="00651DBF"/>
    <w:rsid w:val="00654996"/>
    <w:rsid w:val="00660745"/>
    <w:rsid w:val="006867F7"/>
    <w:rsid w:val="00687D52"/>
    <w:rsid w:val="006950BC"/>
    <w:rsid w:val="006B15C7"/>
    <w:rsid w:val="00706EB1"/>
    <w:rsid w:val="0072168A"/>
    <w:rsid w:val="00726BDA"/>
    <w:rsid w:val="007444FC"/>
    <w:rsid w:val="00764E4F"/>
    <w:rsid w:val="00773790"/>
    <w:rsid w:val="00791B10"/>
    <w:rsid w:val="007B2B7A"/>
    <w:rsid w:val="007B55E8"/>
    <w:rsid w:val="007B776F"/>
    <w:rsid w:val="007C05A0"/>
    <w:rsid w:val="007D6569"/>
    <w:rsid w:val="007E5C10"/>
    <w:rsid w:val="0080535C"/>
    <w:rsid w:val="008123B5"/>
    <w:rsid w:val="00826481"/>
    <w:rsid w:val="0083257F"/>
    <w:rsid w:val="00845343"/>
    <w:rsid w:val="00851EF9"/>
    <w:rsid w:val="00857E14"/>
    <w:rsid w:val="00863894"/>
    <w:rsid w:val="008839CC"/>
    <w:rsid w:val="008A7B3F"/>
    <w:rsid w:val="008B799C"/>
    <w:rsid w:val="008C3046"/>
    <w:rsid w:val="008D5FBA"/>
    <w:rsid w:val="008F408F"/>
    <w:rsid w:val="00914BAF"/>
    <w:rsid w:val="00927B9D"/>
    <w:rsid w:val="0093281B"/>
    <w:rsid w:val="00934532"/>
    <w:rsid w:val="00961F98"/>
    <w:rsid w:val="009939E1"/>
    <w:rsid w:val="009B73B7"/>
    <w:rsid w:val="009C101E"/>
    <w:rsid w:val="009D6370"/>
    <w:rsid w:val="009E02A2"/>
    <w:rsid w:val="009E0D9A"/>
    <w:rsid w:val="009E59BC"/>
    <w:rsid w:val="00A6561D"/>
    <w:rsid w:val="00A66433"/>
    <w:rsid w:val="00A735EE"/>
    <w:rsid w:val="00AA3BB9"/>
    <w:rsid w:val="00AB6C88"/>
    <w:rsid w:val="00B22C1D"/>
    <w:rsid w:val="00B2632D"/>
    <w:rsid w:val="00B465B5"/>
    <w:rsid w:val="00B603E8"/>
    <w:rsid w:val="00B66F1C"/>
    <w:rsid w:val="00B8291A"/>
    <w:rsid w:val="00B8534A"/>
    <w:rsid w:val="00B93471"/>
    <w:rsid w:val="00BE1879"/>
    <w:rsid w:val="00BE3250"/>
    <w:rsid w:val="00BE438F"/>
    <w:rsid w:val="00BE5CBB"/>
    <w:rsid w:val="00C1663E"/>
    <w:rsid w:val="00C2237A"/>
    <w:rsid w:val="00C267D3"/>
    <w:rsid w:val="00C30BB4"/>
    <w:rsid w:val="00C346DE"/>
    <w:rsid w:val="00C352B2"/>
    <w:rsid w:val="00C36100"/>
    <w:rsid w:val="00C439E4"/>
    <w:rsid w:val="00C53AB0"/>
    <w:rsid w:val="00C64584"/>
    <w:rsid w:val="00C6553E"/>
    <w:rsid w:val="00C65699"/>
    <w:rsid w:val="00C71B2B"/>
    <w:rsid w:val="00C73178"/>
    <w:rsid w:val="00C835A5"/>
    <w:rsid w:val="00C875EA"/>
    <w:rsid w:val="00C90DFF"/>
    <w:rsid w:val="00C920B5"/>
    <w:rsid w:val="00C93983"/>
    <w:rsid w:val="00CA02FC"/>
    <w:rsid w:val="00CA1E8F"/>
    <w:rsid w:val="00CD52B4"/>
    <w:rsid w:val="00CE0B59"/>
    <w:rsid w:val="00CF20A9"/>
    <w:rsid w:val="00D033FA"/>
    <w:rsid w:val="00D07581"/>
    <w:rsid w:val="00D20B88"/>
    <w:rsid w:val="00D34070"/>
    <w:rsid w:val="00D57BF3"/>
    <w:rsid w:val="00D70330"/>
    <w:rsid w:val="00D862E3"/>
    <w:rsid w:val="00D9055C"/>
    <w:rsid w:val="00DA34A4"/>
    <w:rsid w:val="00DA748A"/>
    <w:rsid w:val="00DD6918"/>
    <w:rsid w:val="00DE2894"/>
    <w:rsid w:val="00E01955"/>
    <w:rsid w:val="00E11A6B"/>
    <w:rsid w:val="00E15D2C"/>
    <w:rsid w:val="00E23F60"/>
    <w:rsid w:val="00E3397B"/>
    <w:rsid w:val="00E35658"/>
    <w:rsid w:val="00E44F0D"/>
    <w:rsid w:val="00E5586B"/>
    <w:rsid w:val="00E700F5"/>
    <w:rsid w:val="00E92334"/>
    <w:rsid w:val="00EA4B99"/>
    <w:rsid w:val="00EB1304"/>
    <w:rsid w:val="00ED23E0"/>
    <w:rsid w:val="00ED63B7"/>
    <w:rsid w:val="00EE2F31"/>
    <w:rsid w:val="00F044C3"/>
    <w:rsid w:val="00F23A50"/>
    <w:rsid w:val="00F24F14"/>
    <w:rsid w:val="00F472EF"/>
    <w:rsid w:val="00F6050C"/>
    <w:rsid w:val="00F82BE9"/>
    <w:rsid w:val="00F830D3"/>
    <w:rsid w:val="00FA2250"/>
    <w:rsid w:val="00FB0528"/>
    <w:rsid w:val="00FB325F"/>
    <w:rsid w:val="00FB5DB3"/>
    <w:rsid w:val="00FC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A385288"/>
  <w15:docId w15:val="{846F3361-5103-42C6-8D8F-C2A5D81E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7BA"/>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D3407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D3407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D34070"/>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D34070"/>
    <w:pPr>
      <w:spacing w:before="240" w:after="60"/>
      <w:outlineLvl w:val="5"/>
    </w:pPr>
    <w:rPr>
      <w:b/>
      <w:bCs/>
    </w:rPr>
  </w:style>
  <w:style w:type="paragraph" w:styleId="Heading7">
    <w:name w:val="heading 7"/>
    <w:basedOn w:val="Normal"/>
    <w:next w:val="Normal"/>
    <w:link w:val="Heading7Char"/>
    <w:uiPriority w:val="9"/>
    <w:semiHidden/>
    <w:unhideWhenUsed/>
    <w:qFormat/>
    <w:rsid w:val="00D34070"/>
    <w:pPr>
      <w:spacing w:before="240" w:after="60"/>
      <w:outlineLvl w:val="6"/>
    </w:pPr>
  </w:style>
  <w:style w:type="paragraph" w:styleId="Heading8">
    <w:name w:val="heading 8"/>
    <w:basedOn w:val="Normal"/>
    <w:next w:val="Normal"/>
    <w:link w:val="Heading8Char"/>
    <w:uiPriority w:val="9"/>
    <w:semiHidden/>
    <w:unhideWhenUsed/>
    <w:qFormat/>
    <w:rsid w:val="00D34070"/>
    <w:pPr>
      <w:spacing w:before="240" w:after="60"/>
      <w:outlineLvl w:val="7"/>
    </w:pPr>
    <w:rPr>
      <w:i/>
      <w:iCs/>
    </w:rPr>
  </w:style>
  <w:style w:type="paragraph" w:styleId="Heading9">
    <w:name w:val="heading 9"/>
    <w:basedOn w:val="Normal"/>
    <w:next w:val="Normal"/>
    <w:link w:val="Heading9Char"/>
    <w:uiPriority w:val="9"/>
    <w:semiHidden/>
    <w:unhideWhenUsed/>
    <w:qFormat/>
    <w:rsid w:val="00D3407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07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D3407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34070"/>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D34070"/>
    <w:rPr>
      <w:b/>
      <w:bCs/>
    </w:rPr>
  </w:style>
  <w:style w:type="character" w:customStyle="1" w:styleId="Heading7Char">
    <w:name w:val="Heading 7 Char"/>
    <w:basedOn w:val="DefaultParagraphFont"/>
    <w:link w:val="Heading7"/>
    <w:uiPriority w:val="9"/>
    <w:semiHidden/>
    <w:rsid w:val="00D34070"/>
    <w:rPr>
      <w:sz w:val="24"/>
      <w:szCs w:val="24"/>
    </w:rPr>
  </w:style>
  <w:style w:type="character" w:customStyle="1" w:styleId="Heading8Char">
    <w:name w:val="Heading 8 Char"/>
    <w:basedOn w:val="DefaultParagraphFont"/>
    <w:link w:val="Heading8"/>
    <w:uiPriority w:val="9"/>
    <w:semiHidden/>
    <w:rsid w:val="00D34070"/>
    <w:rPr>
      <w:i/>
      <w:iCs/>
      <w:sz w:val="24"/>
      <w:szCs w:val="24"/>
    </w:rPr>
  </w:style>
  <w:style w:type="character" w:customStyle="1" w:styleId="Heading9Char">
    <w:name w:val="Heading 9 Char"/>
    <w:basedOn w:val="DefaultParagraphFont"/>
    <w:link w:val="Heading9"/>
    <w:uiPriority w:val="9"/>
    <w:semiHidden/>
    <w:rsid w:val="00D34070"/>
    <w:rPr>
      <w:rFonts w:asciiTheme="majorHAnsi" w:eastAsiaTheme="majorEastAsia" w:hAnsiTheme="majorHAnsi"/>
    </w:rPr>
  </w:style>
  <w:style w:type="paragraph" w:styleId="Title">
    <w:name w:val="Title"/>
    <w:basedOn w:val="Normal"/>
    <w:next w:val="Normal"/>
    <w:link w:val="TitleChar"/>
    <w:uiPriority w:val="10"/>
    <w:qFormat/>
    <w:rsid w:val="00D3407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3407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3407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34070"/>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D34070"/>
    <w:pPr>
      <w:outlineLvl w:val="9"/>
    </w:pPr>
  </w:style>
  <w:style w:type="table" w:styleId="TableGrid">
    <w:name w:val="Table Grid"/>
    <w:basedOn w:val="TableNormal"/>
    <w:uiPriority w:val="59"/>
    <w:rsid w:val="001C17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17BA"/>
    <w:pPr>
      <w:tabs>
        <w:tab w:val="center" w:pos="4680"/>
        <w:tab w:val="right" w:pos="9360"/>
      </w:tabs>
    </w:pPr>
  </w:style>
  <w:style w:type="character" w:customStyle="1" w:styleId="HeaderChar">
    <w:name w:val="Header Char"/>
    <w:basedOn w:val="DefaultParagraphFont"/>
    <w:link w:val="Header"/>
    <w:uiPriority w:val="99"/>
    <w:rsid w:val="001C17BA"/>
    <w:rPr>
      <w:rFonts w:ascii="Times New Roman" w:eastAsia="Times New Roman" w:hAnsi="Times New Roman"/>
      <w:lang w:bidi="ar-SA"/>
    </w:rPr>
  </w:style>
  <w:style w:type="paragraph" w:styleId="Footer">
    <w:name w:val="footer"/>
    <w:basedOn w:val="Normal"/>
    <w:link w:val="FooterChar"/>
    <w:uiPriority w:val="99"/>
    <w:unhideWhenUsed/>
    <w:rsid w:val="001C17BA"/>
    <w:pPr>
      <w:tabs>
        <w:tab w:val="center" w:pos="4680"/>
        <w:tab w:val="right" w:pos="9360"/>
      </w:tabs>
    </w:pPr>
  </w:style>
  <w:style w:type="character" w:customStyle="1" w:styleId="FooterChar">
    <w:name w:val="Footer Char"/>
    <w:basedOn w:val="DefaultParagraphFont"/>
    <w:link w:val="Footer"/>
    <w:uiPriority w:val="99"/>
    <w:rsid w:val="001C17BA"/>
    <w:rPr>
      <w:rFonts w:ascii="Times New Roman" w:eastAsia="Times New Roman" w:hAnsi="Times New Roman"/>
      <w:lang w:bidi="ar-SA"/>
    </w:rPr>
  </w:style>
  <w:style w:type="paragraph" w:styleId="CommentText">
    <w:name w:val="annotation text"/>
    <w:basedOn w:val="Normal"/>
    <w:link w:val="CommentTextChar"/>
    <w:uiPriority w:val="99"/>
    <w:semiHidden/>
    <w:rsid w:val="001C17BA"/>
    <w:rPr>
      <w:sz w:val="20"/>
      <w:szCs w:val="20"/>
    </w:rPr>
  </w:style>
  <w:style w:type="character" w:customStyle="1" w:styleId="CommentTextChar">
    <w:name w:val="Comment Text Char"/>
    <w:basedOn w:val="DefaultParagraphFont"/>
    <w:link w:val="CommentText"/>
    <w:uiPriority w:val="99"/>
    <w:semiHidden/>
    <w:rsid w:val="001C17BA"/>
    <w:rPr>
      <w:rFonts w:ascii="Times New Roman" w:eastAsia="Times New Roman" w:hAnsi="Times New Roman"/>
      <w:sz w:val="20"/>
      <w:szCs w:val="20"/>
      <w:lang w:bidi="ar-SA"/>
    </w:rPr>
  </w:style>
  <w:style w:type="paragraph" w:styleId="z-TopofForm">
    <w:name w:val="HTML Top of Form"/>
    <w:basedOn w:val="Normal"/>
    <w:next w:val="Normal"/>
    <w:link w:val="z-TopofFormChar"/>
    <w:hidden/>
    <w:uiPriority w:val="99"/>
    <w:semiHidden/>
    <w:unhideWhenUsed/>
    <w:rsid w:val="0039209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9209A"/>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39209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9209A"/>
    <w:rPr>
      <w:rFonts w:ascii="Arial" w:eastAsia="Times New Roman" w:hAnsi="Arial" w:cs="Arial"/>
      <w:vanish/>
      <w:sz w:val="16"/>
      <w:szCs w:val="16"/>
      <w:lang w:bidi="ar-SA"/>
    </w:rPr>
  </w:style>
  <w:style w:type="character" w:styleId="Hyperlink">
    <w:name w:val="Hyperlink"/>
    <w:basedOn w:val="DefaultParagraphFont"/>
    <w:rsid w:val="002737A8"/>
    <w:rPr>
      <w:color w:val="0000FF"/>
      <w:u w:val="single"/>
    </w:rPr>
  </w:style>
  <w:style w:type="paragraph" w:styleId="ListParagraph">
    <w:name w:val="List Paragraph"/>
    <w:basedOn w:val="Normal"/>
    <w:uiPriority w:val="99"/>
    <w:qFormat/>
    <w:rsid w:val="00927B9D"/>
    <w:pPr>
      <w:ind w:left="720"/>
      <w:contextualSpacing/>
    </w:pPr>
  </w:style>
  <w:style w:type="paragraph" w:styleId="BalloonText">
    <w:name w:val="Balloon Text"/>
    <w:basedOn w:val="Normal"/>
    <w:link w:val="BalloonTextChar"/>
    <w:uiPriority w:val="99"/>
    <w:semiHidden/>
    <w:unhideWhenUsed/>
    <w:rsid w:val="00E92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334"/>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2396</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Cynthia Feick</dc:creator>
  <cp:lastModifiedBy>Salahkamel, Patricia</cp:lastModifiedBy>
  <cp:revision>3</cp:revision>
  <cp:lastPrinted>2018-03-27T19:07:00Z</cp:lastPrinted>
  <dcterms:created xsi:type="dcterms:W3CDTF">2018-03-30T00:41:00Z</dcterms:created>
  <dcterms:modified xsi:type="dcterms:W3CDTF">2018-04-02T18:41:00Z</dcterms:modified>
</cp:coreProperties>
</file>