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675" w:rsidRPr="00A80E95" w:rsidRDefault="00150675" w:rsidP="00432F30">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150675" w:rsidRPr="00A80E95" w:rsidTr="00865F0C">
        <w:trPr>
          <w:trHeight w:val="360"/>
        </w:trPr>
        <w:tc>
          <w:tcPr>
            <w:tcW w:w="2448" w:type="dxa"/>
            <w:tcBorders>
              <w:top w:val="nil"/>
              <w:left w:val="nil"/>
              <w:bottom w:val="nil"/>
              <w:right w:val="nil"/>
            </w:tcBorders>
          </w:tcPr>
          <w:p w:rsidR="00150675" w:rsidRPr="00A80E95" w:rsidRDefault="00150675" w:rsidP="00865F0C">
            <w:pPr>
              <w:spacing w:after="240"/>
              <w:jc w:val="both"/>
              <w:rPr>
                <w:b/>
                <w:bCs/>
                <w:color w:val="000000"/>
              </w:rPr>
            </w:pPr>
            <w:r w:rsidRPr="00A80E95">
              <w:rPr>
                <w:b/>
                <w:bCs/>
                <w:color w:val="000000"/>
                <w:sz w:val="22"/>
                <w:szCs w:val="22"/>
              </w:rPr>
              <w:t>TO:</w:t>
            </w:r>
          </w:p>
        </w:tc>
        <w:tc>
          <w:tcPr>
            <w:tcW w:w="8910" w:type="dxa"/>
            <w:tcBorders>
              <w:top w:val="nil"/>
              <w:left w:val="nil"/>
              <w:bottom w:val="nil"/>
              <w:right w:val="nil"/>
            </w:tcBorders>
          </w:tcPr>
          <w:p w:rsidR="00150675" w:rsidRPr="00A80E95" w:rsidRDefault="00150675" w:rsidP="00865F0C">
            <w:pPr>
              <w:pStyle w:val="CommentText"/>
              <w:jc w:val="both"/>
              <w:rPr>
                <w:b/>
                <w:caps/>
                <w:color w:val="000000"/>
                <w:sz w:val="24"/>
                <w:szCs w:val="24"/>
              </w:rPr>
            </w:pPr>
            <w:r w:rsidRPr="00A80E95">
              <w:rPr>
                <w:b/>
                <w:caps/>
                <w:color w:val="000000"/>
                <w:sz w:val="24"/>
                <w:szCs w:val="24"/>
              </w:rPr>
              <w:t xml:space="preserve">Potential PROPOSERs                    </w:t>
            </w:r>
          </w:p>
          <w:p w:rsidR="00150675" w:rsidRPr="00A80E95" w:rsidRDefault="00150675" w:rsidP="00865F0C">
            <w:pPr>
              <w:pStyle w:val="CommentText"/>
              <w:jc w:val="both"/>
              <w:rPr>
                <w:caps/>
                <w:color w:val="000000"/>
                <w:sz w:val="8"/>
                <w:szCs w:val="8"/>
              </w:rPr>
            </w:pPr>
          </w:p>
        </w:tc>
      </w:tr>
      <w:tr w:rsidR="00150675" w:rsidRPr="00A80E95" w:rsidTr="00865F0C">
        <w:trPr>
          <w:trHeight w:val="678"/>
        </w:trPr>
        <w:tc>
          <w:tcPr>
            <w:tcW w:w="2448" w:type="dxa"/>
            <w:tcBorders>
              <w:top w:val="nil"/>
              <w:left w:val="nil"/>
              <w:bottom w:val="nil"/>
              <w:right w:val="nil"/>
            </w:tcBorders>
          </w:tcPr>
          <w:p w:rsidR="00150675" w:rsidRPr="00A80E95" w:rsidRDefault="00150675" w:rsidP="00865F0C">
            <w:pPr>
              <w:spacing w:after="240"/>
              <w:rPr>
                <w:b/>
                <w:bCs/>
                <w:color w:val="000000"/>
              </w:rPr>
            </w:pPr>
            <w:r w:rsidRPr="00A80E95">
              <w:rPr>
                <w:b/>
                <w:bCs/>
                <w:color w:val="000000"/>
                <w:sz w:val="22"/>
                <w:szCs w:val="22"/>
              </w:rPr>
              <w:t>FROM:</w:t>
            </w:r>
          </w:p>
        </w:tc>
        <w:tc>
          <w:tcPr>
            <w:tcW w:w="8910" w:type="dxa"/>
            <w:tcBorders>
              <w:top w:val="nil"/>
              <w:left w:val="nil"/>
              <w:bottom w:val="nil"/>
              <w:right w:val="nil"/>
            </w:tcBorders>
          </w:tcPr>
          <w:p w:rsidR="00150675" w:rsidRPr="00A80E95" w:rsidRDefault="00150675" w:rsidP="00865F0C">
            <w:pPr>
              <w:rPr>
                <w:color w:val="000000"/>
              </w:rPr>
            </w:pPr>
            <w:r w:rsidRPr="00A80E95">
              <w:rPr>
                <w:color w:val="000000"/>
                <w:sz w:val="22"/>
                <w:szCs w:val="22"/>
              </w:rPr>
              <w:t>ADMINISTRATIVE OFFICE OF THE COURTS</w:t>
            </w:r>
          </w:p>
          <w:p w:rsidR="00150675" w:rsidRPr="00A80E95" w:rsidRDefault="00150675" w:rsidP="00865F0C">
            <w:pPr>
              <w:rPr>
                <w:color w:val="000000"/>
                <w:sz w:val="4"/>
                <w:szCs w:val="4"/>
              </w:rPr>
            </w:pPr>
          </w:p>
          <w:p w:rsidR="00150675" w:rsidRPr="00A80E95" w:rsidRDefault="00150675" w:rsidP="00865F0C">
            <w:pPr>
              <w:rPr>
                <w:color w:val="000000"/>
                <w:sz w:val="12"/>
                <w:szCs w:val="12"/>
              </w:rPr>
            </w:pPr>
            <w:r w:rsidRPr="00A80E95">
              <w:rPr>
                <w:color w:val="000000"/>
                <w:sz w:val="22"/>
                <w:szCs w:val="22"/>
              </w:rPr>
              <w:t>FINANCE DIVISION</w:t>
            </w:r>
          </w:p>
        </w:tc>
      </w:tr>
      <w:tr w:rsidR="00150675" w:rsidRPr="00A80E95" w:rsidTr="00865F0C">
        <w:trPr>
          <w:trHeight w:val="363"/>
        </w:trPr>
        <w:tc>
          <w:tcPr>
            <w:tcW w:w="2448" w:type="dxa"/>
            <w:tcBorders>
              <w:top w:val="nil"/>
              <w:left w:val="nil"/>
              <w:bottom w:val="nil"/>
              <w:right w:val="nil"/>
            </w:tcBorders>
          </w:tcPr>
          <w:p w:rsidR="00150675" w:rsidRPr="00A80E95" w:rsidRDefault="00150675" w:rsidP="00865F0C">
            <w:pPr>
              <w:spacing w:after="240"/>
              <w:rPr>
                <w:b/>
                <w:bCs/>
                <w:color w:val="000000"/>
              </w:rPr>
            </w:pPr>
            <w:r w:rsidRPr="00A80E95">
              <w:rPr>
                <w:b/>
                <w:bCs/>
                <w:color w:val="000000"/>
                <w:sz w:val="22"/>
                <w:szCs w:val="22"/>
              </w:rPr>
              <w:t xml:space="preserve">DATE: </w:t>
            </w:r>
          </w:p>
        </w:tc>
        <w:tc>
          <w:tcPr>
            <w:tcW w:w="8910" w:type="dxa"/>
            <w:tcBorders>
              <w:top w:val="nil"/>
              <w:left w:val="nil"/>
              <w:bottom w:val="nil"/>
              <w:right w:val="nil"/>
            </w:tcBorders>
          </w:tcPr>
          <w:p w:rsidR="00150675" w:rsidRPr="00A80E95" w:rsidRDefault="00150675" w:rsidP="00FB40F2">
            <w:pPr>
              <w:rPr>
                <w:color w:val="000000"/>
              </w:rPr>
            </w:pPr>
            <w:r w:rsidRPr="00A80E95">
              <w:rPr>
                <w:rStyle w:val="Hyperlink"/>
                <w:color w:val="000000"/>
                <w:sz w:val="22"/>
                <w:szCs w:val="22"/>
                <w:u w:val="none"/>
              </w:rPr>
              <w:t>October 2</w:t>
            </w:r>
            <w:r>
              <w:rPr>
                <w:rStyle w:val="Hyperlink"/>
                <w:color w:val="000000"/>
                <w:sz w:val="22"/>
                <w:szCs w:val="22"/>
                <w:u w:val="none"/>
              </w:rPr>
              <w:t>6</w:t>
            </w:r>
            <w:r w:rsidRPr="00A80E95">
              <w:rPr>
                <w:rStyle w:val="Hyperlink"/>
                <w:color w:val="000000"/>
                <w:sz w:val="22"/>
                <w:szCs w:val="22"/>
                <w:u w:val="none"/>
              </w:rPr>
              <w:t>, 2009</w:t>
            </w:r>
          </w:p>
        </w:tc>
      </w:tr>
      <w:tr w:rsidR="00150675" w:rsidRPr="00A80E95" w:rsidTr="00DD0AB9">
        <w:trPr>
          <w:trHeight w:val="776"/>
        </w:trPr>
        <w:tc>
          <w:tcPr>
            <w:tcW w:w="2448" w:type="dxa"/>
            <w:tcBorders>
              <w:top w:val="nil"/>
              <w:left w:val="nil"/>
              <w:bottom w:val="nil"/>
              <w:right w:val="nil"/>
            </w:tcBorders>
          </w:tcPr>
          <w:p w:rsidR="00150675" w:rsidRPr="00A80E95" w:rsidRDefault="00150675" w:rsidP="00865F0C">
            <w:pPr>
              <w:spacing w:after="240"/>
              <w:rPr>
                <w:b/>
                <w:bCs/>
                <w:color w:val="000000"/>
              </w:rPr>
            </w:pPr>
            <w:r w:rsidRPr="00A80E95">
              <w:rPr>
                <w:b/>
                <w:bCs/>
                <w:color w:val="000000"/>
                <w:sz w:val="22"/>
                <w:szCs w:val="22"/>
              </w:rPr>
              <w:t>SUBJECT/PURPOSE OF MEMO:</w:t>
            </w:r>
          </w:p>
        </w:tc>
        <w:tc>
          <w:tcPr>
            <w:tcW w:w="8910" w:type="dxa"/>
            <w:tcBorders>
              <w:top w:val="nil"/>
              <w:left w:val="nil"/>
              <w:bottom w:val="nil"/>
              <w:right w:val="nil"/>
            </w:tcBorders>
          </w:tcPr>
          <w:p w:rsidR="00150675" w:rsidRPr="00A80E95" w:rsidRDefault="00150675" w:rsidP="00BF4DE2">
            <w:pPr>
              <w:ind w:right="252"/>
              <w:rPr>
                <w:color w:val="000000"/>
              </w:rPr>
            </w:pPr>
            <w:r w:rsidRPr="00A80E95">
              <w:rPr>
                <w:color w:val="000000"/>
                <w:sz w:val="22"/>
                <w:szCs w:val="22"/>
              </w:rPr>
              <w:t xml:space="preserve">The purpose of this document is to publish the AOC’s Responses to Vendors’ Questions, directed to the </w:t>
            </w:r>
            <w:hyperlink r:id="rId7" w:history="1">
              <w:r w:rsidRPr="00A80E95">
                <w:rPr>
                  <w:color w:val="000000"/>
                  <w:sz w:val="22"/>
                  <w:szCs w:val="22"/>
                </w:rPr>
                <w:t>Solicitations@jud.ca.gov</w:t>
              </w:r>
            </w:hyperlink>
            <w:r w:rsidRPr="00A80E95">
              <w:rPr>
                <w:color w:val="000000"/>
                <w:sz w:val="22"/>
                <w:szCs w:val="22"/>
              </w:rPr>
              <w:t xml:space="preserve"> by October 12, 2009, at close of business. </w:t>
            </w:r>
          </w:p>
          <w:p w:rsidR="00150675" w:rsidRPr="00A80E95" w:rsidRDefault="00150675" w:rsidP="00865F0C">
            <w:pPr>
              <w:pStyle w:val="BodyTextIndent2"/>
              <w:tabs>
                <w:tab w:val="left" w:pos="8442"/>
              </w:tabs>
              <w:spacing w:after="0" w:line="240" w:lineRule="auto"/>
              <w:ind w:left="0" w:right="162"/>
              <w:jc w:val="both"/>
              <w:rPr>
                <w:caps/>
                <w:color w:val="000000"/>
              </w:rPr>
            </w:pPr>
          </w:p>
        </w:tc>
      </w:tr>
      <w:tr w:rsidR="00150675" w:rsidRPr="00A80E95" w:rsidTr="00BF4DE2">
        <w:trPr>
          <w:trHeight w:val="983"/>
        </w:trPr>
        <w:tc>
          <w:tcPr>
            <w:tcW w:w="2448" w:type="dxa"/>
            <w:tcBorders>
              <w:top w:val="nil"/>
              <w:left w:val="nil"/>
              <w:bottom w:val="nil"/>
              <w:right w:val="nil"/>
            </w:tcBorders>
          </w:tcPr>
          <w:p w:rsidR="00150675" w:rsidRPr="00A80E95" w:rsidRDefault="00150675" w:rsidP="00865F0C">
            <w:pPr>
              <w:spacing w:after="240"/>
              <w:rPr>
                <w:b/>
                <w:bCs/>
                <w:color w:val="000000"/>
              </w:rPr>
            </w:pPr>
            <w:r w:rsidRPr="00A80E95">
              <w:rPr>
                <w:b/>
                <w:bCs/>
                <w:color w:val="000000"/>
                <w:sz w:val="22"/>
                <w:szCs w:val="22"/>
              </w:rPr>
              <w:t>ACTION REQUIRED:</w:t>
            </w:r>
          </w:p>
        </w:tc>
        <w:tc>
          <w:tcPr>
            <w:tcW w:w="8910" w:type="dxa"/>
            <w:tcBorders>
              <w:top w:val="nil"/>
              <w:left w:val="nil"/>
              <w:bottom w:val="nil"/>
              <w:right w:val="nil"/>
            </w:tcBorders>
          </w:tcPr>
          <w:p w:rsidR="00150675" w:rsidRPr="00A80E95" w:rsidRDefault="00150675" w:rsidP="00865F0C">
            <w:pPr>
              <w:ind w:right="252"/>
              <w:rPr>
                <w:color w:val="000000"/>
              </w:rPr>
            </w:pPr>
            <w:r w:rsidRPr="00A80E95">
              <w:rPr>
                <w:color w:val="000000"/>
                <w:sz w:val="22"/>
                <w:szCs w:val="22"/>
              </w:rPr>
              <w:t xml:space="preserve">You are invited to review and respond to the attached Request for Proposal (RFP), </w:t>
            </w:r>
          </w:p>
          <w:p w:rsidR="00150675" w:rsidRPr="00A80E95" w:rsidRDefault="00150675" w:rsidP="00865F0C">
            <w:pPr>
              <w:ind w:right="252"/>
              <w:rPr>
                <w:color w:val="000000"/>
                <w:sz w:val="8"/>
                <w:szCs w:val="8"/>
              </w:rPr>
            </w:pPr>
          </w:p>
          <w:p w:rsidR="00150675" w:rsidRPr="00A80E95" w:rsidRDefault="00150675" w:rsidP="00865F0C">
            <w:pPr>
              <w:pStyle w:val="Header"/>
              <w:ind w:left="1242" w:hanging="1242"/>
              <w:rPr>
                <w:b/>
                <w:color w:val="000000"/>
              </w:rPr>
            </w:pPr>
            <w:r w:rsidRPr="00A80E95">
              <w:rPr>
                <w:b/>
                <w:color w:val="000000"/>
                <w:sz w:val="22"/>
                <w:szCs w:val="22"/>
              </w:rPr>
              <w:t xml:space="preserve">Project Title:  REVIEW OF STATEWIDE UNIFORM CHILD SUPPORT GUIDELINE </w:t>
            </w:r>
          </w:p>
          <w:p w:rsidR="00150675" w:rsidRPr="00A80E95" w:rsidRDefault="00150675" w:rsidP="00865F0C">
            <w:pPr>
              <w:pStyle w:val="Header"/>
              <w:rPr>
                <w:b/>
                <w:color w:val="000000"/>
                <w:sz w:val="8"/>
                <w:szCs w:val="8"/>
              </w:rPr>
            </w:pPr>
          </w:p>
          <w:p w:rsidR="00150675" w:rsidRPr="00A80E95" w:rsidRDefault="00150675" w:rsidP="00865F0C">
            <w:pPr>
              <w:pStyle w:val="Header"/>
              <w:rPr>
                <w:b/>
                <w:caps/>
                <w:color w:val="000000"/>
              </w:rPr>
            </w:pPr>
            <w:r w:rsidRPr="00A80E95">
              <w:rPr>
                <w:b/>
                <w:color w:val="000000"/>
                <w:sz w:val="22"/>
                <w:szCs w:val="22"/>
              </w:rPr>
              <w:t>RFP Number:  CFCC 15-09-LM</w:t>
            </w:r>
          </w:p>
        </w:tc>
      </w:tr>
      <w:tr w:rsidR="00150675" w:rsidRPr="00A80E95" w:rsidTr="00BF4DE2">
        <w:trPr>
          <w:trHeight w:val="85"/>
        </w:trPr>
        <w:tc>
          <w:tcPr>
            <w:tcW w:w="2448" w:type="dxa"/>
            <w:tcBorders>
              <w:top w:val="nil"/>
              <w:left w:val="nil"/>
              <w:bottom w:val="nil"/>
              <w:right w:val="nil"/>
            </w:tcBorders>
          </w:tcPr>
          <w:p w:rsidR="00150675" w:rsidRPr="00A80E95" w:rsidRDefault="00150675" w:rsidP="00865F0C">
            <w:pPr>
              <w:jc w:val="both"/>
              <w:rPr>
                <w:b/>
                <w:bCs/>
                <w:color w:val="000000"/>
              </w:rPr>
            </w:pPr>
          </w:p>
        </w:tc>
        <w:tc>
          <w:tcPr>
            <w:tcW w:w="8910" w:type="dxa"/>
            <w:tcBorders>
              <w:top w:val="nil"/>
              <w:left w:val="nil"/>
              <w:bottom w:val="nil"/>
              <w:right w:val="nil"/>
            </w:tcBorders>
          </w:tcPr>
          <w:p w:rsidR="00150675" w:rsidRPr="00A80E95" w:rsidRDefault="00150675" w:rsidP="00BF4DE2">
            <w:pPr>
              <w:ind w:right="162"/>
              <w:jc w:val="both"/>
              <w:rPr>
                <w:caps/>
                <w:color w:val="000000"/>
              </w:rPr>
            </w:pPr>
            <w:r w:rsidRPr="00A80E95">
              <w:rPr>
                <w:color w:val="000000"/>
                <w:sz w:val="22"/>
                <w:szCs w:val="22"/>
              </w:rPr>
              <w:t xml:space="preserve"> </w:t>
            </w:r>
          </w:p>
        </w:tc>
      </w:tr>
      <w:tr w:rsidR="00150675" w:rsidRPr="00A80E95" w:rsidTr="00217505">
        <w:trPr>
          <w:trHeight w:val="965"/>
        </w:trPr>
        <w:tc>
          <w:tcPr>
            <w:tcW w:w="2448" w:type="dxa"/>
            <w:tcBorders>
              <w:top w:val="nil"/>
              <w:left w:val="nil"/>
              <w:bottom w:val="nil"/>
              <w:right w:val="nil"/>
            </w:tcBorders>
          </w:tcPr>
          <w:p w:rsidR="00150675" w:rsidRPr="00A80E95" w:rsidRDefault="00150675" w:rsidP="00865F0C">
            <w:pPr>
              <w:spacing w:after="240"/>
              <w:rPr>
                <w:b/>
                <w:bCs/>
                <w:color w:val="000000"/>
              </w:rPr>
            </w:pPr>
            <w:r w:rsidRPr="00A80E95">
              <w:rPr>
                <w:b/>
                <w:bCs/>
                <w:color w:val="000000"/>
                <w:sz w:val="22"/>
                <w:szCs w:val="22"/>
              </w:rPr>
              <w:t>DATE AND TIME PROPOSAL DUE:</w:t>
            </w:r>
          </w:p>
        </w:tc>
        <w:tc>
          <w:tcPr>
            <w:tcW w:w="8910" w:type="dxa"/>
            <w:tcBorders>
              <w:top w:val="nil"/>
              <w:left w:val="nil"/>
              <w:bottom w:val="nil"/>
              <w:right w:val="nil"/>
            </w:tcBorders>
          </w:tcPr>
          <w:p w:rsidR="00150675" w:rsidRPr="00A80E95" w:rsidRDefault="00150675" w:rsidP="00865F0C">
            <w:pPr>
              <w:ind w:right="162"/>
              <w:jc w:val="both"/>
              <w:rPr>
                <w:bCs/>
                <w:iCs/>
                <w:color w:val="000000"/>
              </w:rPr>
            </w:pPr>
            <w:r w:rsidRPr="00A80E95">
              <w:rPr>
                <w:color w:val="000000"/>
                <w:sz w:val="22"/>
                <w:szCs w:val="22"/>
              </w:rPr>
              <w:t xml:space="preserve">There will not be a pre-proposal conference for this RFP.  </w:t>
            </w:r>
          </w:p>
          <w:p w:rsidR="00150675" w:rsidRPr="00A80E95" w:rsidRDefault="00150675" w:rsidP="00865F0C">
            <w:pPr>
              <w:rPr>
                <w:b/>
                <w:bCs/>
                <w:color w:val="000000"/>
              </w:rPr>
            </w:pPr>
          </w:p>
          <w:p w:rsidR="00150675" w:rsidRPr="00A80E95" w:rsidRDefault="00150675" w:rsidP="00865F0C">
            <w:pPr>
              <w:rPr>
                <w:color w:val="000000"/>
              </w:rPr>
            </w:pPr>
            <w:r w:rsidRPr="00A80E95">
              <w:rPr>
                <w:bCs/>
                <w:color w:val="000000"/>
                <w:sz w:val="22"/>
                <w:szCs w:val="22"/>
              </w:rPr>
              <w:t xml:space="preserve">Proposals must be received by </w:t>
            </w:r>
            <w:r w:rsidRPr="00A80E95">
              <w:rPr>
                <w:rStyle w:val="Hyperlink"/>
                <w:b/>
                <w:color w:val="000000"/>
                <w:sz w:val="22"/>
                <w:szCs w:val="22"/>
                <w:u w:val="none"/>
              </w:rPr>
              <w:t>November 2, 2009, at close of business.</w:t>
            </w:r>
          </w:p>
        </w:tc>
      </w:tr>
      <w:tr w:rsidR="00150675" w:rsidRPr="00A80E95" w:rsidTr="00865F0C">
        <w:trPr>
          <w:cantSplit/>
          <w:trHeight w:val="1593"/>
        </w:trPr>
        <w:tc>
          <w:tcPr>
            <w:tcW w:w="2448" w:type="dxa"/>
            <w:tcBorders>
              <w:top w:val="nil"/>
              <w:left w:val="nil"/>
              <w:bottom w:val="nil"/>
              <w:right w:val="nil"/>
            </w:tcBorders>
          </w:tcPr>
          <w:p w:rsidR="00150675" w:rsidRPr="00A80E95" w:rsidRDefault="00150675" w:rsidP="00865F0C">
            <w:pPr>
              <w:spacing w:after="240"/>
              <w:rPr>
                <w:b/>
                <w:bCs/>
                <w:color w:val="000000"/>
              </w:rPr>
            </w:pPr>
            <w:r w:rsidRPr="00A80E95">
              <w:rPr>
                <w:b/>
                <w:bCs/>
                <w:color w:val="000000"/>
                <w:sz w:val="22"/>
                <w:szCs w:val="22"/>
              </w:rPr>
              <w:t>SUBMISSION OF  PROPOSAL:</w:t>
            </w:r>
          </w:p>
        </w:tc>
        <w:tc>
          <w:tcPr>
            <w:tcW w:w="8910" w:type="dxa"/>
            <w:tcBorders>
              <w:top w:val="nil"/>
              <w:left w:val="nil"/>
              <w:bottom w:val="nil"/>
              <w:right w:val="nil"/>
            </w:tcBorders>
          </w:tcPr>
          <w:p w:rsidR="00150675" w:rsidRPr="00A80E95" w:rsidRDefault="00150675" w:rsidP="00865F0C">
            <w:pPr>
              <w:rPr>
                <w:color w:val="000000"/>
              </w:rPr>
            </w:pPr>
            <w:r w:rsidRPr="00A80E95">
              <w:rPr>
                <w:color w:val="000000"/>
                <w:sz w:val="22"/>
                <w:szCs w:val="22"/>
              </w:rPr>
              <w:t>Proposals must be sent to:</w:t>
            </w:r>
          </w:p>
          <w:p w:rsidR="00150675" w:rsidRPr="00A80E95" w:rsidRDefault="00150675" w:rsidP="00865F0C">
            <w:pPr>
              <w:rPr>
                <w:bCs/>
                <w:color w:val="000000"/>
                <w:sz w:val="4"/>
                <w:szCs w:val="4"/>
              </w:rPr>
            </w:pPr>
          </w:p>
          <w:p w:rsidR="00150675" w:rsidRPr="00A80E95" w:rsidRDefault="00150675" w:rsidP="00865F0C">
            <w:pPr>
              <w:rPr>
                <w:b/>
                <w:bCs/>
                <w:color w:val="000000"/>
              </w:rPr>
            </w:pPr>
            <w:r w:rsidRPr="00A80E95">
              <w:rPr>
                <w:b/>
                <w:bCs/>
                <w:color w:val="000000"/>
                <w:sz w:val="22"/>
                <w:szCs w:val="22"/>
              </w:rPr>
              <w:t>Judicial Council of California</w:t>
            </w:r>
            <w:r w:rsidRPr="00A80E95">
              <w:rPr>
                <w:b/>
                <w:bCs/>
                <w:color w:val="000000"/>
                <w:sz w:val="22"/>
                <w:szCs w:val="22"/>
              </w:rPr>
              <w:br/>
              <w:t>Administrative Office of the Courts</w:t>
            </w:r>
            <w:r w:rsidRPr="00A80E95">
              <w:rPr>
                <w:b/>
                <w:bCs/>
                <w:color w:val="000000"/>
                <w:sz w:val="22"/>
                <w:szCs w:val="22"/>
              </w:rPr>
              <w:br/>
              <w:t xml:space="preserve">Attn:  Nadine McFadden, RFP No. </w:t>
            </w:r>
            <w:r w:rsidRPr="00A80E95">
              <w:rPr>
                <w:color w:val="000000"/>
                <w:sz w:val="22"/>
                <w:szCs w:val="22"/>
              </w:rPr>
              <w:t xml:space="preserve"> </w:t>
            </w:r>
            <w:r w:rsidRPr="00A80E95">
              <w:rPr>
                <w:b/>
                <w:color w:val="000000"/>
                <w:sz w:val="22"/>
                <w:szCs w:val="22"/>
              </w:rPr>
              <w:t>CFCC 15-09-LM</w:t>
            </w:r>
          </w:p>
          <w:p w:rsidR="00150675" w:rsidRPr="00A80E95" w:rsidRDefault="00150675" w:rsidP="00865F0C">
            <w:pPr>
              <w:rPr>
                <w:b/>
                <w:bCs/>
                <w:color w:val="000000"/>
              </w:rPr>
            </w:pPr>
            <w:r w:rsidRPr="00A80E95">
              <w:rPr>
                <w:b/>
                <w:bCs/>
                <w:color w:val="000000"/>
                <w:sz w:val="22"/>
                <w:szCs w:val="22"/>
              </w:rPr>
              <w:t>455 Golden Gate Avenue, 7th Floor</w:t>
            </w:r>
            <w:r w:rsidRPr="00A80E95">
              <w:rPr>
                <w:b/>
                <w:bCs/>
                <w:color w:val="000000"/>
                <w:sz w:val="22"/>
                <w:szCs w:val="22"/>
              </w:rPr>
              <w:br/>
              <w:t>San Francisco, CA  94102-3688</w:t>
            </w:r>
          </w:p>
          <w:p w:rsidR="00150675" w:rsidRPr="00A80E95" w:rsidRDefault="00150675" w:rsidP="00865F0C">
            <w:pPr>
              <w:pStyle w:val="BodyTextIndent2"/>
              <w:tabs>
                <w:tab w:val="left" w:pos="8442"/>
              </w:tabs>
              <w:spacing w:after="0" w:line="240" w:lineRule="auto"/>
              <w:ind w:left="0" w:right="162"/>
              <w:jc w:val="both"/>
              <w:rPr>
                <w:caps/>
                <w:color w:val="000000"/>
                <w:sz w:val="16"/>
                <w:szCs w:val="16"/>
              </w:rPr>
            </w:pPr>
          </w:p>
        </w:tc>
      </w:tr>
    </w:tbl>
    <w:p w:rsidR="00150675" w:rsidRPr="00A80E95" w:rsidRDefault="00150675" w:rsidP="00432F30">
      <w:pPr>
        <w:pStyle w:val="BodyText"/>
        <w:rPr>
          <w:b/>
          <w:color w:val="000000"/>
        </w:rPr>
        <w:sectPr w:rsidR="00150675" w:rsidRPr="00A80E95" w:rsidSect="00432F30">
          <w:headerReference w:type="even" r:id="rId8"/>
          <w:headerReference w:type="default" r:id="rId9"/>
          <w:footerReference w:type="even" r:id="rId10"/>
          <w:headerReference w:type="first" r:id="rId11"/>
          <w:pgSz w:w="12240" w:h="15840" w:code="1"/>
          <w:pgMar w:top="720" w:right="1008" w:bottom="576" w:left="864" w:header="1296" w:footer="360" w:gutter="0"/>
          <w:cols w:space="720"/>
          <w:titlePg/>
        </w:sectPr>
      </w:pPr>
    </w:p>
    <w:p w:rsidR="00150675" w:rsidRPr="00A80E95" w:rsidRDefault="00150675" w:rsidP="000F358E">
      <w:pPr>
        <w:jc w:val="center"/>
        <w:rPr>
          <w:b/>
          <w:bCs/>
          <w:color w:val="000000"/>
          <w:sz w:val="26"/>
          <w:szCs w:val="26"/>
        </w:rPr>
      </w:pPr>
      <w:r w:rsidRPr="00A80E95">
        <w:rPr>
          <w:b/>
          <w:bCs/>
          <w:color w:val="000000"/>
          <w:sz w:val="26"/>
          <w:szCs w:val="26"/>
        </w:rPr>
        <w:lastRenderedPageBreak/>
        <w:t>JUDICIAL COUNCIL OF CALIFORNIA</w:t>
      </w:r>
    </w:p>
    <w:p w:rsidR="00150675" w:rsidRPr="00A80E95" w:rsidRDefault="00150675" w:rsidP="000F358E">
      <w:pPr>
        <w:keepNext/>
        <w:ind w:hanging="720"/>
        <w:jc w:val="center"/>
        <w:rPr>
          <w:b/>
          <w:bCs/>
          <w:color w:val="000000"/>
          <w:sz w:val="26"/>
          <w:szCs w:val="26"/>
        </w:rPr>
      </w:pPr>
      <w:r w:rsidRPr="00A80E95">
        <w:rPr>
          <w:b/>
          <w:bCs/>
          <w:color w:val="000000"/>
          <w:sz w:val="26"/>
          <w:szCs w:val="26"/>
        </w:rPr>
        <w:t>ADMINISTRATIVE OFFICE OF THE COURTS</w:t>
      </w:r>
    </w:p>
    <w:p w:rsidR="00150675" w:rsidRPr="00A80E95" w:rsidRDefault="00150675" w:rsidP="000F358E">
      <w:pPr>
        <w:ind w:right="288" w:hanging="720"/>
        <w:jc w:val="both"/>
        <w:rPr>
          <w:color w:val="000000"/>
        </w:rPr>
      </w:pPr>
      <w:r w:rsidRPr="00A80E95">
        <w:rPr>
          <w:color w:val="000000"/>
        </w:rPr>
        <w:tab/>
      </w:r>
    </w:p>
    <w:p w:rsidR="00150675" w:rsidRPr="00A80E95" w:rsidRDefault="00150675" w:rsidP="000F358E">
      <w:pPr>
        <w:widowControl w:val="0"/>
        <w:rPr>
          <w:bCs/>
          <w:color w:val="000000"/>
          <w:sz w:val="12"/>
          <w:szCs w:val="12"/>
        </w:rPr>
      </w:pPr>
    </w:p>
    <w:p w:rsidR="00150675" w:rsidRPr="00A80E95" w:rsidRDefault="00150675" w:rsidP="000F358E">
      <w:pPr>
        <w:widowControl w:val="0"/>
        <w:jc w:val="center"/>
        <w:rPr>
          <w:b/>
          <w:bCs/>
          <w:color w:val="000000"/>
          <w:sz w:val="26"/>
          <w:szCs w:val="26"/>
        </w:rPr>
      </w:pPr>
      <w:r w:rsidRPr="00A80E95">
        <w:rPr>
          <w:b/>
          <w:bCs/>
          <w:color w:val="000000"/>
          <w:sz w:val="26"/>
          <w:szCs w:val="26"/>
        </w:rPr>
        <w:t>AOC RESPONSES TO VENDORS’ QUESTIONS</w:t>
      </w:r>
    </w:p>
    <w:p w:rsidR="00150675" w:rsidRPr="00A80E95" w:rsidRDefault="00150675" w:rsidP="000F358E">
      <w:pPr>
        <w:widowControl w:val="0"/>
        <w:ind w:right="576"/>
        <w:jc w:val="both"/>
        <w:rPr>
          <w:b/>
          <w:bCs/>
          <w:color w:val="000000"/>
        </w:rPr>
      </w:pPr>
    </w:p>
    <w:p w:rsidR="00150675" w:rsidRPr="00A80E95" w:rsidRDefault="00150675" w:rsidP="000F358E">
      <w:pPr>
        <w:pStyle w:val="listparagraph0"/>
        <w:ind w:left="0" w:right="-36"/>
        <w:jc w:val="both"/>
        <w:rPr>
          <w:b/>
          <w:color w:val="000000"/>
        </w:rPr>
      </w:pPr>
      <w:r w:rsidRPr="00A80E95">
        <w:rPr>
          <w:b/>
          <w:color w:val="000000"/>
        </w:rPr>
        <w:t>Question 1</w:t>
      </w:r>
      <w:r w:rsidRPr="00A80E95">
        <w:rPr>
          <w:color w:val="000000"/>
        </w:rPr>
        <w:t>: Please provide the relative evaluation weighting for SPSS knowledge and experience requirement.  If a proposed staff has many years experience and expertise in using the Statewide Uniform Child Support Guidelines, and experience in statistical analysis, but does not have specific experience in SPSS, will that staff person be disqualified? </w:t>
      </w:r>
    </w:p>
    <w:p w:rsidR="00150675" w:rsidRPr="00A80E95" w:rsidRDefault="00150675" w:rsidP="000F358E">
      <w:pPr>
        <w:pStyle w:val="listparagraph0"/>
        <w:ind w:left="0" w:right="-72"/>
        <w:jc w:val="both"/>
        <w:rPr>
          <w:b/>
          <w:color w:val="000000"/>
        </w:rPr>
      </w:pPr>
    </w:p>
    <w:p w:rsidR="00150675" w:rsidRDefault="00150675" w:rsidP="000F358E">
      <w:pPr>
        <w:ind w:right="-72"/>
        <w:jc w:val="both"/>
        <w:rPr>
          <w:i/>
          <w:color w:val="000000"/>
        </w:rPr>
      </w:pPr>
      <w:r w:rsidRPr="00A80E95">
        <w:rPr>
          <w:i/>
          <w:color w:val="000000"/>
        </w:rPr>
        <w:t>Answer:  Section 6.3.1.2 of the RFP document requires experience in collecting and manipulating large data sets.  Lack of knowledge and experience using SPSS could result in duplicative data entry for the project and affect the ability to meet the timelines.  Lack of knowledge/experience with SPSS could result in a reduction of the points allotted for that criterion</w:t>
      </w:r>
      <w:r>
        <w:rPr>
          <w:i/>
          <w:color w:val="000000"/>
        </w:rPr>
        <w:t>; but would not result in immediate disqualification</w:t>
      </w:r>
      <w:r w:rsidRPr="00A80E95">
        <w:rPr>
          <w:i/>
          <w:color w:val="000000"/>
        </w:rPr>
        <w:t>.</w:t>
      </w:r>
    </w:p>
    <w:p w:rsidR="00150675" w:rsidRPr="00A80E95" w:rsidRDefault="00150675" w:rsidP="000F358E">
      <w:pPr>
        <w:ind w:right="-72"/>
        <w:jc w:val="both"/>
        <w:rPr>
          <w:i/>
          <w:color w:val="000000"/>
        </w:rPr>
      </w:pPr>
      <w:r>
        <w:rPr>
          <w:i/>
          <w:color w:val="000000"/>
        </w:rPr>
        <w:t>See RFP, section 5.3.</w:t>
      </w:r>
    </w:p>
    <w:p w:rsidR="00150675" w:rsidRPr="00A80E95" w:rsidRDefault="00150675" w:rsidP="000F358E">
      <w:pPr>
        <w:jc w:val="both"/>
        <w:rPr>
          <w:color w:val="000000"/>
        </w:rPr>
      </w:pPr>
    </w:p>
    <w:p w:rsidR="00150675" w:rsidRPr="00A80E95" w:rsidRDefault="00150675" w:rsidP="000F358E">
      <w:pPr>
        <w:jc w:val="both"/>
        <w:rPr>
          <w:color w:val="000000"/>
        </w:rPr>
      </w:pPr>
      <w:r w:rsidRPr="00A80E95">
        <w:rPr>
          <w:b/>
          <w:color w:val="000000"/>
        </w:rPr>
        <w:t>Question 2</w:t>
      </w:r>
      <w:r w:rsidRPr="00A80E95">
        <w:rPr>
          <w:color w:val="000000"/>
        </w:rPr>
        <w:t xml:space="preserve">: Could the AOC extend the proposal due date to one week after AOC posts the responses to the bidders’ questions due October 12, 2009?  This would give potential bidders adequate time to incorporate AOC’s responses to the questions.    </w:t>
      </w:r>
    </w:p>
    <w:p w:rsidR="00150675" w:rsidRPr="00A80E95" w:rsidRDefault="00150675" w:rsidP="000F358E">
      <w:pPr>
        <w:jc w:val="both"/>
        <w:rPr>
          <w:color w:val="000000"/>
        </w:rPr>
      </w:pPr>
    </w:p>
    <w:p w:rsidR="00150675" w:rsidRPr="00A80E95" w:rsidRDefault="00150675" w:rsidP="000F358E">
      <w:pPr>
        <w:tabs>
          <w:tab w:val="left" w:pos="10080"/>
        </w:tabs>
        <w:jc w:val="both"/>
        <w:rPr>
          <w:i/>
          <w:color w:val="000000"/>
        </w:rPr>
      </w:pPr>
      <w:r w:rsidRPr="00A80E95">
        <w:rPr>
          <w:i/>
          <w:color w:val="000000"/>
        </w:rPr>
        <w:t>Answer:  Pursuant to Addendum 1, the period for submission of the proposal is extended two weeks to November 2, 2009, at close of business.</w:t>
      </w:r>
    </w:p>
    <w:p w:rsidR="00150675" w:rsidRPr="00A80E95" w:rsidRDefault="00150675" w:rsidP="000F358E">
      <w:pPr>
        <w:jc w:val="both"/>
        <w:rPr>
          <w:b/>
          <w:color w:val="000000"/>
        </w:rPr>
      </w:pPr>
    </w:p>
    <w:p w:rsidR="00150675" w:rsidRPr="00A80E95" w:rsidRDefault="00150675" w:rsidP="000F358E">
      <w:pPr>
        <w:contextualSpacing/>
        <w:jc w:val="both"/>
        <w:rPr>
          <w:color w:val="000000"/>
        </w:rPr>
      </w:pPr>
      <w:r w:rsidRPr="00A80E95">
        <w:rPr>
          <w:b/>
          <w:color w:val="000000"/>
        </w:rPr>
        <w:t>Question</w:t>
      </w:r>
      <w:r w:rsidRPr="00A80E95">
        <w:rPr>
          <w:color w:val="000000"/>
        </w:rPr>
        <w:t xml:space="preserve"> </w:t>
      </w:r>
      <w:r w:rsidRPr="00A80E95">
        <w:rPr>
          <w:b/>
          <w:color w:val="000000"/>
        </w:rPr>
        <w:t>3</w:t>
      </w:r>
      <w:r w:rsidRPr="00A80E95">
        <w:rPr>
          <w:color w:val="000000"/>
        </w:rPr>
        <w:t xml:space="preserve">:  The report of the 2005 guideline review says that AOC managed all data collection in the field.  Will the AOC coordinate or hire data collectors and train them, collect completed forms, review forms for completeness, and send the forms to the contractor for data entry? </w:t>
      </w:r>
    </w:p>
    <w:p w:rsidR="00150675" w:rsidRPr="00A80E95" w:rsidRDefault="00150675" w:rsidP="009E60D3">
      <w:pPr>
        <w:pStyle w:val="ListParagraph"/>
        <w:ind w:left="0"/>
        <w:jc w:val="both"/>
        <w:rPr>
          <w:color w:val="000000"/>
        </w:rPr>
      </w:pPr>
    </w:p>
    <w:p w:rsidR="00150675" w:rsidRPr="00A80E95" w:rsidRDefault="00150675" w:rsidP="009E60D3">
      <w:pPr>
        <w:pStyle w:val="ListParagraph"/>
        <w:ind w:left="0"/>
        <w:jc w:val="both"/>
        <w:rPr>
          <w:i/>
          <w:color w:val="000000"/>
        </w:rPr>
      </w:pPr>
      <w:r w:rsidRPr="00A80E95">
        <w:rPr>
          <w:i/>
          <w:color w:val="000000"/>
        </w:rPr>
        <w:t xml:space="preserve">Answer: Yes, the AOC will coordinate or hire and train data collectors, collect and review completed forms and send them to the contractor for data entry.  </w:t>
      </w:r>
    </w:p>
    <w:p w:rsidR="00150675" w:rsidRPr="00A80E95" w:rsidRDefault="00150675" w:rsidP="000F358E">
      <w:pPr>
        <w:pStyle w:val="ListParagraph"/>
        <w:ind w:left="0"/>
        <w:jc w:val="both"/>
        <w:rPr>
          <w:color w:val="000000"/>
        </w:rPr>
      </w:pPr>
    </w:p>
    <w:p w:rsidR="00150675" w:rsidRPr="00A80E95" w:rsidRDefault="00150675" w:rsidP="000F358E">
      <w:pPr>
        <w:jc w:val="both"/>
        <w:rPr>
          <w:color w:val="000000"/>
        </w:rPr>
      </w:pPr>
      <w:r w:rsidRPr="00A80E95">
        <w:rPr>
          <w:b/>
          <w:color w:val="000000"/>
        </w:rPr>
        <w:t>Question 4</w:t>
      </w:r>
      <w:r w:rsidRPr="00A80E95">
        <w:rPr>
          <w:color w:val="000000"/>
        </w:rPr>
        <w:t xml:space="preserve">:  Regarding the focused discussion group described in paragraph 2.5 of Attachment 2, Exhibit D, will the AOC provide meeting space and pay travel expenses for the child support commissioner’s focus group? </w:t>
      </w:r>
    </w:p>
    <w:p w:rsidR="00150675" w:rsidRPr="00A80E95" w:rsidRDefault="00150675" w:rsidP="000F358E">
      <w:pPr>
        <w:jc w:val="both"/>
        <w:rPr>
          <w:color w:val="000000"/>
        </w:rPr>
      </w:pPr>
    </w:p>
    <w:p w:rsidR="00150675" w:rsidRPr="00A80E95" w:rsidRDefault="00150675" w:rsidP="000F358E">
      <w:pPr>
        <w:jc w:val="both"/>
        <w:rPr>
          <w:i/>
          <w:color w:val="000000"/>
        </w:rPr>
      </w:pPr>
      <w:r w:rsidRPr="00A80E95">
        <w:rPr>
          <w:i/>
          <w:color w:val="000000"/>
        </w:rPr>
        <w:t xml:space="preserve">Answer:  Yes, commissioner travel for the focus groups will be covered by the AOC.  Meeting space will also be covered by the AOC.  </w:t>
      </w:r>
    </w:p>
    <w:p w:rsidR="00150675" w:rsidRPr="00A80E95" w:rsidRDefault="00150675" w:rsidP="000F358E">
      <w:pPr>
        <w:pStyle w:val="ListParagraph"/>
        <w:ind w:left="0"/>
        <w:rPr>
          <w:color w:val="000000"/>
        </w:rPr>
      </w:pPr>
    </w:p>
    <w:p w:rsidR="00150675" w:rsidRPr="00A80E95" w:rsidRDefault="00150675" w:rsidP="000F358E">
      <w:pPr>
        <w:jc w:val="both"/>
        <w:rPr>
          <w:color w:val="000000"/>
        </w:rPr>
      </w:pPr>
      <w:r w:rsidRPr="00A80E95">
        <w:rPr>
          <w:b/>
          <w:color w:val="000000"/>
        </w:rPr>
        <w:t>Question 5</w:t>
      </w:r>
      <w:r w:rsidRPr="00A80E95">
        <w:rPr>
          <w:color w:val="000000"/>
        </w:rPr>
        <w:t xml:space="preserve">:  We have concerns that attendance of in-person focused discussion groups with representatives of stakeholders will be low.  Would the AOC entertain surveys, telephone interviews, and/or other means for obtaining valued input from stakeholders instead of the focused discussion groups with representatives of parents’ and children’s advocacy groups?  </w:t>
      </w:r>
    </w:p>
    <w:p w:rsidR="00150675" w:rsidRPr="00A80E95" w:rsidRDefault="00150675" w:rsidP="000F358E">
      <w:pPr>
        <w:jc w:val="both"/>
        <w:rPr>
          <w:color w:val="000000"/>
        </w:rPr>
      </w:pPr>
    </w:p>
    <w:p w:rsidR="00150675" w:rsidRPr="00A80E95" w:rsidRDefault="00150675" w:rsidP="000F358E">
      <w:pPr>
        <w:jc w:val="both"/>
        <w:rPr>
          <w:i/>
          <w:color w:val="000000"/>
        </w:rPr>
      </w:pPr>
      <w:r w:rsidRPr="00A80E95">
        <w:rPr>
          <w:i/>
          <w:color w:val="000000"/>
        </w:rPr>
        <w:t xml:space="preserve">Answer: Based upon advocate interest already expressed regarding this child support guideline review, the AOC is expecting sufficient in-person interest to gather the valued input of these stakeholders.  </w:t>
      </w:r>
    </w:p>
    <w:p w:rsidR="00150675" w:rsidRPr="00A80E95" w:rsidRDefault="00150675" w:rsidP="000F358E">
      <w:pPr>
        <w:jc w:val="both"/>
        <w:rPr>
          <w:color w:val="000000"/>
        </w:rPr>
      </w:pPr>
      <w:r w:rsidRPr="00A80E95">
        <w:rPr>
          <w:b/>
          <w:color w:val="000000"/>
        </w:rPr>
        <w:lastRenderedPageBreak/>
        <w:t>Question 6</w:t>
      </w:r>
      <w:r w:rsidRPr="00A80E95">
        <w:rPr>
          <w:color w:val="000000"/>
        </w:rPr>
        <w:t xml:space="preserve">:  Paragraph B on page 2 of the Attachment 2, Exhibit C says that the hourly rate “shall include all costs, fees, overhead, and profits payable to the Contractor.”  It appears that the only allowable direct expense is travel.  Please clarify how large direct expenses should be handled.  Specifically, would it be possible to budget direct expenses that are not typically part of audited overhead rates (e.g., rental of hotel conference rooms and professional transcription and tapes for the focused discussion groups) as direct expenses and separate line items?   </w:t>
      </w:r>
    </w:p>
    <w:p w:rsidR="00150675" w:rsidRPr="00A80E95" w:rsidRDefault="00150675" w:rsidP="000F358E">
      <w:pPr>
        <w:pStyle w:val="ListParagraph"/>
        <w:ind w:left="0" w:hanging="547"/>
        <w:jc w:val="both"/>
        <w:rPr>
          <w:color w:val="000000"/>
        </w:rPr>
      </w:pPr>
    </w:p>
    <w:p w:rsidR="00150675" w:rsidRPr="001722E3" w:rsidRDefault="00150675" w:rsidP="000F358E">
      <w:pPr>
        <w:ind w:right="-126"/>
        <w:rPr>
          <w:i/>
          <w:color w:val="000000"/>
        </w:rPr>
      </w:pPr>
      <w:r w:rsidRPr="00625CC6">
        <w:rPr>
          <w:i/>
          <w:color w:val="000000"/>
        </w:rPr>
        <w:t>Answer: Allowable direct expenses include travel, meals, lodging</w:t>
      </w:r>
      <w:r>
        <w:rPr>
          <w:i/>
          <w:color w:val="000000"/>
        </w:rPr>
        <w:t xml:space="preserve">, </w:t>
      </w:r>
      <w:r w:rsidRPr="00625CC6">
        <w:rPr>
          <w:i/>
          <w:color w:val="000000"/>
        </w:rPr>
        <w:t xml:space="preserve">administrative </w:t>
      </w:r>
      <w:r>
        <w:rPr>
          <w:i/>
          <w:color w:val="000000"/>
        </w:rPr>
        <w:t xml:space="preserve">and operating </w:t>
      </w:r>
      <w:r w:rsidRPr="00625CC6">
        <w:rPr>
          <w:i/>
          <w:color w:val="000000"/>
        </w:rPr>
        <w:t xml:space="preserve">costs, such as transcription and tapes.  </w:t>
      </w:r>
      <w:r w:rsidRPr="001722E3">
        <w:rPr>
          <w:i/>
          <w:color w:val="000000"/>
        </w:rPr>
        <w:t xml:space="preserve">See Addendum 2. </w:t>
      </w:r>
      <w:r>
        <w:rPr>
          <w:i/>
          <w:color w:val="000000"/>
        </w:rPr>
        <w:t xml:space="preserve"> </w:t>
      </w:r>
      <w:r w:rsidRPr="00625CC6">
        <w:rPr>
          <w:i/>
          <w:color w:val="000000"/>
        </w:rPr>
        <w:t>Conference rooms for focus group</w:t>
      </w:r>
      <w:r>
        <w:rPr>
          <w:i/>
          <w:color w:val="000000"/>
        </w:rPr>
        <w:t>s</w:t>
      </w:r>
      <w:r w:rsidRPr="00625CC6">
        <w:rPr>
          <w:i/>
          <w:color w:val="000000"/>
        </w:rPr>
        <w:t xml:space="preserve"> will be arranged by </w:t>
      </w:r>
      <w:r w:rsidRPr="001722E3">
        <w:rPr>
          <w:i/>
          <w:color w:val="000000"/>
        </w:rPr>
        <w:t xml:space="preserve">AOC staff.  </w:t>
      </w:r>
    </w:p>
    <w:p w:rsidR="00150675" w:rsidRPr="00A80E95" w:rsidRDefault="00150675" w:rsidP="000F358E">
      <w:pPr>
        <w:spacing w:after="200"/>
        <w:contextualSpacing/>
        <w:jc w:val="both"/>
        <w:rPr>
          <w:b/>
          <w:color w:val="000000"/>
        </w:rPr>
      </w:pPr>
    </w:p>
    <w:p w:rsidR="00150675" w:rsidRPr="00A80E95" w:rsidRDefault="00150675" w:rsidP="009E60D3">
      <w:pPr>
        <w:contextualSpacing/>
        <w:jc w:val="both"/>
        <w:rPr>
          <w:color w:val="000000"/>
        </w:rPr>
      </w:pPr>
      <w:r w:rsidRPr="00A80E95">
        <w:rPr>
          <w:b/>
          <w:color w:val="000000"/>
        </w:rPr>
        <w:t>Question 7</w:t>
      </w:r>
      <w:r w:rsidRPr="00A80E95">
        <w:rPr>
          <w:color w:val="000000"/>
        </w:rPr>
        <w:t xml:space="preserve">:  Family Code section 4054 has mandatory requirements above and beyond those listed in the RFP.  May a Proposal include those additional mandatory requirements?  In particular, and in addition to those listed in the RFP, Family Code section 4054(f) has mandatory requirements to consult with members of DCSS, Certified Family Law Specialists, Academicians specializing in family law, and Representatives of low-income parents and recipients of welfare, could a Proposal include those additional groups? </w:t>
      </w:r>
    </w:p>
    <w:p w:rsidR="00150675" w:rsidRPr="00A80E95" w:rsidRDefault="00150675" w:rsidP="000F358E">
      <w:pPr>
        <w:pStyle w:val="BodyTextIndent"/>
        <w:spacing w:after="0"/>
        <w:ind w:left="0"/>
        <w:jc w:val="both"/>
        <w:rPr>
          <w:rFonts w:eastAsia="Times New Roman"/>
          <w:color w:val="000000"/>
        </w:rPr>
      </w:pPr>
    </w:p>
    <w:p w:rsidR="00150675" w:rsidRPr="00A80E95" w:rsidRDefault="00150675" w:rsidP="000F358E">
      <w:pPr>
        <w:pStyle w:val="BodyTextIndent"/>
        <w:spacing w:after="0"/>
        <w:ind w:left="0"/>
        <w:jc w:val="both"/>
        <w:rPr>
          <w:rFonts w:eastAsia="Times New Roman"/>
          <w:i/>
          <w:color w:val="000000"/>
        </w:rPr>
      </w:pPr>
      <w:r w:rsidRPr="00A80E95">
        <w:rPr>
          <w:rFonts w:eastAsia="Times New Roman"/>
          <w:i/>
          <w:color w:val="000000"/>
        </w:rPr>
        <w:t>Answer:  These requirements were not included in the RFP because AOC staff will meet those requirements by conducting outreach to those groups and requesting their input which will be included in the public comment portion of the study and incorporated into the body of the study as appropriate.</w:t>
      </w:r>
    </w:p>
    <w:p w:rsidR="00150675" w:rsidRPr="00A80E95" w:rsidRDefault="00150675" w:rsidP="000F358E">
      <w:pPr>
        <w:pStyle w:val="BodyTextIndent"/>
        <w:spacing w:after="0"/>
        <w:ind w:left="0"/>
        <w:jc w:val="both"/>
        <w:rPr>
          <w:rFonts w:eastAsia="Times New Roman"/>
          <w:color w:val="000000"/>
        </w:rPr>
      </w:pPr>
    </w:p>
    <w:p w:rsidR="00150675" w:rsidRPr="00A80E95" w:rsidRDefault="00150675" w:rsidP="000F358E">
      <w:pPr>
        <w:pStyle w:val="BodyTextIndent"/>
        <w:spacing w:after="0"/>
        <w:ind w:left="0"/>
        <w:jc w:val="both"/>
        <w:rPr>
          <w:rFonts w:eastAsia="Times New Roman"/>
          <w:color w:val="000000"/>
        </w:rPr>
      </w:pPr>
      <w:r w:rsidRPr="00A80E95">
        <w:rPr>
          <w:rFonts w:eastAsia="Times New Roman"/>
          <w:b/>
          <w:color w:val="000000"/>
        </w:rPr>
        <w:t>Question 8</w:t>
      </w:r>
      <w:r w:rsidRPr="00A80E95">
        <w:rPr>
          <w:rFonts w:eastAsia="Times New Roman"/>
          <w:color w:val="000000"/>
        </w:rPr>
        <w:t xml:space="preserve">:  In addition to those listed in the RFP, Family Code section 4054(g) has separate, mandatory requirement to seek Public Comment in developing recommendations, may a Proposal include Public Comment as part of its development of its recommendations? If so, may a Contractor utilize online survey services?  If so, could the AOC Project Manager facilitate providing a link of the Court website to encourage broad participation of the Public?  </w:t>
      </w:r>
    </w:p>
    <w:p w:rsidR="00150675" w:rsidRPr="00A80E95" w:rsidRDefault="00150675" w:rsidP="000F358E">
      <w:pPr>
        <w:pStyle w:val="BodyTextIndent"/>
        <w:spacing w:after="0"/>
        <w:ind w:left="0"/>
        <w:jc w:val="both"/>
        <w:rPr>
          <w:rFonts w:eastAsia="Times New Roman"/>
          <w:color w:val="000000"/>
        </w:rPr>
      </w:pPr>
    </w:p>
    <w:p w:rsidR="00150675" w:rsidRPr="00A80E95" w:rsidRDefault="00150675" w:rsidP="000F358E">
      <w:pPr>
        <w:pStyle w:val="BodyTextIndent"/>
        <w:spacing w:after="0"/>
        <w:ind w:left="0"/>
        <w:jc w:val="both"/>
        <w:rPr>
          <w:rFonts w:eastAsia="Times New Roman"/>
          <w:color w:val="000000"/>
        </w:rPr>
      </w:pPr>
      <w:r w:rsidRPr="00A80E95">
        <w:rPr>
          <w:rFonts w:eastAsia="Times New Roman"/>
          <w:i/>
          <w:color w:val="000000"/>
        </w:rPr>
        <w:t>Answer:  The draft report and recommendations will be subject to a public comment period that will be available online on the AOC website.  AOC staff will assemble these comments and AOC staff</w:t>
      </w:r>
      <w:r>
        <w:rPr>
          <w:rFonts w:eastAsia="Times New Roman"/>
          <w:i/>
          <w:color w:val="000000"/>
        </w:rPr>
        <w:t>,</w:t>
      </w:r>
      <w:r w:rsidRPr="00A80E95">
        <w:rPr>
          <w:rFonts w:eastAsia="Times New Roman"/>
          <w:i/>
          <w:color w:val="000000"/>
        </w:rPr>
        <w:t xml:space="preserve"> in consultation with the Judicial Council’s Family &amp; Juvenile Advisory committee</w:t>
      </w:r>
      <w:r>
        <w:rPr>
          <w:rFonts w:eastAsia="Times New Roman"/>
          <w:i/>
          <w:color w:val="000000"/>
        </w:rPr>
        <w:t>,</w:t>
      </w:r>
      <w:r w:rsidRPr="00A80E95">
        <w:rPr>
          <w:rFonts w:eastAsia="Times New Roman"/>
          <w:i/>
          <w:color w:val="000000"/>
        </w:rPr>
        <w:t xml:space="preserve"> will provide responses to each comment.  All public comments and responses will be included </w:t>
      </w:r>
      <w:r w:rsidRPr="00A80E95">
        <w:rPr>
          <w:rFonts w:eastAsia="Times New Roman"/>
          <w:color w:val="000000"/>
        </w:rPr>
        <w:t xml:space="preserve">in the final report. </w:t>
      </w:r>
    </w:p>
    <w:p w:rsidR="00150675" w:rsidRPr="00A80E95" w:rsidRDefault="00150675" w:rsidP="000F358E">
      <w:pPr>
        <w:spacing w:after="120"/>
        <w:contextualSpacing/>
        <w:jc w:val="both"/>
        <w:rPr>
          <w:color w:val="000000"/>
        </w:rPr>
      </w:pPr>
    </w:p>
    <w:p w:rsidR="00150675" w:rsidRPr="00A80E95" w:rsidRDefault="00150675" w:rsidP="000F358E">
      <w:pPr>
        <w:spacing w:after="120"/>
        <w:contextualSpacing/>
        <w:jc w:val="both"/>
        <w:rPr>
          <w:color w:val="000000"/>
        </w:rPr>
      </w:pPr>
      <w:r w:rsidRPr="00A80E95">
        <w:rPr>
          <w:b/>
          <w:color w:val="000000"/>
        </w:rPr>
        <w:t>Question 9</w:t>
      </w:r>
      <w:r w:rsidRPr="00A80E95">
        <w:rPr>
          <w:color w:val="000000"/>
        </w:rPr>
        <w:t>:  May a Contractor propose and offer to perform additional, novel review options, e.g.:</w:t>
      </w:r>
    </w:p>
    <w:p w:rsidR="00150675" w:rsidRPr="00A80E95" w:rsidRDefault="00150675" w:rsidP="000F358E">
      <w:pPr>
        <w:spacing w:after="120"/>
        <w:contextualSpacing/>
        <w:jc w:val="both"/>
        <w:rPr>
          <w:color w:val="000000"/>
          <w:sz w:val="6"/>
          <w:szCs w:val="6"/>
        </w:rPr>
      </w:pPr>
    </w:p>
    <w:p w:rsidR="00150675" w:rsidRPr="00A80E95" w:rsidRDefault="00150675" w:rsidP="000F358E">
      <w:pPr>
        <w:numPr>
          <w:ilvl w:val="0"/>
          <w:numId w:val="7"/>
        </w:numPr>
        <w:ind w:left="810" w:hanging="450"/>
        <w:jc w:val="both"/>
        <w:rPr>
          <w:color w:val="000000"/>
        </w:rPr>
      </w:pPr>
      <w:r w:rsidRPr="00A80E95">
        <w:rPr>
          <w:color w:val="000000"/>
        </w:rPr>
        <w:t>Review of Legislative response to prior recommendations;</w:t>
      </w:r>
    </w:p>
    <w:p w:rsidR="00150675" w:rsidRPr="00A80E95" w:rsidRDefault="00150675" w:rsidP="000F358E">
      <w:pPr>
        <w:numPr>
          <w:ilvl w:val="0"/>
          <w:numId w:val="7"/>
        </w:numPr>
        <w:ind w:left="810" w:hanging="450"/>
        <w:jc w:val="both"/>
        <w:rPr>
          <w:color w:val="000000"/>
        </w:rPr>
      </w:pPr>
      <w:r w:rsidRPr="00A80E95">
        <w:rPr>
          <w:color w:val="000000"/>
        </w:rPr>
        <w:t>Review of Guideline in view of current economic crisis;</w:t>
      </w:r>
    </w:p>
    <w:p w:rsidR="00150675" w:rsidRPr="00A80E95" w:rsidRDefault="00150675" w:rsidP="000F358E">
      <w:pPr>
        <w:numPr>
          <w:ilvl w:val="0"/>
          <w:numId w:val="7"/>
        </w:numPr>
        <w:ind w:left="810" w:hanging="450"/>
        <w:jc w:val="both"/>
        <w:rPr>
          <w:color w:val="000000"/>
        </w:rPr>
      </w:pPr>
      <w:r w:rsidRPr="00A80E95">
        <w:rPr>
          <w:color w:val="000000"/>
        </w:rPr>
        <w:t>Review of child support orders in cases in which both parents have high levels of responsibility for the children;</w:t>
      </w:r>
    </w:p>
    <w:p w:rsidR="00150675" w:rsidRPr="00A80E95" w:rsidRDefault="00150675" w:rsidP="000F358E">
      <w:pPr>
        <w:numPr>
          <w:ilvl w:val="0"/>
          <w:numId w:val="7"/>
        </w:numPr>
        <w:ind w:left="810" w:hanging="450"/>
        <w:jc w:val="both"/>
        <w:rPr>
          <w:color w:val="000000"/>
        </w:rPr>
      </w:pPr>
      <w:r w:rsidRPr="00A80E95">
        <w:rPr>
          <w:color w:val="000000"/>
        </w:rPr>
        <w:t>Review of the treatment of the income of a subsequent spouse or non-marital partner;</w:t>
      </w:r>
    </w:p>
    <w:p w:rsidR="00150675" w:rsidRPr="00A80E95" w:rsidRDefault="00150675" w:rsidP="000F358E">
      <w:pPr>
        <w:numPr>
          <w:ilvl w:val="0"/>
          <w:numId w:val="7"/>
        </w:numPr>
        <w:ind w:left="810" w:hanging="450"/>
        <w:jc w:val="both"/>
        <w:rPr>
          <w:color w:val="000000"/>
        </w:rPr>
      </w:pPr>
      <w:r w:rsidRPr="00A80E95">
        <w:rPr>
          <w:color w:val="000000"/>
        </w:rPr>
        <w:t>Review of the treatment of children from prior or subsequent relationships; and,</w:t>
      </w:r>
    </w:p>
    <w:p w:rsidR="00150675" w:rsidRPr="00A80E95" w:rsidRDefault="00150675" w:rsidP="000F358E">
      <w:pPr>
        <w:numPr>
          <w:ilvl w:val="0"/>
          <w:numId w:val="7"/>
        </w:numPr>
        <w:ind w:left="810" w:hanging="450"/>
        <w:jc w:val="both"/>
        <w:rPr>
          <w:color w:val="000000"/>
        </w:rPr>
      </w:pPr>
      <w:r w:rsidRPr="00A80E95">
        <w:rPr>
          <w:color w:val="000000"/>
        </w:rPr>
        <w:t>Review of whether the Guideline affects child custody litigation or the efficiency of the judicial process?</w:t>
      </w:r>
    </w:p>
    <w:p w:rsidR="00150675" w:rsidRPr="00A80E95" w:rsidRDefault="00150675" w:rsidP="00A80E95">
      <w:pPr>
        <w:ind w:hanging="547"/>
        <w:jc w:val="both"/>
        <w:rPr>
          <w:color w:val="000000"/>
        </w:rPr>
      </w:pPr>
    </w:p>
    <w:p w:rsidR="00150675" w:rsidRPr="00A80E95" w:rsidRDefault="00150675" w:rsidP="00B330DE">
      <w:pPr>
        <w:pStyle w:val="ListParagraph"/>
        <w:widowControl w:val="0"/>
        <w:ind w:left="0"/>
        <w:jc w:val="both"/>
        <w:rPr>
          <w:i/>
          <w:color w:val="000000"/>
        </w:rPr>
      </w:pPr>
      <w:r w:rsidRPr="00A80E95">
        <w:rPr>
          <w:i/>
          <w:color w:val="000000"/>
        </w:rPr>
        <w:t xml:space="preserve">Answer:  A responsive proposal will satisfy the requirements set forth in RFP section 6.0, Specifics of a Responsive Technical Proposal and 7.0, Specifics of a Responsive Cost Proposal. A responsive proposal will be evaluated using the criteria set forth in RFP: 5.0, Evaluation of Proposals. The AOC will not </w:t>
      </w:r>
      <w:r w:rsidRPr="00A80E95">
        <w:rPr>
          <w:i/>
          <w:color w:val="000000"/>
        </w:rPr>
        <w:lastRenderedPageBreak/>
        <w:t>e</w:t>
      </w:r>
      <w:r>
        <w:rPr>
          <w:i/>
          <w:color w:val="000000"/>
        </w:rPr>
        <w:t>valuate</w:t>
      </w:r>
      <w:r w:rsidRPr="00A80E95">
        <w:rPr>
          <w:i/>
          <w:color w:val="000000"/>
        </w:rPr>
        <w:t xml:space="preserve"> other or additional options proposed.  However, be advised that many of the topics suggested above may fall under the requirements of the RFP and others have been addressed in prior studies.</w:t>
      </w:r>
    </w:p>
    <w:p w:rsidR="00150675" w:rsidRPr="00A80E95" w:rsidRDefault="00150675" w:rsidP="00B330DE">
      <w:pPr>
        <w:pStyle w:val="ListParagraph"/>
        <w:widowControl w:val="0"/>
        <w:ind w:left="0"/>
        <w:jc w:val="both"/>
        <w:rPr>
          <w:color w:val="000000"/>
        </w:rPr>
      </w:pPr>
    </w:p>
    <w:p w:rsidR="00150675" w:rsidRPr="00A80E95" w:rsidRDefault="00150675" w:rsidP="00B330DE">
      <w:pPr>
        <w:widowControl w:val="0"/>
        <w:jc w:val="both"/>
        <w:rPr>
          <w:color w:val="000000"/>
        </w:rPr>
      </w:pPr>
      <w:r w:rsidRPr="00A80E95">
        <w:rPr>
          <w:b/>
          <w:color w:val="000000"/>
        </w:rPr>
        <w:t>Question 10</w:t>
      </w:r>
      <w:r w:rsidRPr="00A80E95">
        <w:rPr>
          <w:color w:val="000000"/>
        </w:rPr>
        <w:t xml:space="preserve">:  May non-selected Proposers submit a competent and professional Peer Review, pro bono and in parallel with the contracted Review?  </w:t>
      </w:r>
    </w:p>
    <w:p w:rsidR="00150675" w:rsidRPr="00A80E95" w:rsidRDefault="00150675" w:rsidP="000F358E">
      <w:pPr>
        <w:ind w:hanging="623"/>
        <w:jc w:val="both"/>
        <w:rPr>
          <w:color w:val="000000"/>
        </w:rPr>
      </w:pPr>
      <w:r w:rsidRPr="00A80E95">
        <w:rPr>
          <w:color w:val="000000"/>
        </w:rPr>
        <w:tab/>
      </w:r>
    </w:p>
    <w:p w:rsidR="00150675" w:rsidRPr="00A80E95" w:rsidRDefault="00150675" w:rsidP="000F358E">
      <w:pPr>
        <w:ind w:hanging="623"/>
        <w:jc w:val="both"/>
        <w:rPr>
          <w:i/>
          <w:color w:val="000000"/>
        </w:rPr>
      </w:pPr>
      <w:r w:rsidRPr="00A80E95">
        <w:rPr>
          <w:color w:val="000000"/>
        </w:rPr>
        <w:tab/>
      </w:r>
      <w:r w:rsidRPr="00A80E95">
        <w:rPr>
          <w:i/>
          <w:color w:val="000000"/>
        </w:rPr>
        <w:t>Answer:  No, the existing process allows opportunity for critical input regarding the study.  Public comments may be as extensive as the commentator chooses and will be appended to the study and become part of the public record.</w:t>
      </w:r>
    </w:p>
    <w:p w:rsidR="00150675" w:rsidRPr="00A80E95" w:rsidRDefault="00150675" w:rsidP="000F358E">
      <w:pPr>
        <w:spacing w:after="200"/>
        <w:contextualSpacing/>
        <w:jc w:val="both"/>
        <w:rPr>
          <w:color w:val="000000"/>
        </w:rPr>
      </w:pPr>
    </w:p>
    <w:p w:rsidR="00150675" w:rsidRPr="00A80E95" w:rsidRDefault="00150675" w:rsidP="000F358E">
      <w:pPr>
        <w:spacing w:after="200"/>
        <w:contextualSpacing/>
        <w:jc w:val="both"/>
        <w:rPr>
          <w:color w:val="000000"/>
        </w:rPr>
      </w:pPr>
      <w:r w:rsidRPr="00A80E95">
        <w:rPr>
          <w:b/>
          <w:color w:val="000000"/>
        </w:rPr>
        <w:t>Question 11</w:t>
      </w:r>
      <w:r w:rsidRPr="00A80E95">
        <w:rPr>
          <w:color w:val="000000"/>
        </w:rPr>
        <w:t>:  Might the proposal period be extended to sixty (60) days, which is the customary professional standard for the industry and the type of work being requested?</w:t>
      </w:r>
    </w:p>
    <w:p w:rsidR="00150675" w:rsidRPr="00A80E95" w:rsidRDefault="00150675" w:rsidP="000F358E">
      <w:pPr>
        <w:ind w:hanging="810"/>
        <w:jc w:val="both"/>
        <w:rPr>
          <w:color w:val="000000"/>
        </w:rPr>
      </w:pPr>
      <w:r w:rsidRPr="00A80E95">
        <w:rPr>
          <w:i/>
          <w:color w:val="000000"/>
        </w:rPr>
        <w:tab/>
      </w:r>
    </w:p>
    <w:p w:rsidR="00150675" w:rsidRPr="00A80E95" w:rsidRDefault="00150675" w:rsidP="000F358E">
      <w:pPr>
        <w:ind w:hanging="810"/>
        <w:jc w:val="both"/>
        <w:rPr>
          <w:i/>
          <w:color w:val="000000"/>
        </w:rPr>
      </w:pPr>
      <w:r w:rsidRPr="00A80E95">
        <w:rPr>
          <w:i/>
          <w:color w:val="000000"/>
        </w:rPr>
        <w:tab/>
        <w:t xml:space="preserve">Answer: Pursuant to Addendum 1, the period for submission of the proposal is extended two weeks to November 2, 2009, at close of business. </w:t>
      </w:r>
    </w:p>
    <w:p w:rsidR="00150675" w:rsidRPr="00A80E95" w:rsidRDefault="00150675" w:rsidP="000F358E">
      <w:pPr>
        <w:widowControl w:val="0"/>
        <w:ind w:right="576"/>
        <w:jc w:val="both"/>
        <w:rPr>
          <w:b/>
          <w:bCs/>
          <w:color w:val="000000"/>
        </w:rPr>
      </w:pPr>
    </w:p>
    <w:p w:rsidR="00150675" w:rsidRPr="00A80E95" w:rsidRDefault="00150675" w:rsidP="000F358E">
      <w:pPr>
        <w:widowControl w:val="0"/>
        <w:jc w:val="both"/>
        <w:rPr>
          <w:b/>
          <w:bCs/>
          <w:color w:val="000000"/>
        </w:rPr>
      </w:pPr>
    </w:p>
    <w:p w:rsidR="00150675" w:rsidRPr="00A80E95" w:rsidRDefault="00150675" w:rsidP="00432F30">
      <w:pPr>
        <w:widowControl w:val="0"/>
        <w:jc w:val="both"/>
        <w:rPr>
          <w:b/>
          <w:bCs/>
          <w:color w:val="000000"/>
        </w:rPr>
      </w:pPr>
    </w:p>
    <w:p w:rsidR="00150675" w:rsidRPr="00F07384" w:rsidRDefault="00150675" w:rsidP="00F07384">
      <w:pPr>
        <w:pStyle w:val="BodyText2"/>
        <w:spacing w:after="0" w:line="240" w:lineRule="auto"/>
        <w:jc w:val="center"/>
        <w:rPr>
          <w:b/>
          <w:i/>
          <w:color w:val="000000"/>
        </w:rPr>
      </w:pPr>
      <w:r w:rsidRPr="00F07384">
        <w:rPr>
          <w:b/>
          <w:i/>
          <w:color w:val="000000"/>
        </w:rPr>
        <w:t>END OF FORM</w:t>
      </w:r>
    </w:p>
    <w:p w:rsidR="00150675" w:rsidRDefault="00150675" w:rsidP="002D5B1B">
      <w:pPr>
        <w:pStyle w:val="BodyText2"/>
        <w:spacing w:after="0" w:line="240" w:lineRule="auto"/>
        <w:rPr>
          <w:i/>
          <w:color w:val="000000"/>
        </w:rPr>
      </w:pPr>
    </w:p>
    <w:p w:rsidR="00150675" w:rsidRDefault="00150675">
      <w:pPr>
        <w:spacing w:after="200" w:line="276" w:lineRule="auto"/>
        <w:rPr>
          <w:i/>
          <w:color w:val="000000"/>
        </w:rPr>
      </w:pPr>
    </w:p>
    <w:sectPr w:rsidR="00150675" w:rsidSect="00E5146D">
      <w:headerReference w:type="default" r:id="rId12"/>
      <w:footerReference w:type="default" r:id="rId13"/>
      <w:pgSz w:w="12240" w:h="15840" w:code="1"/>
      <w:pgMar w:top="1440" w:right="1008" w:bottom="1440" w:left="86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48C" w:rsidRDefault="00C1548C" w:rsidP="00432F30">
      <w:r>
        <w:separator/>
      </w:r>
    </w:p>
  </w:endnote>
  <w:endnote w:type="continuationSeparator" w:id="1">
    <w:p w:rsidR="00C1548C" w:rsidRDefault="00C1548C" w:rsidP="00432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5" w:rsidRDefault="00150675" w:rsidP="00865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0675" w:rsidRDefault="00150675" w:rsidP="00865F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5" w:rsidRDefault="00150675" w:rsidP="00047295">
    <w:pPr>
      <w:pStyle w:val="Footer"/>
      <w:pBdr>
        <w:bottom w:val="single" w:sz="12" w:space="1" w:color="auto"/>
      </w:pBdr>
      <w:tabs>
        <w:tab w:val="clear" w:pos="8640"/>
        <w:tab w:val="right" w:pos="10350"/>
      </w:tabs>
      <w:rPr>
        <w:snapToGrid w:val="0"/>
        <w:sz w:val="20"/>
        <w:szCs w:val="20"/>
      </w:rPr>
    </w:pPr>
  </w:p>
  <w:p w:rsidR="00150675" w:rsidRPr="00F34A08" w:rsidRDefault="00150675" w:rsidP="00CA78AB">
    <w:pPr>
      <w:pStyle w:val="HeaderPageNumber"/>
      <w:tabs>
        <w:tab w:val="clear" w:pos="4320"/>
        <w:tab w:val="clear" w:pos="8640"/>
        <w:tab w:val="right" w:pos="10350"/>
      </w:tabs>
      <w:spacing w:after="0"/>
      <w:rPr>
        <w:snapToGrid w:val="0"/>
      </w:rPr>
    </w:pPr>
    <w:r>
      <w:rPr>
        <w:snapToGrid w:val="0"/>
      </w:rPr>
      <w:t>AOC’s Responses to Vendors’ Questions</w:t>
    </w:r>
    <w:r>
      <w:rPr>
        <w:snapToGrid w:val="0"/>
      </w:rPr>
      <w:tab/>
      <w:t xml:space="preserve"> </w:t>
    </w:r>
    <w:r>
      <w:t xml:space="preserve">Page </w:t>
    </w:r>
    <w:fldSimple w:instr=" PAGE  \* MERGEFORMAT ">
      <w:r w:rsidR="00894FD4">
        <w:rPr>
          <w:noProof/>
        </w:rPr>
        <w:t>3</w:t>
      </w:r>
    </w:fldSimple>
    <w:r>
      <w:t xml:space="preserve"> of 3</w:t>
    </w:r>
  </w:p>
  <w:p w:rsidR="00150675" w:rsidRPr="00432F30" w:rsidRDefault="00150675" w:rsidP="00432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48C" w:rsidRDefault="00C1548C" w:rsidP="00432F30">
      <w:r>
        <w:separator/>
      </w:r>
    </w:p>
  </w:footnote>
  <w:footnote w:type="continuationSeparator" w:id="1">
    <w:p w:rsidR="00C1548C" w:rsidRDefault="00C1548C" w:rsidP="00432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5" w:rsidRDefault="00150675" w:rsidP="00865F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0675" w:rsidRDefault="00150675" w:rsidP="00865F0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5" w:rsidRDefault="00150675">
    <w:pPr>
      <w:pStyle w:val="Header"/>
    </w:pPr>
    <w:fldSimple w:instr=" TIME \@ &quot;MMMM d, yyyy&quot; ">
      <w:r w:rsidR="00894FD4">
        <w:rPr>
          <w:noProof/>
        </w:rPr>
        <w:t>August 27, 2010</w:t>
      </w:r>
    </w:fldSimple>
  </w:p>
  <w:p w:rsidR="00150675" w:rsidRDefault="00150675">
    <w:pPr>
      <w:pStyle w:val="HeaderPageNumber"/>
    </w:pPr>
    <w:r>
      <w:t xml:space="preserve">Page </w:t>
    </w:r>
    <w:fldSimple w:instr=" PAGE  \* MERGEFORMAT ">
      <w:r>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5" w:rsidRDefault="00150675">
    <w:r>
      <w:rPr>
        <w:noProof/>
      </w:rPr>
      <w:pict>
        <v:shapetype id="_x0000_t202" coordsize="21600,21600" o:spt="202" path="m,l,21600r21600,l21600,xe">
          <v:stroke joinstyle="miter"/>
          <v:path gradientshapeok="t" o:connecttype="rect"/>
        </v:shapetype>
        <v:shape id="_x0000_s2049" type="#_x0000_t202" style="position:absolute;margin-left:410.85pt;margin-top:133.4pt;width:135pt;height:108pt;z-index:-251658240" wrapcoords="-120 0 -120 21450 21600 21450 21600 0 -120 0" o:allowincell="f" stroked="f">
          <v:textbox style="mso-next-textbox:#_x0000_s2049" inset=",7.2pt">
            <w:txbxContent>
              <w:p w:rsidR="00150675" w:rsidRDefault="00150675">
                <w:pPr>
                  <w:pStyle w:val="JCCName"/>
                  <w:jc w:val="center"/>
                </w:pPr>
                <w:r>
                  <w:t>WILLIAM C. VICKREY</w:t>
                </w:r>
              </w:p>
              <w:p w:rsidR="00150675" w:rsidRDefault="00150675">
                <w:pPr>
                  <w:pStyle w:val="JCCTitle"/>
                  <w:spacing w:after="300"/>
                  <w:jc w:val="center"/>
                </w:pPr>
                <w:r>
                  <w:t>Administrative Director of the Courts</w:t>
                </w:r>
              </w:p>
              <w:p w:rsidR="00150675" w:rsidRDefault="00150675">
                <w:pPr>
                  <w:pStyle w:val="JCCName"/>
                  <w:jc w:val="center"/>
                </w:pPr>
                <w:r>
                  <w:t>RONALD G. OVERHOLT</w:t>
                </w:r>
              </w:p>
              <w:p w:rsidR="00150675" w:rsidRDefault="00150675">
                <w:pPr>
                  <w:pStyle w:val="JCCTitle"/>
                  <w:spacing w:after="300"/>
                  <w:jc w:val="center"/>
                </w:pPr>
                <w:r>
                  <w:t>Chief Deputy Director</w:t>
                </w:r>
              </w:p>
              <w:p w:rsidR="00150675" w:rsidRDefault="00150675" w:rsidP="00865F0C">
                <w:pPr>
                  <w:pStyle w:val="JCCName"/>
                  <w:jc w:val="center"/>
                </w:pPr>
                <w:r>
                  <w:t>STEPHEN NASH</w:t>
                </w:r>
              </w:p>
              <w:p w:rsidR="00150675" w:rsidRDefault="00150675" w:rsidP="00865F0C">
                <w:pPr>
                  <w:pStyle w:val="JCCTitle"/>
                  <w:spacing w:after="300"/>
                  <w:jc w:val="center"/>
                </w:pPr>
                <w:r>
                  <w:t>Director, Finance Division</w:t>
                </w:r>
              </w:p>
            </w:txbxContent>
          </v:textbox>
          <w10:wrap type="tight"/>
        </v:shape>
      </w:pict>
    </w:r>
    <w:r>
      <w:rPr>
        <w:noProof/>
      </w:rPr>
      <w:pict>
        <v:shape id="_x0000_s2050" type="#_x0000_t202" style="position:absolute;margin-left:-39.15pt;margin-top:133.4pt;width:2in;height:81pt;z-index:-251659264" wrapcoords="-112 0 -112 21400 21600 21400 21600 0 -112 0" o:allowincell="f" stroked="f">
          <v:textbox style="mso-next-textbox:#_x0000_s2050" inset=",7.2pt">
            <w:txbxContent>
              <w:p w:rsidR="00150675" w:rsidRDefault="00150675">
                <w:pPr>
                  <w:pStyle w:val="JCCName"/>
                  <w:jc w:val="center"/>
                </w:pPr>
                <w:r>
                  <w:t>RONALD M. GEORGE</w:t>
                </w:r>
              </w:p>
              <w:p w:rsidR="00150675" w:rsidRDefault="00150675">
                <w:pPr>
                  <w:pStyle w:val="JCCTitle"/>
                  <w:jc w:val="center"/>
                </w:pPr>
                <w:r>
                  <w:t xml:space="preserve">Chief Justice of </w:t>
                </w:r>
                <w:smartTag w:uri="urn:schemas-microsoft-com:office:smarttags" w:element="State">
                  <w:smartTag w:uri="urn:schemas-microsoft-com:office:smarttags" w:element="place">
                    <w:r>
                      <w:t>California</w:t>
                    </w:r>
                  </w:smartTag>
                </w:smartTag>
              </w:p>
              <w:p w:rsidR="00150675" w:rsidRDefault="00150675">
                <w:pPr>
                  <w:pStyle w:val="JCCTitle"/>
                  <w:jc w:val="center"/>
                </w:pPr>
                <w:r>
                  <w:t>Chair of the Judicial Council</w:t>
                </w:r>
              </w:p>
            </w:txbxContent>
          </v:textbox>
          <w10:wrap type="tight"/>
        </v:shape>
      </w:pict>
    </w:r>
    <w:r>
      <w:rPr>
        <w:noProof/>
      </w:rPr>
      <w:pict>
        <v:shape id="_x0000_s2051" type="#_x0000_t202" style="position:absolute;margin-left:-39.15pt;margin-top:-37.6pt;width:612pt;height:178.95pt;z-index:-251660288" wrapcoords="-26 0 -26 21510 21600 21510 21600 0 -26 0" o:allowincell="f" stroked="f">
          <o:lock v:ext="edit" aspectratio="t"/>
          <v:textbox style="mso-next-textbox:#_x0000_s2051">
            <w:txbxContent>
              <w:p w:rsidR="00150675" w:rsidRDefault="00894FD4">
                <w:pPr>
                  <w:jc w:val="center"/>
                </w:pPr>
                <w:r>
                  <w:rPr>
                    <w:rFonts w:ascii="Arial" w:hAnsi="Arial"/>
                    <w:noProof/>
                    <w:sz w:val="20"/>
                  </w:rPr>
                  <w:drawing>
                    <wp:inline distT="0" distB="0" distL="0" distR="0">
                      <wp:extent cx="2587625" cy="1288415"/>
                      <wp:effectExtent l="19050" t="0" r="3175" b="0"/>
                      <wp:docPr id="1" name="Picture 1"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spect="1" noChangeArrowheads="1"/>
                              </pic:cNvPicPr>
                            </pic:nvPicPr>
                            <pic:blipFill>
                              <a:blip r:embed="rId1"/>
                              <a:srcRect/>
                              <a:stretch>
                                <a:fillRect/>
                              </a:stretch>
                            </pic:blipFill>
                            <pic:spPr bwMode="auto">
                              <a:xfrm>
                                <a:off x="0" y="0"/>
                                <a:ext cx="2587625" cy="1288415"/>
                              </a:xfrm>
                              <a:prstGeom prst="rect">
                                <a:avLst/>
                              </a:prstGeom>
                              <a:noFill/>
                              <a:ln w="9525">
                                <a:noFill/>
                                <a:miter lim="800000"/>
                                <a:headEnd/>
                                <a:tailEnd/>
                              </a:ln>
                            </pic:spPr>
                          </pic:pic>
                        </a:graphicData>
                      </a:graphic>
                    </wp:inline>
                  </w:drawing>
                </w:r>
              </w:p>
              <w:p w:rsidR="00150675" w:rsidRDefault="00150675" w:rsidP="00865F0C">
                <w:pPr>
                  <w:pStyle w:val="JCCAddressblock"/>
                </w:pPr>
                <w:r>
                  <w:t>FINANCE DIVISION</w:t>
                </w:r>
              </w:p>
              <w:p w:rsidR="00150675" w:rsidRDefault="00150675">
                <w:pPr>
                  <w:pStyle w:val="JCCAddress1stline"/>
                </w:pPr>
                <w:smartTag w:uri="urn:schemas-microsoft-com:office:smarttags" w:element="address">
                  <w:smartTag w:uri="urn:schemas-microsoft-com:office:smarttags" w:element="Street">
                    <w:r>
                      <w:t>455 Golden Gate Avenue</w:t>
                    </w:r>
                  </w:smartTag>
                </w:smartTag>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150675" w:rsidRDefault="00150675">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rPr>
      <w:pict>
        <v:shape id="_x0000_s2052" type="#_x0000_t202" style="position:absolute;margin-left:76.05pt;margin-top:171.2pt;width:315pt;height:38.15pt;z-index:-251657216" wrapcoords="-51 0 -51 21176 21600 21176 21600 0 -51 0" stroked="f">
          <v:textbox style="mso-next-textbox:#_x0000_s2052">
            <w:txbxContent>
              <w:p w:rsidR="00150675" w:rsidRDefault="00150675">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5" w:rsidRPr="0025341A" w:rsidRDefault="00150675" w:rsidP="00CA78AB">
    <w:pPr>
      <w:pStyle w:val="Header"/>
      <w:rPr>
        <w:b/>
      </w:rPr>
    </w:pPr>
    <w:r w:rsidRPr="0025341A">
      <w:t>Project Title:     Review of Statewide Uniform Child Support Guideline</w:t>
    </w:r>
    <w:r w:rsidRPr="0025341A">
      <w:rPr>
        <w:b/>
      </w:rPr>
      <w:t xml:space="preserve"> </w:t>
    </w:r>
  </w:p>
  <w:p w:rsidR="00150675" w:rsidRPr="0025341A" w:rsidRDefault="00150675" w:rsidP="00CA78AB">
    <w:pPr>
      <w:pStyle w:val="Header"/>
      <w:rPr>
        <w:color w:val="0000FF"/>
      </w:rPr>
    </w:pPr>
    <w:r w:rsidRPr="0025341A">
      <w:t>RFP Number:</w:t>
    </w:r>
    <w:r w:rsidRPr="0025341A">
      <w:rPr>
        <w:color w:val="000000"/>
      </w:rPr>
      <w:t xml:space="preserve">   CFCC 15-09-LM</w:t>
    </w:r>
  </w:p>
  <w:p w:rsidR="00150675" w:rsidRPr="00920B5F" w:rsidRDefault="00150675" w:rsidP="00CA78AB">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65D"/>
    <w:multiLevelType w:val="hybridMultilevel"/>
    <w:tmpl w:val="81DA2894"/>
    <w:lvl w:ilvl="0" w:tplc="03BA40AE">
      <w:start w:val="11"/>
      <w:numFmt w:val="decimal"/>
      <w:lvlText w:val="(%1)"/>
      <w:lvlJc w:val="left"/>
      <w:pPr>
        <w:ind w:left="720" w:hanging="360"/>
      </w:pPr>
      <w:rPr>
        <w:rFonts w:cs="Arial"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961A32"/>
    <w:multiLevelType w:val="hybridMultilevel"/>
    <w:tmpl w:val="636A5A7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17E02C90"/>
    <w:multiLevelType w:val="multilevel"/>
    <w:tmpl w:val="4718CAFE"/>
    <w:lvl w:ilvl="0">
      <w:start w:val="1"/>
      <w:numFmt w:val="decimal"/>
      <w:pStyle w:val="ExhibitD1"/>
      <w:lvlText w:val="%1."/>
      <w:lvlJc w:val="left"/>
      <w:pPr>
        <w:tabs>
          <w:tab w:val="num" w:pos="720"/>
        </w:tabs>
        <w:ind w:left="720" w:hanging="720"/>
      </w:pPr>
      <w:rPr>
        <w:rFonts w:cs="Times New Roman" w:hint="default"/>
        <w:b/>
        <w:i w:val="0"/>
        <w:color w:val="auto"/>
      </w:rPr>
    </w:lvl>
    <w:lvl w:ilvl="1">
      <w:start w:val="1"/>
      <w:numFmt w:val="upperLetter"/>
      <w:lvlText w:val="%2."/>
      <w:lvlJc w:val="left"/>
      <w:pPr>
        <w:tabs>
          <w:tab w:val="num" w:pos="1440"/>
        </w:tabs>
        <w:ind w:left="1440" w:hanging="720"/>
      </w:pPr>
      <w:rPr>
        <w:rFonts w:cs="Times New Roman" w:hint="default"/>
        <w:color w:val="auto"/>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3">
    <w:nsid w:val="188965EC"/>
    <w:multiLevelType w:val="multilevel"/>
    <w:tmpl w:val="02C0FFF8"/>
    <w:lvl w:ilvl="0">
      <w:start w:val="6"/>
      <w:numFmt w:val="decimal"/>
      <w:lvlText w:val="%1"/>
      <w:lvlJc w:val="left"/>
      <w:pPr>
        <w:ind w:left="480" w:hanging="480"/>
      </w:pPr>
      <w:rPr>
        <w:rFonts w:cs="Times New Roman" w:hint="default"/>
      </w:rPr>
    </w:lvl>
    <w:lvl w:ilvl="1">
      <w:start w:val="3"/>
      <w:numFmt w:val="decimal"/>
      <w:lvlText w:val="%1.%2"/>
      <w:lvlJc w:val="left"/>
      <w:pPr>
        <w:ind w:left="1200" w:hanging="48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1D062F09"/>
    <w:multiLevelType w:val="multilevel"/>
    <w:tmpl w:val="8AFC5856"/>
    <w:lvl w:ilvl="0">
      <w:start w:val="3"/>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243F475E"/>
    <w:multiLevelType w:val="multilevel"/>
    <w:tmpl w:val="4714285A"/>
    <w:lvl w:ilvl="0">
      <w:start w:val="6"/>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3DD2553A"/>
    <w:multiLevelType w:val="hybridMultilevel"/>
    <w:tmpl w:val="E08E3F72"/>
    <w:lvl w:ilvl="0" w:tplc="7B76BA8A">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C2D19D9"/>
    <w:multiLevelType w:val="multilevel"/>
    <w:tmpl w:val="CFFC7890"/>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color w:val="00000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8"/>
  </w:num>
  <w:num w:numId="2">
    <w:abstractNumId w:val="7"/>
  </w:num>
  <w:num w:numId="3">
    <w:abstractNumId w:val="5"/>
  </w:num>
  <w:num w:numId="4">
    <w:abstractNumId w:val="3"/>
  </w:num>
  <w:num w:numId="5">
    <w:abstractNumId w:val="2"/>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32F30"/>
    <w:rsid w:val="0001474E"/>
    <w:rsid w:val="00047295"/>
    <w:rsid w:val="0008398B"/>
    <w:rsid w:val="000E3E88"/>
    <w:rsid w:val="000F358E"/>
    <w:rsid w:val="00150675"/>
    <w:rsid w:val="001722E3"/>
    <w:rsid w:val="001C76AC"/>
    <w:rsid w:val="00217505"/>
    <w:rsid w:val="0025341A"/>
    <w:rsid w:val="00270DE0"/>
    <w:rsid w:val="002D5B1B"/>
    <w:rsid w:val="002F29A0"/>
    <w:rsid w:val="003644DC"/>
    <w:rsid w:val="00376161"/>
    <w:rsid w:val="003A165D"/>
    <w:rsid w:val="003B2263"/>
    <w:rsid w:val="003B7B27"/>
    <w:rsid w:val="003E05B5"/>
    <w:rsid w:val="004036B1"/>
    <w:rsid w:val="0041522B"/>
    <w:rsid w:val="00432F30"/>
    <w:rsid w:val="004803D1"/>
    <w:rsid w:val="0049039C"/>
    <w:rsid w:val="0049493C"/>
    <w:rsid w:val="004C473B"/>
    <w:rsid w:val="004C53D3"/>
    <w:rsid w:val="004F4061"/>
    <w:rsid w:val="00542B75"/>
    <w:rsid w:val="005B120F"/>
    <w:rsid w:val="005B2274"/>
    <w:rsid w:val="005D0956"/>
    <w:rsid w:val="005F0ECD"/>
    <w:rsid w:val="0061516D"/>
    <w:rsid w:val="006237C6"/>
    <w:rsid w:val="00625CC6"/>
    <w:rsid w:val="006721C7"/>
    <w:rsid w:val="00692FA1"/>
    <w:rsid w:val="006D169E"/>
    <w:rsid w:val="00734DF5"/>
    <w:rsid w:val="00741FBD"/>
    <w:rsid w:val="007703BB"/>
    <w:rsid w:val="00771CE7"/>
    <w:rsid w:val="007C06B8"/>
    <w:rsid w:val="007C4A2E"/>
    <w:rsid w:val="00800199"/>
    <w:rsid w:val="008152E8"/>
    <w:rsid w:val="00851BC1"/>
    <w:rsid w:val="00865F0C"/>
    <w:rsid w:val="00866C52"/>
    <w:rsid w:val="00894FD4"/>
    <w:rsid w:val="008C372E"/>
    <w:rsid w:val="00907EC3"/>
    <w:rsid w:val="00920B5F"/>
    <w:rsid w:val="00924128"/>
    <w:rsid w:val="00934548"/>
    <w:rsid w:val="009902DA"/>
    <w:rsid w:val="00996888"/>
    <w:rsid w:val="009E498A"/>
    <w:rsid w:val="009E60D3"/>
    <w:rsid w:val="00A67865"/>
    <w:rsid w:val="00A80E95"/>
    <w:rsid w:val="00AA5D8F"/>
    <w:rsid w:val="00AC5DAF"/>
    <w:rsid w:val="00AF2507"/>
    <w:rsid w:val="00B330DE"/>
    <w:rsid w:val="00B65778"/>
    <w:rsid w:val="00BF4DE2"/>
    <w:rsid w:val="00C1548C"/>
    <w:rsid w:val="00C37D38"/>
    <w:rsid w:val="00C41C12"/>
    <w:rsid w:val="00C6401B"/>
    <w:rsid w:val="00CA78AB"/>
    <w:rsid w:val="00CB5E37"/>
    <w:rsid w:val="00D31680"/>
    <w:rsid w:val="00DD0AB9"/>
    <w:rsid w:val="00DF507E"/>
    <w:rsid w:val="00E40D6D"/>
    <w:rsid w:val="00E4258E"/>
    <w:rsid w:val="00E5146D"/>
    <w:rsid w:val="00E8606F"/>
    <w:rsid w:val="00EB4D62"/>
    <w:rsid w:val="00F07384"/>
    <w:rsid w:val="00F24A54"/>
    <w:rsid w:val="00F34A08"/>
    <w:rsid w:val="00F425C5"/>
    <w:rsid w:val="00FB40F2"/>
    <w:rsid w:val="00FE0920"/>
    <w:rsid w:val="00FE156E"/>
    <w:rsid w:val="00FF4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Indent 2" w:locked="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F30"/>
    <w:rPr>
      <w:rFonts w:ascii="Times New Roman" w:hAnsi="Times New Roman"/>
      <w:sz w:val="24"/>
      <w:szCs w:val="24"/>
    </w:rPr>
  </w:style>
  <w:style w:type="paragraph" w:styleId="Heading9">
    <w:name w:val="heading 9"/>
    <w:basedOn w:val="Normal"/>
    <w:next w:val="Normal"/>
    <w:link w:val="Heading9Char"/>
    <w:qFormat/>
    <w:rsid w:val="005B120F"/>
    <w:pPr>
      <w:keepNext/>
      <w:keepLines/>
      <w:spacing w:before="200"/>
      <w:outlineLvl w:val="8"/>
    </w:pPr>
    <w:rPr>
      <w:rFonts w:ascii="Cambria"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CAddressblock">
    <w:name w:val="JCC Address block"/>
    <w:basedOn w:val="Normal"/>
    <w:rsid w:val="00432F30"/>
    <w:pPr>
      <w:spacing w:before="240" w:line="220" w:lineRule="exact"/>
      <w:jc w:val="center"/>
    </w:pPr>
    <w:rPr>
      <w:rFonts w:ascii="Goudy Old Style" w:hAnsi="Goudy Old Style"/>
      <w:spacing w:val="20"/>
      <w:sz w:val="17"/>
    </w:rPr>
  </w:style>
  <w:style w:type="paragraph" w:customStyle="1" w:styleId="JCCName">
    <w:name w:val="JCC Name"/>
    <w:basedOn w:val="Normal"/>
    <w:rsid w:val="00432F30"/>
    <w:pPr>
      <w:spacing w:line="160" w:lineRule="exact"/>
      <w:jc w:val="right"/>
    </w:pPr>
    <w:rPr>
      <w:rFonts w:ascii="Goudy Old Style" w:hAnsi="Goudy Old Style"/>
      <w:spacing w:val="20"/>
      <w:sz w:val="14"/>
    </w:rPr>
  </w:style>
  <w:style w:type="paragraph" w:customStyle="1" w:styleId="JCCTitle">
    <w:name w:val="JCC Title"/>
    <w:basedOn w:val="Normal"/>
    <w:rsid w:val="00432F30"/>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432F30"/>
    <w:pPr>
      <w:spacing w:before="0"/>
    </w:pPr>
  </w:style>
  <w:style w:type="paragraph" w:customStyle="1" w:styleId="JCCAddress1stline">
    <w:name w:val="JCC Address 1st line"/>
    <w:basedOn w:val="Normal"/>
    <w:next w:val="JCCAddress2ndline"/>
    <w:rsid w:val="00432F30"/>
    <w:pPr>
      <w:spacing w:before="180" w:line="280" w:lineRule="exact"/>
      <w:jc w:val="center"/>
    </w:pPr>
    <w:rPr>
      <w:rFonts w:ascii="Goudy Old Style" w:hAnsi="Goudy Old Style"/>
      <w:sz w:val="17"/>
    </w:rPr>
  </w:style>
  <w:style w:type="paragraph" w:styleId="Footer">
    <w:name w:val="footer"/>
    <w:basedOn w:val="Normal"/>
    <w:link w:val="FooterChar"/>
    <w:rsid w:val="00432F30"/>
    <w:pPr>
      <w:tabs>
        <w:tab w:val="center" w:pos="4320"/>
        <w:tab w:val="right" w:pos="8640"/>
      </w:tabs>
    </w:pPr>
    <w:rPr>
      <w:sz w:val="16"/>
    </w:rPr>
  </w:style>
  <w:style w:type="character" w:customStyle="1" w:styleId="FooterChar">
    <w:name w:val="Footer Char"/>
    <w:basedOn w:val="DefaultParagraphFont"/>
    <w:link w:val="Footer"/>
    <w:locked/>
    <w:rsid w:val="00432F30"/>
    <w:rPr>
      <w:rFonts w:ascii="Times New Roman" w:hAnsi="Times New Roman" w:cs="Times New Roman"/>
      <w:sz w:val="24"/>
      <w:szCs w:val="24"/>
    </w:rPr>
  </w:style>
  <w:style w:type="paragraph" w:customStyle="1" w:styleId="HeaderPageNumber">
    <w:name w:val="Header Page Number"/>
    <w:basedOn w:val="Normal"/>
    <w:rsid w:val="00432F30"/>
    <w:pPr>
      <w:tabs>
        <w:tab w:val="center" w:pos="4320"/>
        <w:tab w:val="right" w:pos="8640"/>
      </w:tabs>
      <w:spacing w:after="600"/>
    </w:pPr>
  </w:style>
  <w:style w:type="paragraph" w:styleId="BodyText">
    <w:name w:val="Body Text"/>
    <w:basedOn w:val="Normal"/>
    <w:link w:val="BodyTextChar"/>
    <w:rsid w:val="00432F30"/>
    <w:pPr>
      <w:tabs>
        <w:tab w:val="left" w:pos="360"/>
      </w:tabs>
      <w:spacing w:line="300" w:lineRule="atLeast"/>
    </w:pPr>
  </w:style>
  <w:style w:type="character" w:customStyle="1" w:styleId="BodyTextChar">
    <w:name w:val="Body Text Char"/>
    <w:basedOn w:val="DefaultParagraphFont"/>
    <w:link w:val="BodyText"/>
    <w:locked/>
    <w:rsid w:val="00432F30"/>
    <w:rPr>
      <w:rFonts w:ascii="Times New Roman" w:hAnsi="Times New Roman" w:cs="Times New Roman"/>
      <w:sz w:val="24"/>
      <w:szCs w:val="24"/>
    </w:rPr>
  </w:style>
  <w:style w:type="paragraph" w:styleId="Header">
    <w:name w:val="header"/>
    <w:basedOn w:val="Normal"/>
    <w:link w:val="HeaderChar"/>
    <w:rsid w:val="00432F30"/>
    <w:pPr>
      <w:tabs>
        <w:tab w:val="center" w:pos="4320"/>
        <w:tab w:val="right" w:pos="8640"/>
      </w:tabs>
    </w:pPr>
  </w:style>
  <w:style w:type="character" w:customStyle="1" w:styleId="HeaderChar">
    <w:name w:val="Header Char"/>
    <w:basedOn w:val="DefaultParagraphFont"/>
    <w:link w:val="Header"/>
    <w:locked/>
    <w:rsid w:val="00432F30"/>
    <w:rPr>
      <w:rFonts w:ascii="Times New Roman" w:hAnsi="Times New Roman" w:cs="Times New Roman"/>
      <w:sz w:val="24"/>
      <w:szCs w:val="24"/>
    </w:rPr>
  </w:style>
  <w:style w:type="paragraph" w:styleId="CommentText">
    <w:name w:val="annotation text"/>
    <w:basedOn w:val="Normal"/>
    <w:link w:val="CommentTextChar"/>
    <w:semiHidden/>
    <w:rsid w:val="00432F30"/>
    <w:rPr>
      <w:sz w:val="20"/>
      <w:szCs w:val="20"/>
    </w:rPr>
  </w:style>
  <w:style w:type="character" w:customStyle="1" w:styleId="CommentTextChar">
    <w:name w:val="Comment Text Char"/>
    <w:basedOn w:val="DefaultParagraphFont"/>
    <w:link w:val="CommentText"/>
    <w:semiHidden/>
    <w:locked/>
    <w:rsid w:val="00432F30"/>
    <w:rPr>
      <w:rFonts w:ascii="Times New Roman" w:hAnsi="Times New Roman" w:cs="Times New Roman"/>
      <w:sz w:val="20"/>
      <w:szCs w:val="20"/>
    </w:rPr>
  </w:style>
  <w:style w:type="paragraph" w:styleId="BodyTextIndent2">
    <w:name w:val="Body Text Indent 2"/>
    <w:basedOn w:val="Normal"/>
    <w:link w:val="BodyTextIndent2Char"/>
    <w:rsid w:val="00432F30"/>
    <w:pPr>
      <w:spacing w:after="120" w:line="480" w:lineRule="auto"/>
      <w:ind w:left="360"/>
    </w:pPr>
  </w:style>
  <w:style w:type="character" w:customStyle="1" w:styleId="BodyTextIndent2Char">
    <w:name w:val="Body Text Indent 2 Char"/>
    <w:basedOn w:val="DefaultParagraphFont"/>
    <w:link w:val="BodyTextIndent2"/>
    <w:locked/>
    <w:rsid w:val="00432F30"/>
    <w:rPr>
      <w:rFonts w:ascii="Times New Roman" w:hAnsi="Times New Roman" w:cs="Times New Roman"/>
      <w:sz w:val="24"/>
      <w:szCs w:val="24"/>
    </w:rPr>
  </w:style>
  <w:style w:type="paragraph" w:styleId="BodyText2">
    <w:name w:val="Body Text 2"/>
    <w:basedOn w:val="Normal"/>
    <w:link w:val="BodyText2Char"/>
    <w:rsid w:val="00432F30"/>
    <w:pPr>
      <w:spacing w:after="120" w:line="480" w:lineRule="auto"/>
    </w:pPr>
  </w:style>
  <w:style w:type="character" w:customStyle="1" w:styleId="BodyText2Char">
    <w:name w:val="Body Text 2 Char"/>
    <w:basedOn w:val="DefaultParagraphFont"/>
    <w:link w:val="BodyText2"/>
    <w:locked/>
    <w:rsid w:val="00432F30"/>
    <w:rPr>
      <w:rFonts w:ascii="Times New Roman" w:hAnsi="Times New Roman" w:cs="Times New Roman"/>
      <w:sz w:val="24"/>
      <w:szCs w:val="24"/>
    </w:rPr>
  </w:style>
  <w:style w:type="paragraph" w:customStyle="1" w:styleId="DocInit">
    <w:name w:val="Doc Init"/>
    <w:basedOn w:val="Normal"/>
    <w:rsid w:val="00432F30"/>
    <w:rPr>
      <w:rFonts w:ascii="Courier" w:hAnsi="Courier" w:cs="Courier"/>
    </w:rPr>
  </w:style>
  <w:style w:type="paragraph" w:customStyle="1" w:styleId="RFPA">
    <w:name w:val="RFPA"/>
    <w:basedOn w:val="RFP1"/>
    <w:autoRedefine/>
    <w:rsid w:val="00432F30"/>
    <w:pPr>
      <w:numPr>
        <w:ilvl w:val="1"/>
      </w:numPr>
      <w:ind w:hanging="720"/>
    </w:pPr>
    <w:rPr>
      <w:caps w:val="0"/>
      <w:u w:val="none"/>
    </w:rPr>
  </w:style>
  <w:style w:type="paragraph" w:customStyle="1" w:styleId="RFP1">
    <w:name w:val="RFP1"/>
    <w:basedOn w:val="Normal"/>
    <w:autoRedefine/>
    <w:rsid w:val="00432F30"/>
    <w:pPr>
      <w:numPr>
        <w:numId w:val="1"/>
      </w:numPr>
    </w:pPr>
    <w:rPr>
      <w:caps/>
      <w:u w:val="single"/>
    </w:rPr>
  </w:style>
  <w:style w:type="paragraph" w:customStyle="1" w:styleId="RFPa0">
    <w:name w:val="RFP(a)"/>
    <w:basedOn w:val="Normal"/>
    <w:rsid w:val="00432F30"/>
    <w:pPr>
      <w:numPr>
        <w:ilvl w:val="3"/>
        <w:numId w:val="1"/>
      </w:numPr>
      <w:tabs>
        <w:tab w:val="left" w:pos="1440"/>
      </w:tabs>
    </w:pPr>
  </w:style>
  <w:style w:type="character" w:styleId="Hyperlink">
    <w:name w:val="Hyperlink"/>
    <w:basedOn w:val="DefaultParagraphFont"/>
    <w:rsid w:val="00432F30"/>
    <w:rPr>
      <w:rFonts w:cs="Times New Roman"/>
      <w:color w:val="0000FF"/>
      <w:u w:val="single"/>
    </w:rPr>
  </w:style>
  <w:style w:type="paragraph" w:styleId="BodyTextIndent">
    <w:name w:val="Body Text Indent"/>
    <w:basedOn w:val="Normal"/>
    <w:link w:val="BodyTextIndentChar"/>
    <w:rsid w:val="00432F30"/>
    <w:pPr>
      <w:spacing w:after="120"/>
      <w:ind w:left="360"/>
    </w:pPr>
  </w:style>
  <w:style w:type="character" w:customStyle="1" w:styleId="BodyTextIndentChar">
    <w:name w:val="Body Text Indent Char"/>
    <w:basedOn w:val="DefaultParagraphFont"/>
    <w:link w:val="BodyTextIndent"/>
    <w:locked/>
    <w:rsid w:val="00432F30"/>
    <w:rPr>
      <w:rFonts w:ascii="Times New Roman" w:hAnsi="Times New Roman" w:cs="Times New Roman"/>
      <w:sz w:val="24"/>
      <w:szCs w:val="24"/>
    </w:rPr>
  </w:style>
  <w:style w:type="character" w:styleId="PageNumber">
    <w:name w:val="page number"/>
    <w:basedOn w:val="DefaultParagraphFont"/>
    <w:rsid w:val="00432F30"/>
    <w:rPr>
      <w:rFonts w:cs="Times New Roman"/>
    </w:rPr>
  </w:style>
  <w:style w:type="paragraph" w:customStyle="1" w:styleId="normal0">
    <w:name w:val="normal"/>
    <w:basedOn w:val="Normal"/>
    <w:rsid w:val="00432F30"/>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qFormat/>
    <w:rsid w:val="00432F30"/>
    <w:pPr>
      <w:ind w:left="720"/>
    </w:pPr>
  </w:style>
  <w:style w:type="paragraph" w:customStyle="1" w:styleId="Default">
    <w:name w:val="Default"/>
    <w:rsid w:val="00432F30"/>
    <w:pPr>
      <w:autoSpaceDE w:val="0"/>
      <w:autoSpaceDN w:val="0"/>
      <w:adjustRightInd w:val="0"/>
    </w:pPr>
    <w:rPr>
      <w:rFonts w:ascii="Arial" w:eastAsia="Times New Roman" w:hAnsi="Arial" w:cs="Arial"/>
      <w:color w:val="000000"/>
      <w:sz w:val="24"/>
      <w:szCs w:val="24"/>
    </w:rPr>
  </w:style>
  <w:style w:type="paragraph" w:customStyle="1" w:styleId="Heading10">
    <w:name w:val="Heading10"/>
    <w:basedOn w:val="Heading9"/>
    <w:rsid w:val="005B120F"/>
    <w:pPr>
      <w:keepLines w:val="0"/>
      <w:tabs>
        <w:tab w:val="left" w:pos="10710"/>
      </w:tabs>
      <w:spacing w:before="0"/>
      <w:ind w:left="360" w:right="187" w:hanging="360"/>
      <w:jc w:val="center"/>
    </w:pPr>
    <w:rPr>
      <w:rFonts w:ascii="Times New Roman" w:hAnsi="Times New Roman"/>
      <w:b/>
      <w:bCs/>
      <w:i w:val="0"/>
      <w:iCs w:val="0"/>
      <w:caps/>
      <w:color w:val="auto"/>
      <w:sz w:val="24"/>
      <w:szCs w:val="24"/>
    </w:rPr>
  </w:style>
  <w:style w:type="paragraph" w:customStyle="1" w:styleId="ExhibitD1">
    <w:name w:val="ExhibitD1"/>
    <w:basedOn w:val="BodyText"/>
    <w:link w:val="ExhibitD1Char"/>
    <w:rsid w:val="005B120F"/>
    <w:pPr>
      <w:numPr>
        <w:numId w:val="5"/>
      </w:numPr>
      <w:tabs>
        <w:tab w:val="clear" w:pos="360"/>
      </w:tabs>
      <w:spacing w:line="240" w:lineRule="auto"/>
    </w:pPr>
    <w:rPr>
      <w:szCs w:val="20"/>
      <w:u w:val="single"/>
    </w:rPr>
  </w:style>
  <w:style w:type="character" w:customStyle="1" w:styleId="ExhibitD1Char">
    <w:name w:val="ExhibitD1 Char"/>
    <w:basedOn w:val="DefaultParagraphFont"/>
    <w:link w:val="ExhibitD1"/>
    <w:locked/>
    <w:rsid w:val="005B120F"/>
    <w:rPr>
      <w:rFonts w:ascii="Times New Roman" w:hAnsi="Times New Roman" w:cs="Times New Roman"/>
      <w:sz w:val="20"/>
      <w:szCs w:val="20"/>
      <w:u w:val="single"/>
    </w:rPr>
  </w:style>
  <w:style w:type="character" w:customStyle="1" w:styleId="Heading9Char">
    <w:name w:val="Heading 9 Char"/>
    <w:basedOn w:val="DefaultParagraphFont"/>
    <w:link w:val="Heading9"/>
    <w:semiHidden/>
    <w:locked/>
    <w:rsid w:val="005B120F"/>
    <w:rPr>
      <w:rFonts w:ascii="Cambria" w:hAnsi="Cambria" w:cs="Times New Roman"/>
      <w:i/>
      <w:iCs/>
      <w:color w:val="404040"/>
      <w:sz w:val="20"/>
      <w:szCs w:val="20"/>
    </w:rPr>
  </w:style>
  <w:style w:type="paragraph" w:customStyle="1" w:styleId="listparagraph0">
    <w:name w:val="listparagraph0"/>
    <w:basedOn w:val="Normal"/>
    <w:rsid w:val="007C4A2E"/>
    <w:pPr>
      <w:ind w:left="720"/>
    </w:pPr>
    <w:rPr>
      <w:rFonts w:eastAsia="Times New Roman"/>
    </w:rPr>
  </w:style>
  <w:style w:type="paragraph" w:customStyle="1" w:styleId="ExhibitC1">
    <w:name w:val="ExhibitC1"/>
    <w:basedOn w:val="Normal"/>
    <w:rsid w:val="00800199"/>
    <w:pPr>
      <w:numPr>
        <w:numId w:val="9"/>
      </w:numPr>
    </w:pPr>
    <w:rPr>
      <w:noProof/>
      <w:szCs w:val="20"/>
      <w:u w:val="single"/>
    </w:rPr>
  </w:style>
  <w:style w:type="paragraph" w:customStyle="1" w:styleId="ExhibitC2">
    <w:name w:val="ExhibitC2"/>
    <w:basedOn w:val="Normal"/>
    <w:rsid w:val="00800199"/>
    <w:pPr>
      <w:numPr>
        <w:ilvl w:val="1"/>
        <w:numId w:val="9"/>
      </w:numPr>
    </w:pPr>
    <w:rPr>
      <w:noProof/>
      <w:szCs w:val="20"/>
    </w:rPr>
  </w:style>
  <w:style w:type="paragraph" w:customStyle="1" w:styleId="ExhibitC3">
    <w:name w:val="ExhibitC3"/>
    <w:basedOn w:val="Normal"/>
    <w:rsid w:val="00800199"/>
    <w:pPr>
      <w:keepNext/>
      <w:numPr>
        <w:ilvl w:val="2"/>
        <w:numId w:val="9"/>
      </w:numPr>
      <w:tabs>
        <w:tab w:val="left" w:pos="2592"/>
        <w:tab w:val="left" w:pos="4176"/>
        <w:tab w:val="left" w:pos="10710"/>
      </w:tabs>
      <w:ind w:right="187"/>
      <w:outlineLvl w:val="0"/>
    </w:pPr>
    <w:rPr>
      <w:szCs w:val="2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TO:</vt:lpstr>
    </vt:vector>
  </TitlesOfParts>
  <Company>Administrative Office of the Courts</Company>
  <LinksUpToDate>false</LinksUpToDate>
  <CharactersWithSpaces>7900</CharactersWithSpaces>
  <SharedDoc>false</SharedDoc>
  <HLinks>
    <vt:vector size="6" baseType="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L McBain</dc:creator>
  <cp:keywords/>
  <dc:description/>
  <cp:lastModifiedBy>Owner</cp:lastModifiedBy>
  <cp:revision>2</cp:revision>
  <cp:lastPrinted>2009-10-24T00:57:00Z</cp:lastPrinted>
  <dcterms:created xsi:type="dcterms:W3CDTF">2010-08-27T16:59:00Z</dcterms:created>
  <dcterms:modified xsi:type="dcterms:W3CDTF">2010-08-27T16:59:00Z</dcterms:modified>
</cp:coreProperties>
</file>