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79B8F82A" w14:textId="77777777" w:rsidTr="008B50E8">
        <w:trPr>
          <w:cantSplit/>
          <w:trHeight w:hRule="exact" w:val="4860"/>
        </w:trPr>
        <w:tc>
          <w:tcPr>
            <w:tcW w:w="270" w:type="dxa"/>
            <w:vMerge w:val="restart"/>
            <w:tcMar>
              <w:left w:w="0" w:type="dxa"/>
              <w:right w:w="0" w:type="dxa"/>
            </w:tcMar>
          </w:tcPr>
          <w:p w14:paraId="38A12D44" w14:textId="77777777" w:rsidR="008B50E8" w:rsidRPr="009E10B7" w:rsidRDefault="008B50E8" w:rsidP="006A6E22">
            <w:pPr>
              <w:rPr>
                <w:rFonts w:ascii="Arial" w:hAnsi="Arial" w:cs="Arial"/>
              </w:rPr>
            </w:pPr>
          </w:p>
        </w:tc>
        <w:tc>
          <w:tcPr>
            <w:tcW w:w="8370" w:type="dxa"/>
            <w:tcBorders>
              <w:bottom w:val="single" w:sz="4" w:space="0" w:color="auto"/>
            </w:tcBorders>
            <w:tcMar>
              <w:left w:w="0" w:type="dxa"/>
              <w:right w:w="0" w:type="dxa"/>
            </w:tcMar>
            <w:vAlign w:val="bottom"/>
          </w:tcPr>
          <w:p w14:paraId="1A524965" w14:textId="77777777" w:rsidR="008B50E8" w:rsidRPr="008B50E8" w:rsidRDefault="008B50E8" w:rsidP="006A6E22">
            <w:pPr>
              <w:pStyle w:val="JCCReportCoverTitle"/>
              <w:rPr>
                <w:rFonts w:ascii="Arial" w:hAnsi="Arial" w:cs="Arial"/>
                <w:sz w:val="80"/>
                <w:szCs w:val="80"/>
              </w:rPr>
            </w:pPr>
            <w:r w:rsidRPr="008B50E8">
              <w:rPr>
                <w:rFonts w:ascii="Arial" w:hAnsi="Arial" w:cs="Arial"/>
                <w:color w:val="073873"/>
                <w:sz w:val="80"/>
                <w:szCs w:val="80"/>
              </w:rPr>
              <w:t>REQUEST FOR PROPOSALS</w:t>
            </w:r>
            <w:r w:rsidR="004D5961">
              <w:rPr>
                <w:rFonts w:ascii="Arial" w:hAnsi="Arial" w:cs="Arial"/>
                <w:color w:val="073873"/>
                <w:sz w:val="80"/>
                <w:szCs w:val="80"/>
              </w:rPr>
              <w:t xml:space="preserve"> </w:t>
            </w:r>
          </w:p>
          <w:p w14:paraId="61D66A4D" w14:textId="77777777" w:rsidR="008B50E8" w:rsidRPr="009E10B7" w:rsidRDefault="008B50E8" w:rsidP="006A6E22">
            <w:pPr>
              <w:pStyle w:val="JCCReportCoverSpacer"/>
              <w:rPr>
                <w:rFonts w:ascii="Arial" w:hAnsi="Arial" w:cs="Arial"/>
              </w:rPr>
            </w:pPr>
            <w:r w:rsidRPr="009E10B7">
              <w:rPr>
                <w:rFonts w:ascii="Arial" w:hAnsi="Arial" w:cs="Arial"/>
              </w:rPr>
              <w:t xml:space="preserve"> </w:t>
            </w:r>
          </w:p>
        </w:tc>
      </w:tr>
      <w:tr w:rsidR="008B50E8" w:rsidRPr="009E10B7" w14:paraId="01A4537F" w14:textId="77777777" w:rsidTr="008B50E8">
        <w:trPr>
          <w:cantSplit/>
          <w:trHeight w:hRule="exact" w:val="6580"/>
        </w:trPr>
        <w:tc>
          <w:tcPr>
            <w:tcW w:w="270" w:type="dxa"/>
            <w:vMerge/>
            <w:tcMar>
              <w:left w:w="0" w:type="dxa"/>
              <w:right w:w="0" w:type="dxa"/>
            </w:tcMar>
          </w:tcPr>
          <w:p w14:paraId="48156E8D" w14:textId="77777777" w:rsidR="008B50E8" w:rsidRPr="009E10B7" w:rsidRDefault="008B50E8" w:rsidP="006A6E22">
            <w:pPr>
              <w:rPr>
                <w:rFonts w:ascii="Arial" w:hAnsi="Arial" w:cs="Arial"/>
                <w:b/>
                <w:caps/>
                <w:spacing w:val="20"/>
                <w:sz w:val="28"/>
              </w:rPr>
            </w:pPr>
          </w:p>
        </w:tc>
        <w:tc>
          <w:tcPr>
            <w:tcW w:w="8370" w:type="dxa"/>
            <w:tcBorders>
              <w:top w:val="single" w:sz="4" w:space="0" w:color="auto"/>
            </w:tcBorders>
            <w:tcMar>
              <w:left w:w="0" w:type="dxa"/>
              <w:right w:w="0" w:type="dxa"/>
            </w:tcMar>
          </w:tcPr>
          <w:p w14:paraId="793EE478" w14:textId="7194723A" w:rsidR="008B50E8" w:rsidRPr="002B367F" w:rsidRDefault="008B50E8" w:rsidP="008B50E8">
            <w:pPr>
              <w:pStyle w:val="JCCReportCoverSubhead"/>
              <w:rPr>
                <w:rFonts w:ascii="Arial" w:hAnsi="Arial" w:cs="Arial"/>
                <w:b/>
                <w:i/>
                <w:color w:val="FF0000"/>
                <w:szCs w:val="28"/>
              </w:rPr>
            </w:pPr>
            <w:r w:rsidRPr="002B367F">
              <w:rPr>
                <w:rFonts w:ascii="Arial" w:hAnsi="Arial" w:cs="Arial"/>
                <w:b/>
                <w:i/>
                <w:color w:val="FF0000"/>
                <w:szCs w:val="28"/>
              </w:rPr>
              <w:t>[</w:t>
            </w:r>
            <w:r w:rsidR="00517579">
              <w:rPr>
                <w:rFonts w:ascii="Arial" w:hAnsi="Arial" w:cs="Arial"/>
                <w:b/>
                <w:i/>
                <w:color w:val="FF0000"/>
                <w:szCs w:val="28"/>
              </w:rPr>
              <w:t>Judicial Council of California</w:t>
            </w:r>
            <w:r w:rsidRPr="002B367F">
              <w:rPr>
                <w:rFonts w:ascii="Arial" w:hAnsi="Arial" w:cs="Arial"/>
                <w:b/>
                <w:i/>
                <w:color w:val="FF0000"/>
                <w:szCs w:val="28"/>
              </w:rPr>
              <w:t>]</w:t>
            </w:r>
          </w:p>
          <w:p w14:paraId="7CCFDA35" w14:textId="77777777" w:rsidR="008B50E8" w:rsidRPr="009E10B7" w:rsidRDefault="008B50E8" w:rsidP="006A6E22">
            <w:pPr>
              <w:pStyle w:val="JCCReportCoverSubhead"/>
              <w:rPr>
                <w:rFonts w:ascii="Arial" w:hAnsi="Arial" w:cs="Arial"/>
                <w:b/>
                <w:szCs w:val="28"/>
              </w:rPr>
            </w:pPr>
          </w:p>
          <w:p w14:paraId="2E93B3F7" w14:textId="10D2C9A9" w:rsidR="00B81D70" w:rsidRDefault="008B50E8" w:rsidP="006A6E22">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517579">
              <w:rPr>
                <w:rFonts w:ascii="Arial" w:hAnsi="Arial" w:cs="Arial"/>
                <w:i/>
                <w:caps w:val="0"/>
                <w:color w:val="FF0000"/>
                <w:szCs w:val="28"/>
              </w:rPr>
              <w:t>RFP TITLE: SUPPORT FOR ON-LINE DOCUMENT ASSEMBLY PROGRAM</w:t>
            </w:r>
          </w:p>
          <w:p w14:paraId="6E0F7CAA" w14:textId="77777777" w:rsidR="00B81D70" w:rsidRDefault="00B81D70" w:rsidP="006A6E22">
            <w:pPr>
              <w:pStyle w:val="JCCReportCoverSubhead"/>
              <w:rPr>
                <w:rFonts w:ascii="Arial" w:hAnsi="Arial" w:cs="Arial"/>
                <w:i/>
                <w:caps w:val="0"/>
                <w:color w:val="FF0000"/>
                <w:szCs w:val="28"/>
              </w:rPr>
            </w:pPr>
          </w:p>
          <w:p w14:paraId="4CF324F4" w14:textId="018F1158" w:rsidR="008B50E8" w:rsidRPr="00865B20" w:rsidRDefault="00B81D70" w:rsidP="006A6E22">
            <w:pPr>
              <w:pStyle w:val="JCCReportCoverSubhead"/>
              <w:rPr>
                <w:rFonts w:ascii="Arial" w:hAnsi="Arial" w:cs="Arial"/>
                <w:szCs w:val="28"/>
              </w:rPr>
            </w:pPr>
            <w:r>
              <w:rPr>
                <w:rFonts w:ascii="Arial" w:hAnsi="Arial" w:cs="Arial"/>
                <w:i/>
                <w:caps w:val="0"/>
                <w:color w:val="FF0000"/>
                <w:szCs w:val="28"/>
              </w:rPr>
              <w:t>NUMBER: CFCC-2024-</w:t>
            </w:r>
            <w:r w:rsidR="00F63784">
              <w:rPr>
                <w:rFonts w:ascii="Arial" w:hAnsi="Arial" w:cs="Arial"/>
                <w:i/>
                <w:caps w:val="0"/>
                <w:color w:val="FF0000"/>
                <w:szCs w:val="28"/>
              </w:rPr>
              <w:t>28</w:t>
            </w:r>
            <w:r>
              <w:rPr>
                <w:rFonts w:ascii="Arial" w:hAnsi="Arial" w:cs="Arial"/>
                <w:i/>
                <w:caps w:val="0"/>
                <w:color w:val="FF0000"/>
                <w:szCs w:val="28"/>
              </w:rPr>
              <w:t>-</w:t>
            </w:r>
            <w:r w:rsidR="00F63784">
              <w:rPr>
                <w:rFonts w:ascii="Arial" w:hAnsi="Arial" w:cs="Arial"/>
                <w:i/>
                <w:caps w:val="0"/>
                <w:color w:val="FF0000"/>
                <w:szCs w:val="28"/>
              </w:rPr>
              <w:t>SB</w:t>
            </w:r>
          </w:p>
          <w:p w14:paraId="26DD8EAB"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1CB6EA6C"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304C02D5"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6F1577CC"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25A1C5D2" w14:textId="3C071D9C" w:rsidR="008B50E8" w:rsidRPr="002355CF" w:rsidRDefault="008B50E8" w:rsidP="006A6E22">
            <w:pPr>
              <w:pStyle w:val="Header"/>
              <w:tabs>
                <w:tab w:val="clear" w:pos="4320"/>
                <w:tab w:val="clear" w:pos="8640"/>
              </w:tabs>
              <w:autoSpaceDE w:val="0"/>
              <w:autoSpaceDN w:val="0"/>
              <w:adjustRightInd w:val="0"/>
              <w:rPr>
                <w:rFonts w:ascii="Arial" w:hAnsi="Arial" w:cs="Arial"/>
                <w:b/>
                <w:bCs/>
                <w:smallCaps/>
                <w:color w:val="000000"/>
                <w:sz w:val="28"/>
                <w:szCs w:val="20"/>
              </w:rPr>
            </w:pPr>
            <w:r w:rsidRPr="00A50B42">
              <w:rPr>
                <w:rFonts w:ascii="Arial" w:hAnsi="Arial" w:cs="Arial"/>
                <w:i/>
                <w:color w:val="FF0000"/>
                <w:sz w:val="28"/>
                <w:szCs w:val="28"/>
              </w:rPr>
              <w:t>[</w:t>
            </w:r>
            <w:r w:rsidR="0053561F">
              <w:rPr>
                <w:rFonts w:ascii="Arial" w:hAnsi="Arial" w:cs="Arial"/>
                <w:i/>
                <w:color w:val="FF0000"/>
                <w:sz w:val="28"/>
                <w:szCs w:val="28"/>
              </w:rPr>
              <w:t xml:space="preserve">April </w:t>
            </w:r>
            <w:r w:rsidR="00E454C8">
              <w:rPr>
                <w:rFonts w:ascii="Arial" w:hAnsi="Arial" w:cs="Arial"/>
                <w:i/>
                <w:color w:val="FF0000"/>
                <w:sz w:val="28"/>
                <w:szCs w:val="28"/>
              </w:rPr>
              <w:t>19</w:t>
            </w:r>
            <w:r w:rsidR="00B81D70">
              <w:rPr>
                <w:rFonts w:ascii="Arial" w:hAnsi="Arial" w:cs="Arial"/>
                <w:i/>
                <w:color w:val="FF0000"/>
                <w:sz w:val="28"/>
                <w:szCs w:val="28"/>
              </w:rPr>
              <w:t>, 2024</w:t>
            </w:r>
            <w:r w:rsidRPr="00A50B42">
              <w:rPr>
                <w:rFonts w:ascii="Arial" w:hAnsi="Arial" w:cs="Arial"/>
                <w:i/>
                <w:color w:val="FF0000"/>
                <w:sz w:val="28"/>
                <w:szCs w:val="28"/>
              </w:rPr>
              <w:t>]</w:t>
            </w:r>
            <w:r w:rsidRPr="00A50B42">
              <w:rPr>
                <w:rFonts w:ascii="Arial" w:hAnsi="Arial" w:cs="Arial"/>
                <w:bCs/>
                <w:smallCaps/>
                <w:color w:val="000000"/>
                <w:sz w:val="28"/>
                <w:szCs w:val="28"/>
              </w:rPr>
              <w:t xml:space="preserve"> no later than </w:t>
            </w:r>
            <w:r w:rsidRPr="00A50B42">
              <w:rPr>
                <w:rFonts w:ascii="Arial" w:hAnsi="Arial" w:cs="Arial"/>
                <w:i/>
                <w:color w:val="FF0000"/>
                <w:sz w:val="28"/>
                <w:szCs w:val="28"/>
              </w:rPr>
              <w:t>[</w:t>
            </w:r>
            <w:r w:rsidR="0053561F">
              <w:rPr>
                <w:rFonts w:ascii="Arial" w:hAnsi="Arial" w:cs="Arial"/>
                <w:i/>
                <w:color w:val="FF0000"/>
                <w:sz w:val="28"/>
                <w:szCs w:val="28"/>
              </w:rPr>
              <w:t>1</w:t>
            </w:r>
            <w:r w:rsidR="003147F4">
              <w:rPr>
                <w:rFonts w:ascii="Arial" w:hAnsi="Arial" w:cs="Arial"/>
                <w:i/>
                <w:color w:val="FF0000"/>
                <w:sz w:val="28"/>
                <w:szCs w:val="28"/>
              </w:rPr>
              <w:t>:00</w:t>
            </w:r>
            <w:r w:rsidRPr="00A50B42">
              <w:rPr>
                <w:rFonts w:ascii="Arial" w:hAnsi="Arial" w:cs="Arial"/>
                <w:i/>
                <w:color w:val="FF0000"/>
                <w:sz w:val="28"/>
                <w:szCs w:val="28"/>
              </w:rPr>
              <w:t>]</w:t>
            </w:r>
            <w:r>
              <w:rPr>
                <w:rFonts w:ascii="Arial" w:hAnsi="Arial" w:cs="Arial"/>
                <w:i/>
                <w:caps/>
                <w:color w:val="FF0000"/>
                <w:sz w:val="22"/>
                <w:szCs w:val="28"/>
              </w:rPr>
              <w:t xml:space="preserve"> </w:t>
            </w:r>
            <w:r>
              <w:rPr>
                <w:rFonts w:ascii="Arial" w:hAnsi="Arial" w:cs="Arial"/>
                <w:bCs/>
                <w:smallCaps/>
                <w:color w:val="000000"/>
                <w:sz w:val="28"/>
                <w:szCs w:val="20"/>
              </w:rPr>
              <w:t xml:space="preserve">p.m. Pacific time </w:t>
            </w:r>
          </w:p>
          <w:p w14:paraId="4A2ED4BE" w14:textId="77777777" w:rsidR="008B50E8" w:rsidRPr="009E10B7" w:rsidRDefault="008B50E8" w:rsidP="006A6E22">
            <w:pPr>
              <w:pStyle w:val="Header"/>
              <w:tabs>
                <w:tab w:val="clear" w:pos="4320"/>
                <w:tab w:val="clear" w:pos="8640"/>
              </w:tabs>
              <w:autoSpaceDE w:val="0"/>
              <w:autoSpaceDN w:val="0"/>
              <w:adjustRightInd w:val="0"/>
              <w:rPr>
                <w:rFonts w:ascii="Arial" w:hAnsi="Arial" w:cs="Arial"/>
                <w:b/>
                <w:bCs/>
                <w:sz w:val="36"/>
              </w:rPr>
            </w:pPr>
          </w:p>
        </w:tc>
      </w:tr>
    </w:tbl>
    <w:p w14:paraId="1823D3C8"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1804C51" w14:textId="77777777" w:rsidR="00C37FF7" w:rsidRDefault="00C37FF7" w:rsidP="00C37FF7">
      <w:pPr>
        <w:jc w:val="center"/>
        <w:rPr>
          <w:b/>
          <w:bCs/>
          <w:sz w:val="26"/>
          <w:szCs w:val="26"/>
        </w:rPr>
      </w:pPr>
    </w:p>
    <w:p w14:paraId="21FC884C" w14:textId="77777777" w:rsidR="00C37FF7" w:rsidRDefault="00C37FF7" w:rsidP="00C37FF7">
      <w:pPr>
        <w:jc w:val="center"/>
        <w:rPr>
          <w:b/>
          <w:bCs/>
          <w:sz w:val="26"/>
          <w:szCs w:val="26"/>
        </w:rPr>
      </w:pPr>
    </w:p>
    <w:p w14:paraId="700584AA" w14:textId="77777777" w:rsidR="00C37FF7" w:rsidRDefault="00C37FF7" w:rsidP="00C37FF7">
      <w:pPr>
        <w:jc w:val="center"/>
        <w:rPr>
          <w:b/>
          <w:bCs/>
          <w:sz w:val="26"/>
          <w:szCs w:val="26"/>
        </w:rPr>
      </w:pPr>
    </w:p>
    <w:p w14:paraId="1EBF6708" w14:textId="77777777" w:rsidR="00C37FF7" w:rsidRDefault="00C37FF7" w:rsidP="00C37FF7">
      <w:pPr>
        <w:jc w:val="center"/>
        <w:rPr>
          <w:b/>
          <w:bCs/>
          <w:sz w:val="26"/>
          <w:szCs w:val="26"/>
        </w:rPr>
      </w:pPr>
    </w:p>
    <w:p w14:paraId="2FE0641E"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4E6D8DF1" w14:textId="77777777" w:rsidR="00C37FF7" w:rsidRDefault="00C37FF7" w:rsidP="00C37FF7">
      <w:pPr>
        <w:keepNext/>
      </w:pPr>
    </w:p>
    <w:p w14:paraId="5BEB357C" w14:textId="2166C757" w:rsidR="00C37FF7" w:rsidRDefault="00C37FF7" w:rsidP="00574253">
      <w:pPr>
        <w:keepNext/>
        <w:ind w:left="1440" w:hanging="720"/>
      </w:pPr>
      <w:r>
        <w:t>1.</w:t>
      </w:r>
      <w:r w:rsidR="008B50E8">
        <w:t>1</w:t>
      </w:r>
      <w:r>
        <w:tab/>
      </w:r>
      <w:r w:rsidR="00A1303E" w:rsidRPr="00A1303E">
        <w:rPr>
          <w:u w:val="single"/>
        </w:rPr>
        <w:t xml:space="preserve"> </w:t>
      </w:r>
      <w:r w:rsidR="00A1303E" w:rsidRPr="007636A7">
        <w:rPr>
          <w:u w:val="single"/>
        </w:rPr>
        <w:t>Judicial Council of California</w:t>
      </w:r>
      <w:r w:rsidR="00A1303E">
        <w:rPr>
          <w:u w:val="single"/>
        </w:rPr>
        <w:t xml:space="preserve"> (“J</w:t>
      </w:r>
      <w:r w:rsidR="00A436B3">
        <w:rPr>
          <w:u w:val="single"/>
        </w:rPr>
        <w:t>BE”</w:t>
      </w:r>
      <w:r w:rsidR="00BF4E58">
        <w:rPr>
          <w:u w:val="single"/>
        </w:rPr>
        <w:t>)</w:t>
      </w:r>
      <w:r w:rsidR="00A1303E" w:rsidRPr="007636A7">
        <w:t>.  The Judicial Council of California, chaired by the Chief Justice of California, is the chief policy</w:t>
      </w:r>
      <w:r w:rsidR="00A1303E">
        <w:t>-</w:t>
      </w:r>
      <w:r w:rsidR="00A1303E" w:rsidRPr="007636A7">
        <w:t xml:space="preserve">making </w:t>
      </w:r>
      <w:r w:rsidR="00A1303E">
        <w:t>body</w:t>
      </w:r>
      <w:r w:rsidR="00A1303E" w:rsidRPr="007636A7">
        <w:t xml:space="preserve">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w:t>
      </w:r>
      <w:r w:rsidR="00A1303E">
        <w:t>Judicial Council also comprises</w:t>
      </w:r>
      <w:r w:rsidR="00A1303E" w:rsidRPr="007636A7">
        <w:t xml:space="preserve"> the staff agency for the council </w:t>
      </w:r>
      <w:r w:rsidR="00A1303E">
        <w:t>that</w:t>
      </w:r>
      <w:r w:rsidR="00A1303E" w:rsidRPr="007636A7">
        <w:t xml:space="preserve"> assists both the council and its chair in performing their duties.</w:t>
      </w:r>
    </w:p>
    <w:p w14:paraId="72223E76" w14:textId="77777777" w:rsidR="00A1303E" w:rsidRDefault="00A1303E" w:rsidP="00574253">
      <w:pPr>
        <w:keepNext/>
        <w:ind w:left="1440" w:hanging="720"/>
      </w:pPr>
    </w:p>
    <w:p w14:paraId="372B7A50" w14:textId="77777777" w:rsidR="00E6210D" w:rsidRDefault="00E6210D" w:rsidP="00E6210D">
      <w:pPr>
        <w:pStyle w:val="ListParagraph"/>
        <w:widowControl w:val="0"/>
        <w:ind w:left="1440" w:right="144" w:hanging="720"/>
        <w:jc w:val="both"/>
      </w:pPr>
      <w:r>
        <w:t>1</w:t>
      </w:r>
      <w:r w:rsidRPr="007636A7">
        <w:t xml:space="preserve">.2 </w:t>
      </w:r>
      <w:r w:rsidRPr="007636A7">
        <w:tab/>
      </w:r>
      <w:r w:rsidRPr="004506A0">
        <w:rPr>
          <w:u w:val="single"/>
        </w:rPr>
        <w:t xml:space="preserve">Center for Families, Children &amp; the </w:t>
      </w:r>
      <w:r w:rsidRPr="001F5E22">
        <w:rPr>
          <w:u w:val="single"/>
        </w:rPr>
        <w:t>Courts (</w:t>
      </w:r>
      <w:r>
        <w:rPr>
          <w:u w:val="single"/>
        </w:rPr>
        <w:t>“</w:t>
      </w:r>
      <w:r w:rsidRPr="001F5E22">
        <w:rPr>
          <w:u w:val="single"/>
        </w:rPr>
        <w:t>CFCC</w:t>
      </w:r>
      <w:r>
        <w:rPr>
          <w:u w:val="single"/>
        </w:rPr>
        <w:t>”</w:t>
      </w:r>
      <w:r w:rsidRPr="001F5E22">
        <w:rPr>
          <w:u w:val="single"/>
        </w:rPr>
        <w:t>)</w:t>
      </w:r>
      <w:r>
        <w:t xml:space="preserve"> </w:t>
      </w:r>
      <w:r w:rsidRPr="00801DDC">
        <w:t>As one of the staff offices of the Judicial Council</w:t>
      </w:r>
      <w:r>
        <w:t>, t</w:t>
      </w:r>
      <w:r w:rsidRPr="008E2C9D">
        <w:t xml:space="preserve">he </w:t>
      </w:r>
      <w:r>
        <w:t>Center for Families, Children, and the Courts</w:t>
      </w:r>
      <w:r w:rsidRPr="007636A7">
        <w:t xml:space="preserve"> (“</w:t>
      </w:r>
      <w:r>
        <w:t>CFCC</w:t>
      </w:r>
      <w:r w:rsidRPr="007636A7">
        <w:t xml:space="preserve">”), housed in the </w:t>
      </w:r>
      <w:r>
        <w:t>Council’s</w:t>
      </w:r>
      <w:r w:rsidRPr="007636A7">
        <w:t xml:space="preserve"> Operations </w:t>
      </w:r>
      <w:r>
        <w:t xml:space="preserve">and </w:t>
      </w:r>
      <w:r w:rsidRPr="007636A7">
        <w:t xml:space="preserve">Services Division, </w:t>
      </w:r>
      <w:r w:rsidRPr="00801DDC">
        <w:t>provides services to support the council as it leads efforts to ensure the consistent, independent, impartial, and accessible administration</w:t>
      </w:r>
      <w:r>
        <w:t xml:space="preserve"> </w:t>
      </w:r>
      <w:r w:rsidRPr="00801DDC">
        <w:t>of</w:t>
      </w:r>
      <w:r>
        <w:t xml:space="preserve"> </w:t>
      </w:r>
      <w:r w:rsidRPr="00801DDC">
        <w:t>justice.</w:t>
      </w:r>
    </w:p>
    <w:p w14:paraId="1A0023E2" w14:textId="77777777" w:rsidR="00E6210D" w:rsidRDefault="00E6210D" w:rsidP="00E6210D">
      <w:pPr>
        <w:pStyle w:val="ListParagraph"/>
        <w:widowControl w:val="0"/>
        <w:ind w:left="1440" w:right="144" w:hanging="720"/>
        <w:jc w:val="both"/>
      </w:pPr>
    </w:p>
    <w:p w14:paraId="126D6042" w14:textId="77777777" w:rsidR="00E6210D" w:rsidRDefault="00E6210D" w:rsidP="00E6210D">
      <w:pPr>
        <w:pStyle w:val="ListParagraph"/>
        <w:widowControl w:val="0"/>
        <w:ind w:left="1440" w:right="144" w:hanging="720"/>
        <w:jc w:val="both"/>
      </w:pPr>
      <w:r>
        <w:tab/>
      </w:r>
      <w:r w:rsidRPr="00801DDC">
        <w:t xml:space="preserve">Founded in 2000, CFCC’s original mandate was to improve the quality of justice and services to children, youth, parents, families, victims of domestic violence, and self-represented litigants. Recognizing the reality that many potential court users face multiple challenges to access to justice, </w:t>
      </w:r>
      <w:r>
        <w:t>CFCC is</w:t>
      </w:r>
      <w:r w:rsidRPr="00801DDC">
        <w:t xml:space="preserve"> committed to developing systemic solutions by collaborating to draw from high impact solutions and innovations in all program areas.</w:t>
      </w:r>
      <w:r>
        <w:t xml:space="preserve"> CFCC provides a wide variety of resources to assist the trial courts to meet the needs of the over 4.3 million self-represented litigants in California’s court system including more than 125 document assembly programs.   </w:t>
      </w:r>
    </w:p>
    <w:p w14:paraId="09127E93" w14:textId="77777777" w:rsidR="00E6210D" w:rsidRDefault="00E6210D" w:rsidP="00E6210D">
      <w:pPr>
        <w:pStyle w:val="ListParagraph"/>
        <w:widowControl w:val="0"/>
        <w:ind w:left="1440" w:right="144" w:hanging="720"/>
        <w:jc w:val="both"/>
      </w:pPr>
    </w:p>
    <w:p w14:paraId="258E8287" w14:textId="4D38D779" w:rsidR="00E6210D" w:rsidRDefault="00E6210D" w:rsidP="00E6210D">
      <w:pPr>
        <w:widowControl w:val="0"/>
        <w:ind w:left="1350" w:right="144" w:hanging="630"/>
        <w:jc w:val="both"/>
      </w:pPr>
      <w:r>
        <w:t xml:space="preserve">1.3    </w:t>
      </w:r>
      <w:r w:rsidRPr="00DB3108">
        <w:rPr>
          <w:u w:val="single"/>
        </w:rPr>
        <w:t>Document Assembly Programs</w:t>
      </w:r>
      <w:r>
        <w:t xml:space="preserve">:  Document assembly programs are "expert systems" that </w:t>
      </w:r>
      <w:proofErr w:type="gramStart"/>
      <w:r>
        <w:t>provide assistance</w:t>
      </w:r>
      <w:proofErr w:type="gramEnd"/>
      <w:r>
        <w:t xml:space="preserve"> with the completion of legal documents without providing legal advice or representation. The central premise of a document assembly program is that it converts a complicated form or data set into a series of plain language questions organized into a user-friendly interview. The answers to the interview questions populate forms that are used in a variety of ways in the court, such as petitioning for a dissolution of marriage, requesting a civil protective order, and providing financial information for the purpose of exchange and disclosure in the context of pending litigation. California currently publishes over 1500 forms, many of which are mandatory, for participating in legal processes in the state courts.  Many court processes require multiple forms for a single filing.  The more than 125 HotDocs programs currently maintained by the Judicial Council offer court users the ability to complete documents in the areas of domestic violence, dissolution, parentage actions, other family law filings such as a Request for Order, answer to a governmental child support case, and various judgment programs, civil harassment and elder abuse restraining orders, name change, unlawful detainer, and guardianship and limited conservatorship petitions. </w:t>
      </w:r>
    </w:p>
    <w:p w14:paraId="720593D4" w14:textId="77777777" w:rsidR="003A0012" w:rsidRDefault="00EA2B9C" w:rsidP="00EA2B9C">
      <w:pPr>
        <w:widowControl w:val="0"/>
        <w:ind w:left="1350" w:right="144" w:hanging="630"/>
        <w:jc w:val="both"/>
      </w:pPr>
      <w:r>
        <w:lastRenderedPageBreak/>
        <w:t xml:space="preserve">1.4 The Request for Proposals (RFP): The Council seeks proposals from interested vendors (Proposers) that can provide </w:t>
      </w:r>
      <w:r w:rsidR="003A0012">
        <w:t xml:space="preserve">services to maintain and support its extensive body of HotDocs document assemble programs. </w:t>
      </w:r>
    </w:p>
    <w:p w14:paraId="34435BF6" w14:textId="77777777" w:rsidR="003A0012" w:rsidRDefault="003A0012" w:rsidP="00EA2B9C">
      <w:pPr>
        <w:widowControl w:val="0"/>
        <w:ind w:left="1350" w:right="144" w:hanging="630"/>
        <w:jc w:val="both"/>
      </w:pPr>
    </w:p>
    <w:p w14:paraId="6F0FBBFD" w14:textId="77777777" w:rsidR="003A0012" w:rsidRDefault="003A0012" w:rsidP="00EA2B9C">
      <w:pPr>
        <w:widowControl w:val="0"/>
        <w:ind w:left="1350" w:right="144" w:hanging="630"/>
        <w:jc w:val="both"/>
      </w:pPr>
      <w:r>
        <w:tab/>
        <w:t xml:space="preserve">The Goal of this RFP is to establish an agreement for an initial term of one year with three (3) option terms, estimated to begin June 1, 2024. </w:t>
      </w:r>
    </w:p>
    <w:p w14:paraId="708A75BC" w14:textId="77777777" w:rsidR="003A0012" w:rsidRDefault="003A0012" w:rsidP="00EA2B9C">
      <w:pPr>
        <w:widowControl w:val="0"/>
        <w:ind w:left="1350" w:right="144" w:hanging="630"/>
        <w:jc w:val="both"/>
      </w:pPr>
    </w:p>
    <w:p w14:paraId="2EB32194" w14:textId="3C36705C" w:rsidR="00EA2B9C" w:rsidRDefault="003A0012" w:rsidP="003A0012">
      <w:pPr>
        <w:widowControl w:val="0"/>
        <w:ind w:left="1350" w:right="144"/>
        <w:jc w:val="both"/>
      </w:pPr>
      <w:r>
        <w:t>June 1, 2024 – May 31, 2025 – “Initial Term”</w:t>
      </w:r>
    </w:p>
    <w:p w14:paraId="0778173A" w14:textId="6460EAD2" w:rsidR="003A0012" w:rsidRDefault="003A0012" w:rsidP="003A0012">
      <w:pPr>
        <w:widowControl w:val="0"/>
        <w:ind w:left="1350" w:right="144"/>
        <w:jc w:val="both"/>
      </w:pPr>
      <w:r>
        <w:t>June 1, 2025 – May 31, 2026 – “First Option Term”</w:t>
      </w:r>
    </w:p>
    <w:p w14:paraId="3A720C93" w14:textId="25F9DDE2" w:rsidR="003A0012" w:rsidRDefault="003A0012" w:rsidP="003A0012">
      <w:pPr>
        <w:widowControl w:val="0"/>
        <w:ind w:left="1350" w:right="144"/>
        <w:jc w:val="both"/>
      </w:pPr>
      <w:r>
        <w:t>June 1, 2026 – May 31, 2027 – “Second Option Term”</w:t>
      </w:r>
    </w:p>
    <w:p w14:paraId="3617A761" w14:textId="73AB5F1D" w:rsidR="00A1303E" w:rsidRPr="00A50B42" w:rsidRDefault="003A0012" w:rsidP="00B52F3F">
      <w:pPr>
        <w:widowControl w:val="0"/>
        <w:ind w:left="1350" w:right="144"/>
        <w:jc w:val="both"/>
        <w:rPr>
          <w:i/>
        </w:rPr>
      </w:pPr>
      <w:r>
        <w:t>June 1, 2027 – May 31, 2028 – “Third Option Term”</w:t>
      </w:r>
    </w:p>
    <w:p w14:paraId="696FB534" w14:textId="77777777" w:rsidR="0088206E" w:rsidRDefault="0088206E"/>
    <w:p w14:paraId="7D877FF3" w14:textId="4B35CE3C" w:rsidR="00C37FF7" w:rsidRDefault="00C37FF7" w:rsidP="00FC4A81">
      <w:pPr>
        <w:keepNext/>
        <w:ind w:left="720" w:hanging="720"/>
        <w:rPr>
          <w:b/>
          <w:bCs/>
        </w:rPr>
      </w:pPr>
      <w:r>
        <w:rPr>
          <w:b/>
          <w:bCs/>
        </w:rPr>
        <w:t>2.0</w:t>
      </w:r>
      <w:r>
        <w:rPr>
          <w:b/>
          <w:bCs/>
        </w:rPr>
        <w:tab/>
      </w:r>
      <w:r w:rsidR="00FC4A81">
        <w:rPr>
          <w:b/>
          <w:bCs/>
        </w:rPr>
        <w:t xml:space="preserve">DESCRIPTION OF </w:t>
      </w:r>
      <w:r w:rsidR="000518CD">
        <w:rPr>
          <w:b/>
          <w:bCs/>
        </w:rPr>
        <w:t xml:space="preserve">GOODS </w:t>
      </w:r>
      <w:r w:rsidR="00031D72">
        <w:rPr>
          <w:b/>
          <w:bCs/>
        </w:rPr>
        <w:t xml:space="preserve">AND </w:t>
      </w:r>
      <w:r w:rsidR="000518CD">
        <w:rPr>
          <w:b/>
          <w:bCs/>
        </w:rPr>
        <w:t>SER</w:t>
      </w:r>
      <w:r w:rsidR="009C38A6">
        <w:rPr>
          <w:b/>
          <w:bCs/>
        </w:rPr>
        <w:t xml:space="preserve">VICES </w:t>
      </w:r>
    </w:p>
    <w:p w14:paraId="52449B57" w14:textId="77777777" w:rsidR="00FC4A81" w:rsidRDefault="00FC4A81" w:rsidP="00FC4A81">
      <w:pPr>
        <w:keepNext/>
        <w:ind w:left="720" w:hanging="720"/>
      </w:pPr>
    </w:p>
    <w:p w14:paraId="6F30656B" w14:textId="77777777" w:rsidR="00230D5C" w:rsidRPr="00D91DB7" w:rsidRDefault="00230D5C" w:rsidP="00230D5C">
      <w:pPr>
        <w:ind w:left="720"/>
        <w:rPr>
          <w:b/>
          <w:i/>
          <w:color w:val="FF0000"/>
        </w:rPr>
      </w:pPr>
    </w:p>
    <w:p w14:paraId="31D1C634" w14:textId="791F96FD" w:rsidR="009D5FF0" w:rsidRDefault="00230D5C" w:rsidP="00C37FF7">
      <w:pPr>
        <w:pStyle w:val="BodyTextIndent2"/>
        <w:spacing w:after="0" w:line="240" w:lineRule="auto"/>
        <w:ind w:left="720"/>
      </w:pPr>
      <w:r>
        <w:t>2.</w:t>
      </w:r>
      <w:r w:rsidR="00F63784">
        <w:t>1</w:t>
      </w:r>
      <w:r>
        <w:tab/>
      </w:r>
      <w:r w:rsidR="00C37FF7">
        <w:t xml:space="preserve">The </w:t>
      </w:r>
      <w:r w:rsidR="00436C0F">
        <w:t>JBE</w:t>
      </w:r>
      <w:r w:rsidR="00C37FF7">
        <w:t xml:space="preserve"> seeks the services of a </w:t>
      </w:r>
      <w:r w:rsidR="009C38A6">
        <w:t>person or entity</w:t>
      </w:r>
      <w:r w:rsidR="00C37FF7">
        <w:t xml:space="preserve"> with expertise in </w:t>
      </w:r>
      <w:r w:rsidR="00CF1997">
        <w:t xml:space="preserve">document assembly </w:t>
      </w:r>
      <w:r w:rsidR="00E40E52">
        <w:t xml:space="preserve">to provide the </w:t>
      </w:r>
      <w:r w:rsidR="009D5FF0">
        <w:t xml:space="preserve">following services to maintain and support its extensive body of HotDocs document assembly programs:  </w:t>
      </w:r>
    </w:p>
    <w:p w14:paraId="1AA207CC" w14:textId="77777777" w:rsidR="009D5FF0" w:rsidRDefault="009D5FF0" w:rsidP="00C37FF7">
      <w:pPr>
        <w:pStyle w:val="BodyTextIndent2"/>
        <w:spacing w:after="0" w:line="240" w:lineRule="auto"/>
        <w:ind w:left="720"/>
        <w:rPr>
          <w:i/>
          <w:color w:val="FF0000"/>
        </w:rPr>
      </w:pPr>
    </w:p>
    <w:p w14:paraId="3BDC6CA9" w14:textId="22092386" w:rsidR="00530DDB" w:rsidRDefault="00530DDB" w:rsidP="00530DDB">
      <w:pPr>
        <w:pStyle w:val="ListParagraph"/>
        <w:widowControl w:val="0"/>
        <w:numPr>
          <w:ilvl w:val="0"/>
          <w:numId w:val="13"/>
        </w:numPr>
        <w:ind w:right="144"/>
        <w:jc w:val="both"/>
        <w:rPr>
          <w:rFonts w:asciiTheme="minorHAnsi" w:hAnsiTheme="minorHAnsi" w:cstheme="minorHAnsi"/>
        </w:rPr>
      </w:pPr>
      <w:r>
        <w:rPr>
          <w:rFonts w:asciiTheme="minorHAnsi" w:hAnsiTheme="minorHAnsi" w:cstheme="minorHAnsi"/>
        </w:rPr>
        <w:t xml:space="preserve">Provide a stable, user-friendly online platform to host between </w:t>
      </w:r>
      <w:r w:rsidR="006F2691">
        <w:rPr>
          <w:rFonts w:asciiTheme="minorHAnsi" w:hAnsiTheme="minorHAnsi" w:cstheme="minorHAnsi"/>
        </w:rPr>
        <w:t>100-150</w:t>
      </w:r>
      <w:r>
        <w:rPr>
          <w:rFonts w:asciiTheme="minorHAnsi" w:hAnsiTheme="minorHAnsi" w:cstheme="minorHAnsi"/>
        </w:rPr>
        <w:t xml:space="preserve"> live </w:t>
      </w:r>
      <w:proofErr w:type="spellStart"/>
      <w:r>
        <w:rPr>
          <w:rFonts w:asciiTheme="minorHAnsi" w:hAnsiTheme="minorHAnsi" w:cstheme="minorHAnsi"/>
        </w:rPr>
        <w:t>HotDocs</w:t>
      </w:r>
      <w:proofErr w:type="spellEnd"/>
      <w:r>
        <w:rPr>
          <w:rFonts w:asciiTheme="minorHAnsi" w:hAnsiTheme="minorHAnsi" w:cstheme="minorHAnsi"/>
        </w:rPr>
        <w:t xml:space="preserve"> programs (“templates”), and approximately 50 test programs. Program i</w:t>
      </w:r>
      <w:r w:rsidRPr="00DB3108">
        <w:rPr>
          <w:rFonts w:asciiTheme="minorHAnsi" w:hAnsiTheme="minorHAnsi" w:cstheme="minorHAnsi"/>
        </w:rPr>
        <w:t>nterviews consist of between 50 and 2,000 questions</w:t>
      </w:r>
      <w:r>
        <w:rPr>
          <w:rFonts w:asciiTheme="minorHAnsi" w:hAnsiTheme="minorHAnsi" w:cstheme="minorHAnsi"/>
        </w:rPr>
        <w:t xml:space="preserve"> and populate from 5 to 35 forms per program</w:t>
      </w:r>
      <w:r w:rsidRPr="00DB3108">
        <w:rPr>
          <w:rFonts w:asciiTheme="minorHAnsi" w:hAnsiTheme="minorHAnsi" w:cstheme="minorHAnsi"/>
        </w:rPr>
        <w:t>.</w:t>
      </w:r>
    </w:p>
    <w:p w14:paraId="12417394" w14:textId="77777777" w:rsidR="00530DDB" w:rsidRDefault="00530DDB" w:rsidP="00530DDB">
      <w:pPr>
        <w:pStyle w:val="ListParagraph"/>
        <w:widowControl w:val="0"/>
        <w:ind w:left="1800" w:right="144"/>
        <w:jc w:val="both"/>
        <w:rPr>
          <w:rFonts w:asciiTheme="minorHAnsi" w:hAnsiTheme="minorHAnsi" w:cstheme="minorHAnsi"/>
        </w:rPr>
      </w:pPr>
    </w:p>
    <w:p w14:paraId="73FBA29E" w14:textId="77777777" w:rsidR="00530DDB" w:rsidRPr="00A73DE6" w:rsidRDefault="00530DDB" w:rsidP="00530DDB">
      <w:pPr>
        <w:pStyle w:val="ListParagraph"/>
        <w:widowControl w:val="0"/>
        <w:numPr>
          <w:ilvl w:val="0"/>
          <w:numId w:val="13"/>
        </w:numPr>
        <w:ind w:right="144"/>
        <w:jc w:val="both"/>
        <w:rPr>
          <w:rFonts w:asciiTheme="minorHAnsi" w:hAnsiTheme="minorHAnsi" w:cstheme="minorHAnsi"/>
        </w:rPr>
      </w:pPr>
      <w:r>
        <w:rPr>
          <w:rFonts w:asciiTheme="minorHAnsi" w:hAnsiTheme="minorHAnsi" w:cstheme="minorHAnsi"/>
        </w:rPr>
        <w:t>Support approximately</w:t>
      </w:r>
      <w:r w:rsidRPr="00DB3108">
        <w:rPr>
          <w:rFonts w:asciiTheme="minorHAnsi" w:hAnsiTheme="minorHAnsi" w:cstheme="minorHAnsi"/>
        </w:rPr>
        <w:t xml:space="preserve"> </w:t>
      </w:r>
      <w:r>
        <w:rPr>
          <w:rFonts w:asciiTheme="minorHAnsi" w:hAnsiTheme="minorHAnsi" w:cstheme="minorHAnsi"/>
        </w:rPr>
        <w:t>300,000</w:t>
      </w:r>
      <w:r w:rsidRPr="00DB3108">
        <w:rPr>
          <w:rFonts w:asciiTheme="minorHAnsi" w:hAnsiTheme="minorHAnsi" w:cstheme="minorHAnsi"/>
        </w:rPr>
        <w:t xml:space="preserve"> </w:t>
      </w:r>
      <w:r>
        <w:rPr>
          <w:rFonts w:asciiTheme="minorHAnsi" w:hAnsiTheme="minorHAnsi" w:cstheme="minorHAnsi"/>
        </w:rPr>
        <w:t>assemblies per year statewide</w:t>
      </w:r>
      <w:r w:rsidRPr="00DB3108">
        <w:rPr>
          <w:rFonts w:asciiTheme="minorHAnsi" w:hAnsiTheme="minorHAnsi" w:cstheme="minorHAnsi"/>
        </w:rPr>
        <w:t xml:space="preserve"> using HotDocs Server®</w:t>
      </w:r>
      <w:r>
        <w:rPr>
          <w:rFonts w:asciiTheme="minorHAnsi" w:hAnsiTheme="minorHAnsi" w:cstheme="minorHAnsi"/>
        </w:rPr>
        <w:t>.</w:t>
      </w:r>
      <w:r w:rsidRPr="00DB3108">
        <w:rPr>
          <w:rFonts w:asciiTheme="minorHAnsi" w:hAnsiTheme="minorHAnsi" w:cstheme="minorHAnsi"/>
        </w:rPr>
        <w:t xml:space="preserve"> </w:t>
      </w:r>
      <w:r>
        <w:rPr>
          <w:rFonts w:asciiTheme="minorHAnsi" w:hAnsiTheme="minorHAnsi" w:cstheme="minorHAnsi"/>
        </w:rPr>
        <w:t>Assembled form sets typically contain</w:t>
      </w:r>
      <w:r w:rsidRPr="00DB3108">
        <w:rPr>
          <w:rFonts w:asciiTheme="minorHAnsi" w:hAnsiTheme="minorHAnsi" w:cstheme="minorHAnsi"/>
        </w:rPr>
        <w:t xml:space="preserve"> between 4 and</w:t>
      </w:r>
      <w:r>
        <w:rPr>
          <w:rFonts w:asciiTheme="minorHAnsi" w:hAnsiTheme="minorHAnsi" w:cstheme="minorHAnsi"/>
        </w:rPr>
        <w:t xml:space="preserve"> 75</w:t>
      </w:r>
      <w:r w:rsidRPr="00DB3108">
        <w:rPr>
          <w:rFonts w:asciiTheme="minorHAnsi" w:hAnsiTheme="minorHAnsi" w:cstheme="minorHAnsi"/>
        </w:rPr>
        <w:t xml:space="preserve"> sheets of </w:t>
      </w:r>
      <w:proofErr w:type="gramStart"/>
      <w:r w:rsidRPr="00DB3108">
        <w:rPr>
          <w:rFonts w:asciiTheme="minorHAnsi" w:hAnsiTheme="minorHAnsi" w:cstheme="minorHAnsi"/>
        </w:rPr>
        <w:t>paper;</w:t>
      </w:r>
      <w:proofErr w:type="gramEnd"/>
      <w:r w:rsidRPr="00DB3108">
        <w:rPr>
          <w:rFonts w:asciiTheme="minorHAnsi" w:hAnsiTheme="minorHAnsi" w:cstheme="minorHAnsi"/>
        </w:rPr>
        <w:t xml:space="preserve"> </w:t>
      </w:r>
    </w:p>
    <w:p w14:paraId="179A8DE6" w14:textId="77777777" w:rsidR="00530DDB" w:rsidRPr="00085E18" w:rsidRDefault="00530DDB" w:rsidP="00530DDB">
      <w:pPr>
        <w:pStyle w:val="ListParagraph"/>
        <w:rPr>
          <w:rFonts w:asciiTheme="minorHAnsi" w:hAnsiTheme="minorHAnsi" w:cstheme="minorHAnsi"/>
        </w:rPr>
      </w:pPr>
    </w:p>
    <w:p w14:paraId="1F4265D5" w14:textId="77777777" w:rsidR="00530DDB" w:rsidRDefault="00530DDB" w:rsidP="00530DDB">
      <w:pPr>
        <w:pStyle w:val="ListParagraph"/>
        <w:widowControl w:val="0"/>
        <w:numPr>
          <w:ilvl w:val="0"/>
          <w:numId w:val="13"/>
        </w:numPr>
        <w:ind w:right="144"/>
        <w:jc w:val="both"/>
        <w:rPr>
          <w:rFonts w:asciiTheme="minorHAnsi" w:hAnsiTheme="minorHAnsi" w:cstheme="minorHAnsi"/>
        </w:rPr>
      </w:pPr>
      <w:r>
        <w:rPr>
          <w:rFonts w:asciiTheme="minorHAnsi" w:hAnsiTheme="minorHAnsi" w:cstheme="minorHAnsi"/>
        </w:rPr>
        <w:t>Be compliant with all security provisions described in Attachment 2 – Judicial Council Standard Terms and Conditions including Data Security provisions described in Appendix F of that document.</w:t>
      </w:r>
    </w:p>
    <w:p w14:paraId="51495579" w14:textId="77777777" w:rsidR="00530DDB" w:rsidRDefault="00530DDB" w:rsidP="00530DDB">
      <w:pPr>
        <w:pStyle w:val="ListParagraph"/>
        <w:widowControl w:val="0"/>
        <w:ind w:left="1800" w:right="144"/>
        <w:jc w:val="both"/>
        <w:rPr>
          <w:rFonts w:asciiTheme="minorHAnsi" w:hAnsiTheme="minorHAnsi" w:cstheme="minorHAnsi"/>
        </w:rPr>
      </w:pPr>
    </w:p>
    <w:p w14:paraId="0560EC89" w14:textId="77777777" w:rsidR="00530DDB" w:rsidRPr="00DB3108" w:rsidRDefault="00530DDB" w:rsidP="00530DDB">
      <w:pPr>
        <w:pStyle w:val="ListParagraph"/>
        <w:widowControl w:val="0"/>
        <w:numPr>
          <w:ilvl w:val="0"/>
          <w:numId w:val="13"/>
        </w:numPr>
        <w:ind w:right="144"/>
        <w:jc w:val="both"/>
        <w:rPr>
          <w:rFonts w:asciiTheme="minorHAnsi" w:hAnsiTheme="minorHAnsi" w:cstheme="minorHAnsi"/>
        </w:rPr>
      </w:pPr>
      <w:r>
        <w:rPr>
          <w:rFonts w:asciiTheme="minorHAnsi" w:hAnsiTheme="minorHAnsi" w:cstheme="minorHAnsi"/>
        </w:rPr>
        <w:t xml:space="preserve">Provide developer program management screens that allow users to view all programs, including key metadata, such as creation date and last modification date.  Enable users to access the programs from the program management screen, as well as delete programs. </w:t>
      </w:r>
    </w:p>
    <w:p w14:paraId="725EF49F" w14:textId="77777777" w:rsidR="00530DDB" w:rsidRPr="00DB3108" w:rsidRDefault="00530DDB" w:rsidP="00530DDB">
      <w:pPr>
        <w:pStyle w:val="ListParagraph"/>
        <w:widowControl w:val="0"/>
        <w:ind w:left="1800" w:right="144"/>
        <w:jc w:val="both"/>
        <w:rPr>
          <w:rFonts w:asciiTheme="minorHAnsi" w:hAnsiTheme="minorHAnsi" w:cstheme="minorHAnsi"/>
        </w:rPr>
      </w:pPr>
    </w:p>
    <w:p w14:paraId="3FDB6216" w14:textId="77777777" w:rsidR="00530DDB" w:rsidRDefault="00530DDB" w:rsidP="00530DDB">
      <w:pPr>
        <w:pStyle w:val="ListParagraph"/>
        <w:widowControl w:val="0"/>
        <w:numPr>
          <w:ilvl w:val="0"/>
          <w:numId w:val="13"/>
        </w:numPr>
        <w:ind w:right="144"/>
        <w:jc w:val="both"/>
        <w:rPr>
          <w:rFonts w:asciiTheme="minorHAnsi" w:hAnsiTheme="minorHAnsi" w:cstheme="minorHAnsi"/>
        </w:rPr>
      </w:pPr>
      <w:r w:rsidRPr="00DB3108">
        <w:rPr>
          <w:rFonts w:asciiTheme="minorHAnsi" w:hAnsiTheme="minorHAnsi" w:cstheme="minorHAnsi"/>
        </w:rPr>
        <w:t>Provide support for user management</w:t>
      </w:r>
      <w:r>
        <w:rPr>
          <w:rFonts w:asciiTheme="minorHAnsi" w:hAnsiTheme="minorHAnsi" w:cstheme="minorHAnsi"/>
        </w:rPr>
        <w:t xml:space="preserve"> including middleware that allows HotDocs programs to be hosted on the HotDocs server. </w:t>
      </w:r>
    </w:p>
    <w:p w14:paraId="5E4EB63D" w14:textId="77777777" w:rsidR="00530DDB" w:rsidRPr="00DB3108" w:rsidRDefault="00530DDB" w:rsidP="00530DDB">
      <w:pPr>
        <w:pStyle w:val="ListParagraph"/>
        <w:widowControl w:val="0"/>
        <w:ind w:left="1800" w:right="144"/>
        <w:jc w:val="both"/>
        <w:rPr>
          <w:rFonts w:asciiTheme="minorHAnsi" w:hAnsiTheme="minorHAnsi" w:cstheme="minorHAnsi"/>
        </w:rPr>
      </w:pPr>
    </w:p>
    <w:p w14:paraId="0CB2309C" w14:textId="77777777" w:rsidR="00530DDB" w:rsidRPr="00DB3108" w:rsidRDefault="00530DDB" w:rsidP="00530DDB">
      <w:pPr>
        <w:pStyle w:val="ListParagraph"/>
        <w:widowControl w:val="0"/>
        <w:numPr>
          <w:ilvl w:val="0"/>
          <w:numId w:val="13"/>
        </w:numPr>
        <w:ind w:right="144"/>
        <w:jc w:val="both"/>
        <w:rPr>
          <w:rFonts w:asciiTheme="minorHAnsi" w:hAnsiTheme="minorHAnsi" w:cstheme="minorHAnsi"/>
        </w:rPr>
      </w:pPr>
      <w:r w:rsidRPr="00DB3108">
        <w:rPr>
          <w:rFonts w:asciiTheme="minorHAnsi" w:hAnsiTheme="minorHAnsi" w:cstheme="minorHAnsi"/>
        </w:rPr>
        <w:t xml:space="preserve">Provide 36 hours of phone and email support to </w:t>
      </w:r>
      <w:r>
        <w:rPr>
          <w:rFonts w:asciiTheme="minorHAnsi" w:hAnsiTheme="minorHAnsi" w:cstheme="minorHAnsi"/>
        </w:rPr>
        <w:t xml:space="preserve">Judicial Council </w:t>
      </w:r>
      <w:r w:rsidRPr="00DB3108">
        <w:rPr>
          <w:rFonts w:asciiTheme="minorHAnsi" w:hAnsiTheme="minorHAnsi" w:cstheme="minorHAnsi"/>
        </w:rPr>
        <w:t>program developers annually</w:t>
      </w:r>
      <w:r>
        <w:rPr>
          <w:rFonts w:asciiTheme="minorHAnsi" w:hAnsiTheme="minorHAnsi" w:cstheme="minorHAnsi"/>
        </w:rPr>
        <w:t>.</w:t>
      </w:r>
    </w:p>
    <w:p w14:paraId="2AFF7A1C" w14:textId="77777777" w:rsidR="00530DDB" w:rsidRPr="00DB3108" w:rsidRDefault="00530DDB" w:rsidP="00530DDB">
      <w:pPr>
        <w:pStyle w:val="ListParagraph"/>
        <w:widowControl w:val="0"/>
        <w:ind w:left="1800" w:right="144"/>
        <w:jc w:val="both"/>
        <w:rPr>
          <w:rFonts w:asciiTheme="minorHAnsi" w:hAnsiTheme="minorHAnsi" w:cstheme="minorHAnsi"/>
        </w:rPr>
      </w:pPr>
    </w:p>
    <w:p w14:paraId="25FC48CF" w14:textId="77777777" w:rsidR="00530DDB" w:rsidRDefault="00530DDB" w:rsidP="00530DDB">
      <w:pPr>
        <w:pStyle w:val="ListParagraph"/>
        <w:widowControl w:val="0"/>
        <w:numPr>
          <w:ilvl w:val="0"/>
          <w:numId w:val="13"/>
        </w:numPr>
        <w:ind w:right="144"/>
        <w:jc w:val="both"/>
        <w:rPr>
          <w:rFonts w:asciiTheme="minorHAnsi" w:hAnsiTheme="minorHAnsi" w:cstheme="minorHAnsi"/>
        </w:rPr>
      </w:pPr>
      <w:r w:rsidRPr="00DB3108">
        <w:rPr>
          <w:rFonts w:asciiTheme="minorHAnsi" w:hAnsiTheme="minorHAnsi" w:cstheme="minorHAnsi"/>
        </w:rPr>
        <w:t>Maintain the library of Hot</w:t>
      </w:r>
      <w:r>
        <w:rPr>
          <w:rFonts w:asciiTheme="minorHAnsi" w:hAnsiTheme="minorHAnsi" w:cstheme="minorHAnsi"/>
        </w:rPr>
        <w:t>D</w:t>
      </w:r>
      <w:r w:rsidRPr="00DB3108">
        <w:rPr>
          <w:rFonts w:asciiTheme="minorHAnsi" w:hAnsiTheme="minorHAnsi" w:cstheme="minorHAnsi"/>
        </w:rPr>
        <w:t xml:space="preserve">ocs </w:t>
      </w:r>
      <w:r>
        <w:rPr>
          <w:rFonts w:asciiTheme="minorHAnsi" w:hAnsiTheme="minorHAnsi" w:cstheme="minorHAnsi"/>
        </w:rPr>
        <w:t>t</w:t>
      </w:r>
      <w:r w:rsidRPr="00DB3108">
        <w:rPr>
          <w:rFonts w:asciiTheme="minorHAnsi" w:hAnsiTheme="minorHAnsi" w:cstheme="minorHAnsi"/>
        </w:rPr>
        <w:t xml:space="preserve">emplates; ensure that it </w:t>
      </w:r>
      <w:r>
        <w:rPr>
          <w:rFonts w:asciiTheme="minorHAnsi" w:hAnsiTheme="minorHAnsi" w:cstheme="minorHAnsi"/>
        </w:rPr>
        <w:t>remains compatible</w:t>
      </w:r>
      <w:r w:rsidRPr="00DB3108">
        <w:rPr>
          <w:rFonts w:asciiTheme="minorHAnsi" w:hAnsiTheme="minorHAnsi" w:cstheme="minorHAnsi"/>
        </w:rPr>
        <w:t xml:space="preserve"> as Hot</w:t>
      </w:r>
      <w:r>
        <w:rPr>
          <w:rFonts w:asciiTheme="minorHAnsi" w:hAnsiTheme="minorHAnsi" w:cstheme="minorHAnsi"/>
        </w:rPr>
        <w:t>D</w:t>
      </w:r>
      <w:r w:rsidRPr="00DB3108">
        <w:rPr>
          <w:rFonts w:asciiTheme="minorHAnsi" w:hAnsiTheme="minorHAnsi" w:cstheme="minorHAnsi"/>
        </w:rPr>
        <w:t>ocs software is updated.</w:t>
      </w:r>
    </w:p>
    <w:p w14:paraId="5A81EF5C" w14:textId="77777777" w:rsidR="00530DDB" w:rsidRPr="00DB3108" w:rsidRDefault="00530DDB" w:rsidP="00530DDB">
      <w:pPr>
        <w:widowControl w:val="0"/>
        <w:ind w:left="1440" w:right="144"/>
        <w:jc w:val="both"/>
        <w:rPr>
          <w:rFonts w:asciiTheme="minorHAnsi" w:hAnsiTheme="minorHAnsi" w:cstheme="minorHAnsi"/>
        </w:rPr>
      </w:pPr>
    </w:p>
    <w:p w14:paraId="45C8852C" w14:textId="77777777" w:rsidR="00530DDB" w:rsidRPr="00FF1257" w:rsidRDefault="00530DDB" w:rsidP="00530DDB">
      <w:pPr>
        <w:pStyle w:val="ListParagraph"/>
        <w:widowControl w:val="0"/>
        <w:numPr>
          <w:ilvl w:val="0"/>
          <w:numId w:val="13"/>
        </w:numPr>
        <w:ind w:right="144"/>
        <w:jc w:val="both"/>
        <w:rPr>
          <w:rFonts w:asciiTheme="minorHAnsi" w:hAnsiTheme="minorHAnsi" w:cstheme="minorHAnsi"/>
        </w:rPr>
      </w:pPr>
      <w:bookmarkStart w:id="0" w:name="_Hlk162516865"/>
      <w:r>
        <w:rPr>
          <w:rFonts w:asciiTheme="minorHAnsi" w:hAnsiTheme="minorHAnsi" w:cstheme="minorHAnsi"/>
        </w:rPr>
        <w:lastRenderedPageBreak/>
        <w:t>Allows members of the public to complete a HotDocs program and print documents while remaining anonymous and not registering with the platform.</w:t>
      </w:r>
    </w:p>
    <w:bookmarkEnd w:id="0"/>
    <w:p w14:paraId="38A9C047" w14:textId="77777777" w:rsidR="00530DDB" w:rsidRPr="00FF1257" w:rsidRDefault="00530DDB" w:rsidP="00530DDB">
      <w:pPr>
        <w:widowControl w:val="0"/>
        <w:ind w:left="1440" w:right="144"/>
        <w:jc w:val="both"/>
        <w:rPr>
          <w:rFonts w:asciiTheme="minorHAnsi" w:hAnsiTheme="minorHAnsi" w:cstheme="minorHAnsi"/>
        </w:rPr>
      </w:pPr>
    </w:p>
    <w:p w14:paraId="63422EB8" w14:textId="77777777" w:rsidR="00530DDB" w:rsidRDefault="00530DDB" w:rsidP="00530DDB">
      <w:pPr>
        <w:pStyle w:val="ListParagraph"/>
        <w:widowControl w:val="0"/>
        <w:numPr>
          <w:ilvl w:val="0"/>
          <w:numId w:val="13"/>
        </w:numPr>
        <w:ind w:right="144"/>
        <w:jc w:val="both"/>
        <w:rPr>
          <w:rFonts w:asciiTheme="minorHAnsi" w:hAnsiTheme="minorHAnsi" w:cstheme="minorHAnsi"/>
        </w:rPr>
      </w:pPr>
      <w:r>
        <w:rPr>
          <w:rFonts w:asciiTheme="minorHAnsi" w:hAnsiTheme="minorHAnsi" w:cstheme="minorHAnsi"/>
        </w:rPr>
        <w:t>Support registered users with secure login and password assistance.  Enable users to register at the beginning or end of the session.</w:t>
      </w:r>
    </w:p>
    <w:p w14:paraId="7D073B41" w14:textId="77777777" w:rsidR="00530DDB" w:rsidRPr="00FF1257" w:rsidRDefault="00530DDB" w:rsidP="00530DDB">
      <w:pPr>
        <w:widowControl w:val="0"/>
        <w:ind w:left="1440" w:right="144"/>
        <w:jc w:val="both"/>
        <w:rPr>
          <w:rFonts w:asciiTheme="minorHAnsi" w:hAnsiTheme="minorHAnsi" w:cstheme="minorHAnsi"/>
        </w:rPr>
      </w:pPr>
    </w:p>
    <w:p w14:paraId="19793AD4" w14:textId="77777777" w:rsidR="00530DDB" w:rsidRPr="00FF1257" w:rsidRDefault="00530DDB" w:rsidP="00530DDB">
      <w:pPr>
        <w:pStyle w:val="ListParagraph"/>
        <w:widowControl w:val="0"/>
        <w:numPr>
          <w:ilvl w:val="0"/>
          <w:numId w:val="13"/>
        </w:numPr>
        <w:ind w:right="144"/>
        <w:jc w:val="both"/>
        <w:rPr>
          <w:rFonts w:asciiTheme="minorHAnsi" w:hAnsiTheme="minorHAnsi" w:cstheme="minorHAnsi"/>
        </w:rPr>
      </w:pPr>
      <w:bookmarkStart w:id="1" w:name="_Hlk37752428"/>
      <w:r w:rsidRPr="00FF1257">
        <w:rPr>
          <w:rFonts w:asciiTheme="minorHAnsi" w:hAnsiTheme="minorHAnsi" w:cstheme="minorHAnsi"/>
        </w:rPr>
        <w:t xml:space="preserve">Maintain answers generated by </w:t>
      </w:r>
      <w:r>
        <w:rPr>
          <w:rFonts w:asciiTheme="minorHAnsi" w:hAnsiTheme="minorHAnsi" w:cstheme="minorHAnsi"/>
        </w:rPr>
        <w:t xml:space="preserve">HotDocs automated </w:t>
      </w:r>
      <w:r w:rsidRPr="00FF1257">
        <w:rPr>
          <w:rFonts w:asciiTheme="minorHAnsi" w:hAnsiTheme="minorHAnsi" w:cstheme="minorHAnsi"/>
        </w:rPr>
        <w:t>interviews in a confidential</w:t>
      </w:r>
      <w:r>
        <w:rPr>
          <w:rFonts w:asciiTheme="minorHAnsi" w:hAnsiTheme="minorHAnsi" w:cstheme="minorHAnsi"/>
        </w:rPr>
        <w:t xml:space="preserve"> encrypted</w:t>
      </w:r>
      <w:r w:rsidRPr="00FF1257">
        <w:rPr>
          <w:rFonts w:asciiTheme="minorHAnsi" w:hAnsiTheme="minorHAnsi" w:cstheme="minorHAnsi"/>
        </w:rPr>
        <w:t xml:space="preserve"> cloud-based sit</w:t>
      </w:r>
      <w:r>
        <w:rPr>
          <w:rFonts w:asciiTheme="minorHAnsi" w:hAnsiTheme="minorHAnsi" w:cstheme="minorHAnsi"/>
        </w:rPr>
        <w:t>e by the following guidelines: information is purged immediately for anonymous users, by 6 months from the last usage of that automated interview for members of the public with registered accounts, and by 12 months from the last usage of that automated interview for court staff and legal services staff registered users.</w:t>
      </w:r>
    </w:p>
    <w:bookmarkEnd w:id="1"/>
    <w:p w14:paraId="5AD2A790" w14:textId="77777777" w:rsidR="00530DDB" w:rsidRPr="00DB3108" w:rsidRDefault="00530DDB" w:rsidP="00530DDB">
      <w:pPr>
        <w:pStyle w:val="ListParagraph"/>
        <w:rPr>
          <w:rFonts w:asciiTheme="minorHAnsi" w:hAnsiTheme="minorHAnsi" w:cstheme="minorHAnsi"/>
        </w:rPr>
      </w:pPr>
    </w:p>
    <w:p w14:paraId="5E732344" w14:textId="7EB35A41" w:rsidR="00530DDB" w:rsidRDefault="00530DDB" w:rsidP="00530DDB">
      <w:pPr>
        <w:pStyle w:val="ListParagraph"/>
        <w:widowControl w:val="0"/>
        <w:numPr>
          <w:ilvl w:val="0"/>
          <w:numId w:val="13"/>
        </w:numPr>
        <w:ind w:right="144"/>
        <w:jc w:val="both"/>
        <w:rPr>
          <w:rFonts w:asciiTheme="minorHAnsi" w:hAnsiTheme="minorHAnsi" w:cstheme="minorHAnsi"/>
        </w:rPr>
      </w:pPr>
      <w:r w:rsidRPr="004506A0">
        <w:rPr>
          <w:rFonts w:asciiTheme="minorHAnsi" w:hAnsiTheme="minorHAnsi" w:cstheme="minorHAnsi"/>
        </w:rPr>
        <w:t>Provide capability for e-filing the documents</w:t>
      </w:r>
      <w:r>
        <w:rPr>
          <w:rFonts w:asciiTheme="minorHAnsi" w:hAnsiTheme="minorHAnsi" w:cstheme="minorHAnsi"/>
        </w:rPr>
        <w:t>,</w:t>
      </w:r>
      <w:r w:rsidRPr="004506A0">
        <w:rPr>
          <w:rFonts w:asciiTheme="minorHAnsi" w:hAnsiTheme="minorHAnsi" w:cstheme="minorHAnsi"/>
        </w:rPr>
        <w:t xml:space="preserve"> </w:t>
      </w:r>
      <w:r>
        <w:rPr>
          <w:rFonts w:asciiTheme="minorHAnsi" w:hAnsiTheme="minorHAnsi" w:cstheme="minorHAnsi"/>
        </w:rPr>
        <w:t xml:space="preserve">and XML data </w:t>
      </w:r>
      <w:r w:rsidRPr="004506A0">
        <w:rPr>
          <w:rFonts w:asciiTheme="minorHAnsi" w:hAnsiTheme="minorHAnsi" w:cstheme="minorHAnsi"/>
        </w:rPr>
        <w:t>created by Hot</w:t>
      </w:r>
      <w:r>
        <w:rPr>
          <w:rFonts w:asciiTheme="minorHAnsi" w:hAnsiTheme="minorHAnsi" w:cstheme="minorHAnsi"/>
        </w:rPr>
        <w:t>D</w:t>
      </w:r>
      <w:r w:rsidRPr="004506A0">
        <w:rPr>
          <w:rFonts w:asciiTheme="minorHAnsi" w:hAnsiTheme="minorHAnsi" w:cstheme="minorHAnsi"/>
        </w:rPr>
        <w:t>ocs</w:t>
      </w:r>
      <w:r>
        <w:rPr>
          <w:rFonts w:asciiTheme="minorHAnsi" w:hAnsiTheme="minorHAnsi" w:cstheme="minorHAnsi"/>
        </w:rPr>
        <w:t xml:space="preserve"> and/or entered directly into the system via the e-filing workflow</w:t>
      </w:r>
      <w:r w:rsidRPr="004506A0">
        <w:rPr>
          <w:rFonts w:asciiTheme="minorHAnsi" w:hAnsiTheme="minorHAnsi" w:cstheme="minorHAnsi"/>
        </w:rPr>
        <w:t>.</w:t>
      </w:r>
      <w:r>
        <w:rPr>
          <w:rFonts w:asciiTheme="minorHAnsi" w:hAnsiTheme="minorHAnsi" w:cstheme="minorHAnsi"/>
        </w:rPr>
        <w:t xml:space="preserve">  Provide credit card payment processing. </w:t>
      </w:r>
    </w:p>
    <w:p w14:paraId="021CCD63" w14:textId="77777777" w:rsidR="00530DDB" w:rsidRPr="004506A0" w:rsidRDefault="00530DDB" w:rsidP="00530DDB">
      <w:pPr>
        <w:widowControl w:val="0"/>
        <w:ind w:left="1440" w:right="144"/>
        <w:jc w:val="both"/>
        <w:rPr>
          <w:rFonts w:asciiTheme="minorHAnsi" w:hAnsiTheme="minorHAnsi" w:cstheme="minorHAnsi"/>
        </w:rPr>
      </w:pPr>
    </w:p>
    <w:p w14:paraId="25FFEEBD" w14:textId="67F06D3B" w:rsidR="00530DDB" w:rsidRDefault="00530DDB" w:rsidP="00530DDB">
      <w:pPr>
        <w:pStyle w:val="ListParagraph"/>
        <w:widowControl w:val="0"/>
        <w:numPr>
          <w:ilvl w:val="0"/>
          <w:numId w:val="13"/>
        </w:numPr>
        <w:ind w:right="144"/>
        <w:jc w:val="both"/>
        <w:rPr>
          <w:rFonts w:asciiTheme="minorHAnsi" w:hAnsiTheme="minorHAnsi" w:cstheme="minorHAnsi"/>
        </w:rPr>
      </w:pPr>
      <w:r w:rsidRPr="004506A0">
        <w:rPr>
          <w:rFonts w:asciiTheme="minorHAnsi" w:hAnsiTheme="minorHAnsi" w:cstheme="minorHAnsi"/>
        </w:rPr>
        <w:t>Provide</w:t>
      </w:r>
      <w:r>
        <w:rPr>
          <w:rFonts w:asciiTheme="minorHAnsi" w:hAnsiTheme="minorHAnsi" w:cstheme="minorHAnsi"/>
        </w:rPr>
        <w:t xml:space="preserve"> prompt</w:t>
      </w:r>
      <w:r w:rsidRPr="004506A0">
        <w:rPr>
          <w:rFonts w:asciiTheme="minorHAnsi" w:hAnsiTheme="minorHAnsi" w:cstheme="minorHAnsi"/>
        </w:rPr>
        <w:t xml:space="preserve"> support to end users via email.</w:t>
      </w:r>
      <w:r>
        <w:rPr>
          <w:rFonts w:asciiTheme="minorHAnsi" w:hAnsiTheme="minorHAnsi" w:cstheme="minorHAnsi"/>
        </w:rPr>
        <w:t xml:space="preserve"> Track support tickets and ensure 100% resolution of tickets.  </w:t>
      </w:r>
    </w:p>
    <w:p w14:paraId="66767CBC" w14:textId="77777777" w:rsidR="00530DDB" w:rsidRPr="004506A0" w:rsidRDefault="00530DDB" w:rsidP="00530DDB">
      <w:pPr>
        <w:widowControl w:val="0"/>
        <w:ind w:left="1440" w:right="144"/>
        <w:jc w:val="both"/>
        <w:rPr>
          <w:rFonts w:asciiTheme="minorHAnsi" w:hAnsiTheme="minorHAnsi" w:cstheme="minorHAnsi"/>
        </w:rPr>
      </w:pPr>
    </w:p>
    <w:p w14:paraId="6A9C325A" w14:textId="2355BA5A" w:rsidR="00530DDB" w:rsidRDefault="00530DDB" w:rsidP="00530DDB">
      <w:pPr>
        <w:pStyle w:val="ListParagraph"/>
        <w:widowControl w:val="0"/>
        <w:numPr>
          <w:ilvl w:val="0"/>
          <w:numId w:val="13"/>
        </w:numPr>
        <w:ind w:right="144"/>
        <w:jc w:val="both"/>
        <w:rPr>
          <w:rFonts w:asciiTheme="minorHAnsi" w:hAnsiTheme="minorHAnsi" w:cstheme="minorHAnsi"/>
        </w:rPr>
      </w:pPr>
      <w:bookmarkStart w:id="2" w:name="_Hlk38354430"/>
      <w:r>
        <w:rPr>
          <w:rFonts w:asciiTheme="minorHAnsi" w:hAnsiTheme="minorHAnsi" w:cstheme="minorHAnsi"/>
        </w:rPr>
        <w:t>Provide reports in Excel that track usage of programs by quarter and year-to-date</w:t>
      </w:r>
      <w:r w:rsidRPr="004506A0">
        <w:rPr>
          <w:rFonts w:asciiTheme="minorHAnsi" w:hAnsiTheme="minorHAnsi" w:cstheme="minorHAnsi"/>
        </w:rPr>
        <w:t>.</w:t>
      </w:r>
    </w:p>
    <w:bookmarkEnd w:id="2"/>
    <w:p w14:paraId="0544A2C8" w14:textId="77777777" w:rsidR="00530DDB" w:rsidRDefault="00530DDB" w:rsidP="00530DDB">
      <w:pPr>
        <w:widowControl w:val="0"/>
        <w:ind w:left="1440" w:right="144"/>
        <w:jc w:val="both"/>
        <w:rPr>
          <w:rFonts w:asciiTheme="minorHAnsi" w:hAnsiTheme="minorHAnsi" w:cstheme="minorHAnsi"/>
        </w:rPr>
      </w:pPr>
    </w:p>
    <w:p w14:paraId="35257E57" w14:textId="77777777" w:rsidR="00530DDB" w:rsidRPr="00E42203" w:rsidRDefault="00530DDB" w:rsidP="00530DDB">
      <w:pPr>
        <w:pStyle w:val="ListParagraph"/>
        <w:widowControl w:val="0"/>
        <w:numPr>
          <w:ilvl w:val="0"/>
          <w:numId w:val="13"/>
        </w:numPr>
        <w:ind w:right="144"/>
        <w:jc w:val="both"/>
        <w:rPr>
          <w:rFonts w:asciiTheme="minorHAnsi" w:hAnsiTheme="minorHAnsi" w:cstheme="minorHAnsi"/>
        </w:rPr>
      </w:pPr>
      <w:r>
        <w:rPr>
          <w:rFonts w:asciiTheme="minorHAnsi" w:hAnsiTheme="minorHAnsi" w:cstheme="minorHAnsi"/>
        </w:rPr>
        <w:t>Capability to offer direct user accounts for self-represented litigants and developer accounts for Judicial Council staff and other program developers</w:t>
      </w:r>
      <w:r w:rsidRPr="004506A0">
        <w:rPr>
          <w:rFonts w:asciiTheme="minorHAnsi" w:hAnsiTheme="minorHAnsi" w:cstheme="minorHAnsi"/>
        </w:rPr>
        <w:t>.</w:t>
      </w:r>
    </w:p>
    <w:p w14:paraId="7A6CA578" w14:textId="77777777" w:rsidR="00530DDB" w:rsidRPr="004506A0" w:rsidRDefault="00530DDB" w:rsidP="00530DDB">
      <w:pPr>
        <w:widowControl w:val="0"/>
        <w:ind w:left="1440" w:right="144"/>
        <w:jc w:val="both"/>
        <w:rPr>
          <w:rFonts w:asciiTheme="minorHAnsi" w:hAnsiTheme="minorHAnsi" w:cstheme="minorHAnsi"/>
        </w:rPr>
      </w:pPr>
    </w:p>
    <w:p w14:paraId="3514F2F1" w14:textId="77777777" w:rsidR="00530DDB" w:rsidRDefault="00530DDB" w:rsidP="00530DDB">
      <w:pPr>
        <w:pStyle w:val="ListParagraph"/>
        <w:widowControl w:val="0"/>
        <w:numPr>
          <w:ilvl w:val="0"/>
          <w:numId w:val="13"/>
        </w:numPr>
        <w:ind w:right="144"/>
        <w:jc w:val="both"/>
        <w:rPr>
          <w:rFonts w:asciiTheme="minorHAnsi" w:hAnsiTheme="minorHAnsi" w:cstheme="minorHAnsi"/>
        </w:rPr>
      </w:pPr>
      <w:r>
        <w:rPr>
          <w:rFonts w:asciiTheme="minorHAnsi" w:hAnsiTheme="minorHAnsi" w:cstheme="minorHAnsi"/>
        </w:rPr>
        <w:t xml:space="preserve">Maintain a consistently high level of support for the program with </w:t>
      </w:r>
      <w:r w:rsidRPr="004506A0">
        <w:rPr>
          <w:rFonts w:asciiTheme="minorHAnsi" w:hAnsiTheme="minorHAnsi" w:cstheme="minorHAnsi"/>
        </w:rPr>
        <w:t>99.9% uptime for the program.</w:t>
      </w:r>
    </w:p>
    <w:p w14:paraId="7FB8D53F" w14:textId="77777777" w:rsidR="00530DDB" w:rsidRDefault="00530DDB" w:rsidP="00530DDB">
      <w:pPr>
        <w:widowControl w:val="0"/>
        <w:ind w:left="1440" w:right="144"/>
        <w:jc w:val="both"/>
        <w:rPr>
          <w:rFonts w:asciiTheme="minorHAnsi" w:hAnsiTheme="minorHAnsi" w:cstheme="minorHAnsi"/>
        </w:rPr>
      </w:pPr>
      <w:r w:rsidRPr="004506A0">
        <w:rPr>
          <w:rFonts w:asciiTheme="minorHAnsi" w:hAnsiTheme="minorHAnsi" w:cstheme="minorHAnsi"/>
        </w:rPr>
        <w:t xml:space="preserve">  </w:t>
      </w:r>
    </w:p>
    <w:p w14:paraId="70D9DFF3" w14:textId="77777777" w:rsidR="00530DDB" w:rsidRDefault="00530DDB" w:rsidP="00530DDB">
      <w:pPr>
        <w:pStyle w:val="ListParagraph"/>
        <w:widowControl w:val="0"/>
        <w:numPr>
          <w:ilvl w:val="0"/>
          <w:numId w:val="13"/>
        </w:numPr>
        <w:ind w:right="144"/>
        <w:jc w:val="both"/>
        <w:rPr>
          <w:rFonts w:asciiTheme="minorHAnsi" w:hAnsiTheme="minorHAnsi" w:cstheme="minorHAnsi"/>
        </w:rPr>
      </w:pPr>
      <w:r>
        <w:rPr>
          <w:rFonts w:asciiTheme="minorHAnsi" w:hAnsiTheme="minorHAnsi" w:cstheme="minorHAnsi"/>
        </w:rPr>
        <w:t xml:space="preserve">The platform must have a multilingual interface and must be WCAG 2.0 compliant. The top 5 spoken languages in use in the California courts are English, Spanish, Chinese, Korean and Vietnamese. </w:t>
      </w:r>
    </w:p>
    <w:p w14:paraId="71715619" w14:textId="77777777" w:rsidR="00530DDB" w:rsidRPr="003D3529" w:rsidRDefault="00530DDB" w:rsidP="00530DDB">
      <w:pPr>
        <w:widowControl w:val="0"/>
        <w:ind w:left="1440" w:right="144"/>
        <w:jc w:val="both"/>
        <w:rPr>
          <w:rFonts w:asciiTheme="minorHAnsi" w:hAnsiTheme="minorHAnsi" w:cstheme="minorHAnsi"/>
        </w:rPr>
      </w:pPr>
    </w:p>
    <w:p w14:paraId="240101C8" w14:textId="77777777" w:rsidR="00530DDB" w:rsidRDefault="00530DDB" w:rsidP="00530DDB">
      <w:pPr>
        <w:pStyle w:val="ListParagraph"/>
        <w:widowControl w:val="0"/>
        <w:numPr>
          <w:ilvl w:val="0"/>
          <w:numId w:val="13"/>
        </w:numPr>
        <w:ind w:right="144"/>
        <w:jc w:val="both"/>
        <w:rPr>
          <w:rFonts w:asciiTheme="minorHAnsi" w:hAnsiTheme="minorHAnsi" w:cstheme="minorHAnsi"/>
        </w:rPr>
      </w:pPr>
      <w:r w:rsidRPr="003D3529">
        <w:rPr>
          <w:rFonts w:asciiTheme="minorHAnsi" w:hAnsiTheme="minorHAnsi" w:cstheme="minorHAnsi"/>
        </w:rPr>
        <w:t>The vendor hosting facilities (including compute</w:t>
      </w:r>
      <w:r>
        <w:rPr>
          <w:rFonts w:asciiTheme="minorHAnsi" w:hAnsiTheme="minorHAnsi" w:cstheme="minorHAnsi"/>
        </w:rPr>
        <w:t>r</w:t>
      </w:r>
      <w:r w:rsidRPr="003D3529">
        <w:rPr>
          <w:rFonts w:asciiTheme="minorHAnsi" w:hAnsiTheme="minorHAnsi" w:cstheme="minorHAnsi"/>
        </w:rPr>
        <w:t xml:space="preserve">, network, data storage, backup, archive devices, and the data storage media), and disaster recovery facilities must </w:t>
      </w:r>
      <w:proofErr w:type="gramStart"/>
      <w:r w:rsidRPr="003D3529">
        <w:rPr>
          <w:rFonts w:asciiTheme="minorHAnsi" w:hAnsiTheme="minorHAnsi" w:cstheme="minorHAnsi"/>
        </w:rPr>
        <w:t>be located in</w:t>
      </w:r>
      <w:proofErr w:type="gramEnd"/>
      <w:r w:rsidRPr="003D3529">
        <w:rPr>
          <w:rFonts w:asciiTheme="minorHAnsi" w:hAnsiTheme="minorHAnsi" w:cstheme="minorHAnsi"/>
        </w:rPr>
        <w:t xml:space="preserve"> the United States.</w:t>
      </w:r>
    </w:p>
    <w:p w14:paraId="55AE2381" w14:textId="77777777" w:rsidR="00530DDB" w:rsidRPr="004B6439" w:rsidRDefault="00530DDB" w:rsidP="00530DDB">
      <w:pPr>
        <w:pStyle w:val="ListParagraph"/>
        <w:rPr>
          <w:rFonts w:asciiTheme="minorHAnsi" w:hAnsiTheme="minorHAnsi" w:cstheme="minorHAnsi"/>
        </w:rPr>
      </w:pPr>
    </w:p>
    <w:p w14:paraId="14950181" w14:textId="77777777" w:rsidR="00530DDB" w:rsidRPr="003D3529" w:rsidRDefault="00530DDB" w:rsidP="00530DDB">
      <w:pPr>
        <w:pStyle w:val="ListParagraph"/>
        <w:widowControl w:val="0"/>
        <w:numPr>
          <w:ilvl w:val="0"/>
          <w:numId w:val="13"/>
        </w:numPr>
        <w:ind w:right="144"/>
        <w:jc w:val="both"/>
        <w:rPr>
          <w:rFonts w:asciiTheme="minorHAnsi" w:hAnsiTheme="minorHAnsi" w:cstheme="minorHAnsi"/>
        </w:rPr>
      </w:pPr>
      <w:r>
        <w:rPr>
          <w:rFonts w:asciiTheme="minorHAnsi" w:hAnsiTheme="minorHAnsi" w:cstheme="minorHAnsi"/>
        </w:rPr>
        <w:t xml:space="preserve">Services must be fully functional by June 1, 2024.  </w:t>
      </w:r>
    </w:p>
    <w:p w14:paraId="315724F2" w14:textId="77777777" w:rsidR="009D5FF0" w:rsidRDefault="009D5FF0" w:rsidP="00C37FF7">
      <w:pPr>
        <w:pStyle w:val="BodyTextIndent2"/>
        <w:spacing w:after="0" w:line="240" w:lineRule="auto"/>
        <w:ind w:left="720"/>
        <w:rPr>
          <w:i/>
          <w:color w:val="FF0000"/>
        </w:rPr>
      </w:pPr>
    </w:p>
    <w:p w14:paraId="6F7FE51B" w14:textId="77777777" w:rsidR="00C37FF7" w:rsidRDefault="00C37FF7" w:rsidP="00C37FF7">
      <w:pPr>
        <w:ind w:left="720"/>
      </w:pPr>
    </w:p>
    <w:p w14:paraId="18852855"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47691188" w14:textId="77777777" w:rsidR="00A50B42" w:rsidRPr="00D74462" w:rsidRDefault="00A50B42" w:rsidP="00A50B42">
      <w:pPr>
        <w:widowControl w:val="0"/>
        <w:rPr>
          <w:bCs/>
        </w:rPr>
      </w:pPr>
    </w:p>
    <w:p w14:paraId="24D26147" w14:textId="77777777" w:rsidR="00A50B42" w:rsidRDefault="00A50B42" w:rsidP="00AB2FC2">
      <w:pPr>
        <w:widowControl w:val="0"/>
        <w:ind w:left="720"/>
        <w:rPr>
          <w:bCs/>
        </w:rPr>
      </w:pPr>
      <w:r w:rsidRPr="00D74462">
        <w:rPr>
          <w:bCs/>
        </w:rPr>
        <w:t xml:space="preserve">The </w:t>
      </w:r>
      <w:r w:rsidR="00436C0F">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436C0F">
        <w:rPr>
          <w:bCs/>
        </w:rPr>
        <w:t>JBE</w:t>
      </w:r>
      <w:r w:rsidRPr="00D74462">
        <w:rPr>
          <w:bCs/>
        </w:rPr>
        <w:t>.</w:t>
      </w:r>
    </w:p>
    <w:p w14:paraId="35EAB696" w14:textId="77777777" w:rsidR="00A50B42" w:rsidRDefault="00A50B42" w:rsidP="00A50B42">
      <w:pPr>
        <w:widowControl w:val="0"/>
        <w:ind w:left="1440"/>
        <w:rPr>
          <w:bCs/>
        </w:rPr>
      </w:pPr>
    </w:p>
    <w:p w14:paraId="086B7183"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05606D09" w14:textId="77777777" w:rsidTr="00BA2200">
        <w:trPr>
          <w:trHeight w:val="485"/>
          <w:tblHeader/>
          <w:jc w:val="center"/>
        </w:trPr>
        <w:tc>
          <w:tcPr>
            <w:tcW w:w="4986" w:type="dxa"/>
            <w:shd w:val="clear" w:color="auto" w:fill="E6E6E6"/>
            <w:vAlign w:val="center"/>
          </w:tcPr>
          <w:p w14:paraId="1CEE59FA" w14:textId="77777777" w:rsidR="00A50B42" w:rsidRPr="00D77FEF" w:rsidRDefault="00A50B42" w:rsidP="00BA2200">
            <w:pPr>
              <w:widowControl w:val="0"/>
              <w:tabs>
                <w:tab w:val="left" w:pos="6354"/>
              </w:tabs>
              <w:ind w:right="-18"/>
              <w:jc w:val="center"/>
              <w:rPr>
                <w:b/>
                <w:bCs/>
                <w:color w:val="000000"/>
              </w:rPr>
            </w:pPr>
            <w:r w:rsidRPr="00D77FEF">
              <w:rPr>
                <w:b/>
                <w:bCs/>
                <w:color w:val="000000"/>
              </w:rPr>
              <w:lastRenderedPageBreak/>
              <w:t>EVENT</w:t>
            </w:r>
          </w:p>
        </w:tc>
        <w:tc>
          <w:tcPr>
            <w:tcW w:w="3192" w:type="dxa"/>
            <w:shd w:val="clear" w:color="auto" w:fill="E6E6E6"/>
            <w:vAlign w:val="center"/>
          </w:tcPr>
          <w:p w14:paraId="7EFE85D0" w14:textId="77777777" w:rsidR="00A50B42" w:rsidRPr="00D77FEF" w:rsidRDefault="00A50B42" w:rsidP="00BA2200">
            <w:pPr>
              <w:widowControl w:val="0"/>
              <w:ind w:left="-108" w:right="-108"/>
              <w:jc w:val="center"/>
              <w:rPr>
                <w:b/>
                <w:bCs/>
                <w:color w:val="000000"/>
                <w:sz w:val="22"/>
                <w:szCs w:val="22"/>
              </w:rPr>
            </w:pPr>
            <w:r w:rsidRPr="00D77FEF">
              <w:rPr>
                <w:b/>
                <w:bCs/>
                <w:color w:val="000000"/>
                <w:sz w:val="22"/>
                <w:szCs w:val="22"/>
              </w:rPr>
              <w:t>DATE</w:t>
            </w:r>
          </w:p>
        </w:tc>
      </w:tr>
      <w:tr w:rsidR="00A50B42" w:rsidRPr="003B7ABC" w14:paraId="11C16ABE" w14:textId="77777777" w:rsidTr="00BA2200">
        <w:trPr>
          <w:trHeight w:val="575"/>
          <w:jc w:val="center"/>
        </w:trPr>
        <w:tc>
          <w:tcPr>
            <w:tcW w:w="4986" w:type="dxa"/>
            <w:vAlign w:val="center"/>
          </w:tcPr>
          <w:p w14:paraId="5F43981B" w14:textId="7936F055" w:rsidR="00A50B42" w:rsidRPr="00FA4E3B" w:rsidRDefault="00A50B42" w:rsidP="00BA2200">
            <w:pPr>
              <w:widowControl w:val="0"/>
              <w:rPr>
                <w:b/>
                <w:bCs/>
              </w:rPr>
            </w:pPr>
            <w:r w:rsidRPr="00FA4E3B">
              <w:rPr>
                <w:bCs/>
              </w:rPr>
              <w:t>RFP issued</w:t>
            </w:r>
          </w:p>
        </w:tc>
        <w:tc>
          <w:tcPr>
            <w:tcW w:w="3192" w:type="dxa"/>
            <w:vAlign w:val="center"/>
          </w:tcPr>
          <w:p w14:paraId="3F2F3999" w14:textId="0D9B5511" w:rsidR="00A50B42" w:rsidRPr="00FA4E3B" w:rsidRDefault="008862D9" w:rsidP="00BA2200">
            <w:pPr>
              <w:widowControl w:val="0"/>
              <w:tabs>
                <w:tab w:val="left" w:pos="2178"/>
              </w:tabs>
              <w:jc w:val="center"/>
              <w:rPr>
                <w:bCs/>
                <w:i/>
                <w:color w:val="FF0000"/>
              </w:rPr>
            </w:pPr>
            <w:r>
              <w:rPr>
                <w:bCs/>
                <w:i/>
                <w:color w:val="FF0000"/>
              </w:rPr>
              <w:t>March 29</w:t>
            </w:r>
            <w:r w:rsidR="00BF4F12">
              <w:rPr>
                <w:bCs/>
                <w:i/>
                <w:color w:val="FF0000"/>
              </w:rPr>
              <w:t>, 2024</w:t>
            </w:r>
          </w:p>
        </w:tc>
      </w:tr>
      <w:tr w:rsidR="00A50B42" w:rsidRPr="003B7ABC" w14:paraId="6AD319DB" w14:textId="77777777" w:rsidTr="00BA2200">
        <w:trPr>
          <w:trHeight w:val="668"/>
          <w:jc w:val="center"/>
        </w:trPr>
        <w:tc>
          <w:tcPr>
            <w:tcW w:w="4986" w:type="dxa"/>
            <w:vAlign w:val="center"/>
          </w:tcPr>
          <w:p w14:paraId="4428AB6D" w14:textId="12DBADEF" w:rsidR="00A50B42" w:rsidRPr="00FA4E3B" w:rsidRDefault="00A50B42" w:rsidP="00BA2200">
            <w:pPr>
              <w:widowControl w:val="0"/>
              <w:rPr>
                <w:bCs/>
              </w:rPr>
            </w:pPr>
            <w:r w:rsidRPr="00FA4E3B">
              <w:rPr>
                <w:bCs/>
              </w:rPr>
              <w:t>Deadline for questions</w:t>
            </w:r>
            <w:r w:rsidR="00287FCB">
              <w:rPr>
                <w:bCs/>
              </w:rPr>
              <w:t xml:space="preserve"> to Solicitations@jud.ca.gov</w:t>
            </w:r>
          </w:p>
        </w:tc>
        <w:tc>
          <w:tcPr>
            <w:tcW w:w="3192" w:type="dxa"/>
            <w:vAlign w:val="center"/>
          </w:tcPr>
          <w:p w14:paraId="67455B79" w14:textId="756FE3E3" w:rsidR="00A50B42" w:rsidRPr="00FA4E3B" w:rsidRDefault="00BF4F12" w:rsidP="00BA2200">
            <w:pPr>
              <w:widowControl w:val="0"/>
              <w:tabs>
                <w:tab w:val="left" w:pos="2178"/>
              </w:tabs>
              <w:jc w:val="center"/>
              <w:rPr>
                <w:b/>
                <w:bCs/>
                <w:color w:val="000000"/>
              </w:rPr>
            </w:pPr>
            <w:r>
              <w:rPr>
                <w:bCs/>
                <w:i/>
                <w:color w:val="FF0000"/>
              </w:rPr>
              <w:t xml:space="preserve">April </w:t>
            </w:r>
            <w:r w:rsidR="008862D9">
              <w:rPr>
                <w:bCs/>
                <w:i/>
                <w:color w:val="FF0000"/>
              </w:rPr>
              <w:t>10</w:t>
            </w:r>
            <w:r>
              <w:rPr>
                <w:bCs/>
                <w:i/>
                <w:color w:val="FF0000"/>
              </w:rPr>
              <w:t xml:space="preserve">, </w:t>
            </w:r>
            <w:proofErr w:type="gramStart"/>
            <w:r>
              <w:rPr>
                <w:bCs/>
                <w:i/>
                <w:color w:val="FF0000"/>
              </w:rPr>
              <w:t>2024</w:t>
            </w:r>
            <w:proofErr w:type="gramEnd"/>
            <w:r>
              <w:rPr>
                <w:bCs/>
                <w:i/>
                <w:color w:val="FF0000"/>
              </w:rPr>
              <w:t xml:space="preserve"> no later than 1:00 PM (PT)</w:t>
            </w:r>
          </w:p>
        </w:tc>
      </w:tr>
      <w:tr w:rsidR="00C00178" w:rsidRPr="003B7ABC" w14:paraId="691C8C95" w14:textId="77777777" w:rsidTr="00BA2200">
        <w:trPr>
          <w:trHeight w:val="647"/>
          <w:jc w:val="center"/>
        </w:trPr>
        <w:tc>
          <w:tcPr>
            <w:tcW w:w="4986" w:type="dxa"/>
            <w:vAlign w:val="center"/>
          </w:tcPr>
          <w:p w14:paraId="4207B64E" w14:textId="7DB834DD" w:rsidR="00C00178" w:rsidRPr="00FA4E3B" w:rsidRDefault="00C00178" w:rsidP="00BA2200">
            <w:pPr>
              <w:widowControl w:val="0"/>
              <w:rPr>
                <w:bCs/>
              </w:rPr>
            </w:pPr>
            <w:r w:rsidRPr="00FA4E3B">
              <w:rPr>
                <w:bCs/>
              </w:rPr>
              <w:t>Questions and answers posted</w:t>
            </w:r>
            <w:r w:rsidR="00287FCB">
              <w:rPr>
                <w:bCs/>
              </w:rPr>
              <w:t xml:space="preserve"> at </w:t>
            </w:r>
            <w:hyperlink r:id="rId8" w:history="1">
              <w:r w:rsidR="00DE5853" w:rsidRPr="00FF6984">
                <w:rPr>
                  <w:rStyle w:val="Hyperlink"/>
                  <w:rFonts w:asciiTheme="minorHAnsi" w:hAnsiTheme="minorHAnsi" w:cstheme="minorHAnsi"/>
                  <w:i/>
                  <w:sz w:val="22"/>
                  <w:szCs w:val="22"/>
                </w:rPr>
                <w:t>www.courts.ca.gov/rfps.htm</w:t>
              </w:r>
            </w:hyperlink>
            <w:r w:rsidR="00287FCB">
              <w:rPr>
                <w:bCs/>
              </w:rPr>
              <w:t xml:space="preserve"> (estimate only)</w:t>
            </w:r>
          </w:p>
        </w:tc>
        <w:tc>
          <w:tcPr>
            <w:tcW w:w="3192" w:type="dxa"/>
            <w:vAlign w:val="center"/>
          </w:tcPr>
          <w:p w14:paraId="3CE99C43" w14:textId="277A44DA" w:rsidR="00C00178" w:rsidRPr="00FA4E3B" w:rsidRDefault="008862D9" w:rsidP="00BA2200">
            <w:pPr>
              <w:widowControl w:val="0"/>
              <w:tabs>
                <w:tab w:val="left" w:pos="2178"/>
              </w:tabs>
              <w:jc w:val="center"/>
              <w:rPr>
                <w:b/>
                <w:bCs/>
                <w:color w:val="000000"/>
              </w:rPr>
            </w:pPr>
            <w:r>
              <w:rPr>
                <w:bCs/>
                <w:i/>
                <w:color w:val="FF0000"/>
              </w:rPr>
              <w:t>April 12</w:t>
            </w:r>
            <w:r w:rsidR="002474D7">
              <w:rPr>
                <w:bCs/>
                <w:i/>
                <w:color w:val="FF0000"/>
              </w:rPr>
              <w:t>, 2024</w:t>
            </w:r>
          </w:p>
        </w:tc>
      </w:tr>
      <w:tr w:rsidR="00C00178" w:rsidRPr="003B7ABC" w14:paraId="13FAF2C5" w14:textId="77777777" w:rsidTr="00BA2200">
        <w:trPr>
          <w:trHeight w:val="647"/>
          <w:jc w:val="center"/>
        </w:trPr>
        <w:tc>
          <w:tcPr>
            <w:tcW w:w="4986" w:type="dxa"/>
            <w:vAlign w:val="center"/>
          </w:tcPr>
          <w:p w14:paraId="074A0C98" w14:textId="77777777" w:rsidR="00C00178" w:rsidRPr="00FA4E3B" w:rsidRDefault="00C00178" w:rsidP="00BA2200">
            <w:pPr>
              <w:widowControl w:val="0"/>
              <w:rPr>
                <w:bCs/>
              </w:rPr>
            </w:pPr>
            <w:r w:rsidRPr="00FA4E3B">
              <w:rPr>
                <w:bCs/>
              </w:rPr>
              <w:t xml:space="preserve">Latest date and time proposal may be submitted </w:t>
            </w:r>
          </w:p>
        </w:tc>
        <w:tc>
          <w:tcPr>
            <w:tcW w:w="3192" w:type="dxa"/>
            <w:vAlign w:val="center"/>
          </w:tcPr>
          <w:p w14:paraId="3ED1DC3D" w14:textId="44EDF0A3" w:rsidR="00C00178" w:rsidRPr="009A0F0C" w:rsidRDefault="008862D9" w:rsidP="00BA2200">
            <w:pPr>
              <w:widowControl w:val="0"/>
              <w:jc w:val="center"/>
              <w:rPr>
                <w:b/>
                <w:bCs/>
                <w:color w:val="FF0000"/>
              </w:rPr>
            </w:pPr>
            <w:r w:rsidRPr="009A0F0C">
              <w:rPr>
                <w:b/>
                <w:bCs/>
                <w:color w:val="FF0000"/>
              </w:rPr>
              <w:t xml:space="preserve">April 19, </w:t>
            </w:r>
            <w:proofErr w:type="gramStart"/>
            <w:r w:rsidRPr="009A0F0C">
              <w:rPr>
                <w:b/>
                <w:bCs/>
                <w:color w:val="FF0000"/>
              </w:rPr>
              <w:t>2024</w:t>
            </w:r>
            <w:proofErr w:type="gramEnd"/>
            <w:r w:rsidRPr="009A0F0C">
              <w:rPr>
                <w:b/>
                <w:bCs/>
                <w:color w:val="FF0000"/>
              </w:rPr>
              <w:t xml:space="preserve"> no later than 1:00PM (PT)</w:t>
            </w:r>
          </w:p>
        </w:tc>
      </w:tr>
      <w:tr w:rsidR="00287FCB" w:rsidRPr="003B7ABC" w14:paraId="20C47553" w14:textId="77777777" w:rsidTr="00BA2200">
        <w:trPr>
          <w:trHeight w:val="647"/>
          <w:jc w:val="center"/>
        </w:trPr>
        <w:tc>
          <w:tcPr>
            <w:tcW w:w="4986" w:type="dxa"/>
            <w:vAlign w:val="center"/>
          </w:tcPr>
          <w:p w14:paraId="1D40248B" w14:textId="53A96C53" w:rsidR="00287FCB" w:rsidRPr="00FA4E3B" w:rsidRDefault="00287FCB" w:rsidP="00BA2200">
            <w:pPr>
              <w:widowControl w:val="0"/>
              <w:rPr>
                <w:bCs/>
              </w:rPr>
            </w:pPr>
            <w:r w:rsidRPr="00FA4E3B">
              <w:rPr>
                <w:bCs/>
              </w:rPr>
              <w:t>Evaluation of proposals (</w:t>
            </w:r>
            <w:r w:rsidRPr="00FA4E3B">
              <w:rPr>
                <w:bCs/>
                <w:i/>
              </w:rPr>
              <w:t>estimate only</w:t>
            </w:r>
            <w:r w:rsidRPr="00FA4E3B">
              <w:rPr>
                <w:bCs/>
              </w:rPr>
              <w:t>)</w:t>
            </w:r>
          </w:p>
        </w:tc>
        <w:tc>
          <w:tcPr>
            <w:tcW w:w="3192" w:type="dxa"/>
            <w:vAlign w:val="center"/>
          </w:tcPr>
          <w:p w14:paraId="7B679392" w14:textId="126F15AF" w:rsidR="00287FCB" w:rsidRPr="00FA4E3B" w:rsidRDefault="00287FCB" w:rsidP="00BA2200">
            <w:pPr>
              <w:widowControl w:val="0"/>
              <w:jc w:val="center"/>
              <w:rPr>
                <w:b/>
                <w:bCs/>
                <w:color w:val="000000"/>
              </w:rPr>
            </w:pPr>
          </w:p>
          <w:p w14:paraId="40C6AC15" w14:textId="48504290" w:rsidR="00287FCB" w:rsidRPr="00FA4E3B" w:rsidRDefault="008862D9" w:rsidP="00BA2200">
            <w:pPr>
              <w:widowControl w:val="0"/>
              <w:jc w:val="center"/>
              <w:rPr>
                <w:b/>
                <w:bCs/>
                <w:i/>
                <w:color w:val="FF0000"/>
                <w:highlight w:val="yellow"/>
              </w:rPr>
            </w:pPr>
            <w:r>
              <w:rPr>
                <w:bCs/>
                <w:i/>
                <w:color w:val="FF0000"/>
              </w:rPr>
              <w:t>April 22, 2024</w:t>
            </w:r>
            <w:r w:rsidR="00287FCB">
              <w:rPr>
                <w:bCs/>
                <w:i/>
                <w:color w:val="FF0000"/>
              </w:rPr>
              <w:t xml:space="preserve"> – </w:t>
            </w:r>
            <w:r>
              <w:rPr>
                <w:bCs/>
                <w:i/>
                <w:color w:val="FF0000"/>
              </w:rPr>
              <w:t>April 26, 2024</w:t>
            </w:r>
          </w:p>
        </w:tc>
      </w:tr>
      <w:tr w:rsidR="00287FCB" w:rsidRPr="003B7ABC" w14:paraId="61DC5177" w14:textId="77777777" w:rsidTr="00BA2200">
        <w:trPr>
          <w:trHeight w:val="539"/>
          <w:jc w:val="center"/>
        </w:trPr>
        <w:tc>
          <w:tcPr>
            <w:tcW w:w="4986" w:type="dxa"/>
            <w:vAlign w:val="center"/>
          </w:tcPr>
          <w:p w14:paraId="38CACC5A" w14:textId="22F6AC38" w:rsidR="00287FCB" w:rsidRPr="00FA4E3B" w:rsidRDefault="00287FCB" w:rsidP="00BA2200">
            <w:pPr>
              <w:widowControl w:val="0"/>
              <w:ind w:right="576"/>
              <w:rPr>
                <w:bCs/>
              </w:rPr>
            </w:pPr>
            <w:r>
              <w:rPr>
                <w:bCs/>
              </w:rPr>
              <w:t xml:space="preserve">Non-Cost proposals. Scores posted at </w:t>
            </w:r>
            <w:hyperlink r:id="rId9" w:history="1">
              <w:r w:rsidR="00DE5853" w:rsidRPr="00FF6984">
                <w:rPr>
                  <w:rStyle w:val="Hyperlink"/>
                  <w:rFonts w:asciiTheme="minorHAnsi" w:hAnsiTheme="minorHAnsi" w:cstheme="minorHAnsi"/>
                  <w:i/>
                  <w:sz w:val="22"/>
                  <w:szCs w:val="22"/>
                </w:rPr>
                <w:t>www.courts.ca.gov/rfps.htm</w:t>
              </w:r>
            </w:hyperlink>
            <w:r>
              <w:rPr>
                <w:bCs/>
              </w:rPr>
              <w:t xml:space="preserve"> (estimate only)</w:t>
            </w:r>
          </w:p>
        </w:tc>
        <w:tc>
          <w:tcPr>
            <w:tcW w:w="3192" w:type="dxa"/>
            <w:vAlign w:val="center"/>
          </w:tcPr>
          <w:p w14:paraId="570E7CF3" w14:textId="6CC9D41B" w:rsidR="00287FCB" w:rsidRDefault="008862D9" w:rsidP="00BA2200">
            <w:pPr>
              <w:widowControl w:val="0"/>
              <w:jc w:val="center"/>
              <w:rPr>
                <w:bCs/>
                <w:i/>
                <w:color w:val="FF0000"/>
              </w:rPr>
            </w:pPr>
            <w:r>
              <w:rPr>
                <w:bCs/>
                <w:i/>
                <w:color w:val="FF0000"/>
              </w:rPr>
              <w:t>April 29, 2024</w:t>
            </w:r>
          </w:p>
        </w:tc>
      </w:tr>
      <w:tr w:rsidR="00287FCB" w:rsidRPr="003B7ABC" w14:paraId="39E56769" w14:textId="77777777" w:rsidTr="00BA2200">
        <w:trPr>
          <w:trHeight w:val="539"/>
          <w:jc w:val="center"/>
        </w:trPr>
        <w:tc>
          <w:tcPr>
            <w:tcW w:w="4986" w:type="dxa"/>
            <w:vAlign w:val="center"/>
          </w:tcPr>
          <w:p w14:paraId="09E2A4E4" w14:textId="77777777" w:rsidR="00DE5853" w:rsidRDefault="00287FCB" w:rsidP="00BA2200">
            <w:pPr>
              <w:widowControl w:val="0"/>
              <w:ind w:right="576"/>
              <w:rPr>
                <w:bCs/>
              </w:rPr>
            </w:pPr>
            <w:r w:rsidRPr="00FA4E3B">
              <w:rPr>
                <w:bCs/>
              </w:rPr>
              <w:t xml:space="preserve">Public opening of </w:t>
            </w:r>
            <w:r w:rsidR="00DE5853">
              <w:rPr>
                <w:bCs/>
              </w:rPr>
              <w:t>Cost Proposals via Team Meeting:</w:t>
            </w:r>
          </w:p>
          <w:p w14:paraId="13BDF36B" w14:textId="77777777" w:rsidR="00DE5853" w:rsidRDefault="00DE5853" w:rsidP="00BA2200">
            <w:pPr>
              <w:widowControl w:val="0"/>
              <w:ind w:right="576"/>
              <w:rPr>
                <w:bCs/>
              </w:rPr>
            </w:pPr>
          </w:p>
          <w:p w14:paraId="3BAA5C6D" w14:textId="26249AA2" w:rsidR="009A0F0C" w:rsidRDefault="009A0F0C" w:rsidP="009A0F0C">
            <w:pPr>
              <w:widowControl w:val="0"/>
              <w:ind w:right="576"/>
              <w:rPr>
                <w:rFonts w:asciiTheme="minorHAnsi" w:hAnsiTheme="minorHAnsi" w:cstheme="minorBidi"/>
              </w:rPr>
            </w:pPr>
            <w:r w:rsidRPr="709EBC7B">
              <w:rPr>
                <w:rFonts w:asciiTheme="minorHAnsi" w:hAnsiTheme="minorHAnsi" w:cstheme="minorBidi"/>
              </w:rPr>
              <w:t>Meeting Link:</w:t>
            </w:r>
            <w:r w:rsidR="00C80E75">
              <w:rPr>
                <w:rFonts w:asciiTheme="minorHAnsi" w:hAnsiTheme="minorHAnsi" w:cstheme="minorBidi"/>
              </w:rPr>
              <w:t xml:space="preserve"> </w:t>
            </w:r>
            <w:hyperlink r:id="rId10" w:history="1">
              <w:r w:rsidR="00C80E75" w:rsidRPr="00C80E75">
                <w:rPr>
                  <w:rStyle w:val="Hyperlink"/>
                  <w:rFonts w:asciiTheme="minorHAnsi" w:hAnsiTheme="minorHAnsi" w:cstheme="minorBidi"/>
                </w:rPr>
                <w:t>Join Cost Opening</w:t>
              </w:r>
            </w:hyperlink>
          </w:p>
          <w:p w14:paraId="11A895F8" w14:textId="7C41DC67" w:rsidR="009A0F0C" w:rsidRDefault="009A0F0C" w:rsidP="009A0F0C">
            <w:pPr>
              <w:widowControl w:val="0"/>
              <w:ind w:right="576"/>
              <w:rPr>
                <w:rFonts w:asciiTheme="minorHAnsi" w:hAnsiTheme="minorHAnsi" w:cstheme="minorBidi"/>
              </w:rPr>
            </w:pPr>
            <w:r w:rsidRPr="709EBC7B">
              <w:rPr>
                <w:rFonts w:asciiTheme="minorHAnsi" w:hAnsiTheme="minorHAnsi" w:cstheme="minorBidi"/>
              </w:rPr>
              <w:t xml:space="preserve">Meeting ID: </w:t>
            </w:r>
            <w:r w:rsidR="00C80E75">
              <w:rPr>
                <w:rStyle w:val="me-email-text"/>
                <w:rFonts w:ascii="Segoe UI" w:eastAsiaTheme="majorEastAsia" w:hAnsi="Segoe UI" w:cs="Segoe UI"/>
                <w:color w:val="242424"/>
                <w:sz w:val="21"/>
                <w:szCs w:val="21"/>
              </w:rPr>
              <w:t>269 998 997 412</w:t>
            </w:r>
          </w:p>
          <w:p w14:paraId="0B8E12CE" w14:textId="0742CC70" w:rsidR="009A0F0C" w:rsidRDefault="009A0F0C" w:rsidP="009A0F0C">
            <w:pPr>
              <w:widowControl w:val="0"/>
              <w:ind w:right="576"/>
              <w:rPr>
                <w:rFonts w:asciiTheme="minorHAnsi" w:hAnsiTheme="minorHAnsi" w:cstheme="minorBidi"/>
              </w:rPr>
            </w:pPr>
            <w:r w:rsidRPr="709EBC7B">
              <w:rPr>
                <w:rFonts w:asciiTheme="minorHAnsi" w:hAnsiTheme="minorHAnsi" w:cstheme="minorBidi"/>
              </w:rPr>
              <w:t xml:space="preserve">Meeting Passcode: </w:t>
            </w:r>
            <w:r w:rsidR="00C80E75">
              <w:rPr>
                <w:rStyle w:val="me-email-text"/>
                <w:rFonts w:ascii="Segoe UI" w:eastAsiaTheme="majorEastAsia" w:hAnsi="Segoe UI" w:cs="Segoe UI"/>
                <w:color w:val="242424"/>
                <w:sz w:val="21"/>
                <w:szCs w:val="21"/>
              </w:rPr>
              <w:t>QZV7T3</w:t>
            </w:r>
          </w:p>
          <w:p w14:paraId="2BD5C6DF" w14:textId="499CE703" w:rsidR="00287FCB" w:rsidRPr="00FA4E3B" w:rsidRDefault="009A0F0C" w:rsidP="009A0F0C">
            <w:pPr>
              <w:widowControl w:val="0"/>
              <w:ind w:right="576"/>
              <w:rPr>
                <w:bCs/>
              </w:rPr>
            </w:pPr>
            <w:r w:rsidRPr="709EBC7B">
              <w:rPr>
                <w:rFonts w:asciiTheme="minorHAnsi" w:hAnsiTheme="minorHAnsi" w:cstheme="minorBidi"/>
              </w:rPr>
              <w:t>Phone Conference ID:</w:t>
            </w:r>
            <w:r w:rsidR="00C80E75">
              <w:rPr>
                <w:rFonts w:asciiTheme="minorHAnsi" w:hAnsiTheme="minorHAnsi" w:cstheme="minorBidi"/>
              </w:rPr>
              <w:t xml:space="preserve"> </w:t>
            </w:r>
            <w:r w:rsidR="00C80E75">
              <w:rPr>
                <w:rStyle w:val="me-email-text"/>
                <w:rFonts w:ascii="Segoe UI" w:eastAsiaTheme="majorEastAsia" w:hAnsi="Segoe UI" w:cs="Segoe UI"/>
                <w:color w:val="242424"/>
                <w:sz w:val="21"/>
                <w:szCs w:val="21"/>
              </w:rPr>
              <w:t>967 310 144#</w:t>
            </w:r>
            <w:r w:rsidR="00C80E75">
              <w:rPr>
                <w:rFonts w:ascii="Segoe UI" w:hAnsi="Segoe UI" w:cs="Segoe UI"/>
                <w:color w:val="242424"/>
              </w:rPr>
              <w:t xml:space="preserve"> </w:t>
            </w:r>
          </w:p>
        </w:tc>
        <w:tc>
          <w:tcPr>
            <w:tcW w:w="3192" w:type="dxa"/>
            <w:vAlign w:val="center"/>
          </w:tcPr>
          <w:p w14:paraId="4FEFB451" w14:textId="5CCA9A03" w:rsidR="00287FCB" w:rsidRPr="00FA4E3B" w:rsidRDefault="008862D9" w:rsidP="00BA2200">
            <w:pPr>
              <w:widowControl w:val="0"/>
              <w:jc w:val="center"/>
              <w:rPr>
                <w:b/>
                <w:bCs/>
                <w:color w:val="000000"/>
              </w:rPr>
            </w:pPr>
            <w:r>
              <w:rPr>
                <w:bCs/>
                <w:i/>
                <w:color w:val="FF0000"/>
              </w:rPr>
              <w:t>April 30, 2024</w:t>
            </w:r>
            <w:r w:rsidR="009A0F0C">
              <w:rPr>
                <w:bCs/>
                <w:i/>
                <w:color w:val="FF0000"/>
              </w:rPr>
              <w:t xml:space="preserve"> @ 1:00PM (PT)</w:t>
            </w:r>
          </w:p>
        </w:tc>
      </w:tr>
      <w:tr w:rsidR="00287FCB" w:rsidRPr="003B7ABC" w14:paraId="1522F28F" w14:textId="77777777" w:rsidTr="00BA2200">
        <w:trPr>
          <w:trHeight w:val="539"/>
          <w:jc w:val="center"/>
        </w:trPr>
        <w:tc>
          <w:tcPr>
            <w:tcW w:w="4986" w:type="dxa"/>
            <w:vAlign w:val="center"/>
          </w:tcPr>
          <w:p w14:paraId="170D642F" w14:textId="15309A87" w:rsidR="00287FCB" w:rsidRDefault="00287FCB" w:rsidP="00BA2200">
            <w:pPr>
              <w:widowControl w:val="0"/>
              <w:ind w:right="576"/>
              <w:rPr>
                <w:bCs/>
              </w:rPr>
            </w:pPr>
            <w:r w:rsidRPr="00FA4E3B">
              <w:rPr>
                <w:bCs/>
              </w:rPr>
              <w:t>Notice of Intent to Award (</w:t>
            </w:r>
            <w:r w:rsidRPr="00FA4E3B">
              <w:rPr>
                <w:bCs/>
                <w:i/>
              </w:rPr>
              <w:t>estimate only</w:t>
            </w:r>
            <w:r w:rsidRPr="00FA4E3B">
              <w:rPr>
                <w:bCs/>
              </w:rPr>
              <w:t>)</w:t>
            </w:r>
          </w:p>
          <w:p w14:paraId="30BCF4C6" w14:textId="1EEB10EB" w:rsidR="00DE5853" w:rsidRPr="00FA4E3B" w:rsidRDefault="00F53F97" w:rsidP="00BA2200">
            <w:pPr>
              <w:widowControl w:val="0"/>
              <w:ind w:right="576"/>
              <w:rPr>
                <w:bCs/>
              </w:rPr>
            </w:pPr>
            <w:hyperlink r:id="rId11" w:history="1">
              <w:r w:rsidR="00DE5853" w:rsidRPr="00FF6984">
                <w:rPr>
                  <w:rStyle w:val="Hyperlink"/>
                  <w:rFonts w:asciiTheme="minorHAnsi" w:hAnsiTheme="minorHAnsi" w:cstheme="minorHAnsi"/>
                  <w:i/>
                  <w:sz w:val="22"/>
                  <w:szCs w:val="22"/>
                </w:rPr>
                <w:t>www.courts.ca.gov/rfps.htm</w:t>
              </w:r>
            </w:hyperlink>
          </w:p>
        </w:tc>
        <w:tc>
          <w:tcPr>
            <w:tcW w:w="3192" w:type="dxa"/>
            <w:vAlign w:val="center"/>
          </w:tcPr>
          <w:p w14:paraId="5C070A4C" w14:textId="67F08964" w:rsidR="00287FCB" w:rsidRPr="00FA4E3B" w:rsidRDefault="008862D9" w:rsidP="00BA2200">
            <w:pPr>
              <w:widowControl w:val="0"/>
              <w:jc w:val="center"/>
              <w:rPr>
                <w:b/>
                <w:bCs/>
                <w:color w:val="000000"/>
              </w:rPr>
            </w:pPr>
            <w:r>
              <w:rPr>
                <w:bCs/>
                <w:i/>
                <w:color w:val="FF0000"/>
              </w:rPr>
              <w:t>May 3, 2024</w:t>
            </w:r>
          </w:p>
        </w:tc>
      </w:tr>
      <w:tr w:rsidR="00287FCB" w:rsidRPr="003B7ABC" w14:paraId="573A548D" w14:textId="77777777" w:rsidTr="00BA2200">
        <w:trPr>
          <w:trHeight w:val="520"/>
          <w:jc w:val="center"/>
        </w:trPr>
        <w:tc>
          <w:tcPr>
            <w:tcW w:w="4986" w:type="dxa"/>
            <w:vAlign w:val="center"/>
          </w:tcPr>
          <w:p w14:paraId="78C00F78" w14:textId="132BFF27" w:rsidR="00287FCB" w:rsidRPr="00FA4E3B" w:rsidRDefault="00287FCB" w:rsidP="00BA2200">
            <w:pPr>
              <w:widowControl w:val="0"/>
              <w:rPr>
                <w:bCs/>
              </w:rPr>
            </w:pPr>
            <w:r w:rsidRPr="00FA4E3B">
              <w:rPr>
                <w:bCs/>
              </w:rPr>
              <w:t>Negotiations and execution of contract (</w:t>
            </w:r>
            <w:r w:rsidRPr="00FA4E3B">
              <w:rPr>
                <w:bCs/>
                <w:i/>
              </w:rPr>
              <w:t>estimate only</w:t>
            </w:r>
            <w:r w:rsidRPr="00FA4E3B">
              <w:rPr>
                <w:bCs/>
              </w:rPr>
              <w:t>)</w:t>
            </w:r>
          </w:p>
        </w:tc>
        <w:tc>
          <w:tcPr>
            <w:tcW w:w="3192" w:type="dxa"/>
            <w:vAlign w:val="center"/>
          </w:tcPr>
          <w:p w14:paraId="7B1E5F48" w14:textId="24556FDB" w:rsidR="00287FCB" w:rsidRPr="00FA4E3B" w:rsidRDefault="00287FCB" w:rsidP="00BA2200">
            <w:pPr>
              <w:widowControl w:val="0"/>
              <w:jc w:val="center"/>
              <w:rPr>
                <w:b/>
                <w:bCs/>
                <w:color w:val="000000"/>
              </w:rPr>
            </w:pPr>
            <w:r>
              <w:rPr>
                <w:bCs/>
                <w:i/>
                <w:color w:val="FF0000"/>
              </w:rPr>
              <w:t xml:space="preserve">May </w:t>
            </w:r>
            <w:r w:rsidR="008862D9">
              <w:rPr>
                <w:bCs/>
                <w:i/>
                <w:color w:val="FF0000"/>
              </w:rPr>
              <w:t>6, 2024</w:t>
            </w:r>
            <w:r>
              <w:rPr>
                <w:bCs/>
                <w:i/>
                <w:color w:val="FF0000"/>
              </w:rPr>
              <w:t xml:space="preserve"> – May 31, 2024</w:t>
            </w:r>
          </w:p>
        </w:tc>
      </w:tr>
      <w:tr w:rsidR="00287FCB" w:rsidRPr="003B7ABC" w14:paraId="54791BE7" w14:textId="77777777" w:rsidTr="00BA2200">
        <w:trPr>
          <w:trHeight w:val="520"/>
          <w:jc w:val="center"/>
        </w:trPr>
        <w:tc>
          <w:tcPr>
            <w:tcW w:w="4986" w:type="dxa"/>
            <w:vAlign w:val="center"/>
          </w:tcPr>
          <w:p w14:paraId="73CA87C0" w14:textId="3006A9A5" w:rsidR="00287FCB" w:rsidRPr="00FA4E3B" w:rsidRDefault="00287FCB" w:rsidP="00BA2200">
            <w:pPr>
              <w:widowControl w:val="0"/>
              <w:rPr>
                <w:bCs/>
              </w:rPr>
            </w:pPr>
            <w:r w:rsidRPr="00FA4E3B">
              <w:rPr>
                <w:bCs/>
              </w:rPr>
              <w:t>Contract start date (</w:t>
            </w:r>
            <w:r w:rsidRPr="00FA4E3B">
              <w:rPr>
                <w:bCs/>
                <w:i/>
              </w:rPr>
              <w:t>estimate only</w:t>
            </w:r>
            <w:r w:rsidRPr="00FA4E3B">
              <w:rPr>
                <w:bCs/>
              </w:rPr>
              <w:t>)</w:t>
            </w:r>
          </w:p>
        </w:tc>
        <w:tc>
          <w:tcPr>
            <w:tcW w:w="3192" w:type="dxa"/>
            <w:vAlign w:val="center"/>
          </w:tcPr>
          <w:p w14:paraId="3BC6CB7C" w14:textId="5CFE8368" w:rsidR="00287FCB" w:rsidRPr="00FA4E3B" w:rsidRDefault="00287FCB" w:rsidP="00BA2200">
            <w:pPr>
              <w:widowControl w:val="0"/>
              <w:jc w:val="center"/>
              <w:rPr>
                <w:b/>
                <w:bCs/>
                <w:color w:val="000000"/>
              </w:rPr>
            </w:pPr>
            <w:r>
              <w:rPr>
                <w:bCs/>
                <w:i/>
                <w:color w:val="FF0000"/>
              </w:rPr>
              <w:t>June 1, 2024</w:t>
            </w:r>
          </w:p>
        </w:tc>
      </w:tr>
      <w:tr w:rsidR="00287FCB" w:rsidRPr="003B7ABC" w14:paraId="06F24860" w14:textId="77777777" w:rsidTr="00BA2200">
        <w:trPr>
          <w:trHeight w:val="520"/>
          <w:jc w:val="center"/>
        </w:trPr>
        <w:tc>
          <w:tcPr>
            <w:tcW w:w="4986" w:type="dxa"/>
            <w:vAlign w:val="center"/>
          </w:tcPr>
          <w:p w14:paraId="45304E2D" w14:textId="0EED9351" w:rsidR="00287FCB" w:rsidRPr="00FA4E3B" w:rsidRDefault="00287FCB" w:rsidP="00BA2200">
            <w:pPr>
              <w:widowControl w:val="0"/>
              <w:rPr>
                <w:bCs/>
              </w:rPr>
            </w:pPr>
            <w:r w:rsidRPr="00FA4E3B">
              <w:rPr>
                <w:bCs/>
              </w:rPr>
              <w:t>Contract end date (</w:t>
            </w:r>
            <w:r w:rsidRPr="00FA4E3B">
              <w:rPr>
                <w:bCs/>
                <w:i/>
              </w:rPr>
              <w:t>estimate only</w:t>
            </w:r>
            <w:r w:rsidRPr="00FA4E3B">
              <w:rPr>
                <w:bCs/>
              </w:rPr>
              <w:t>)</w:t>
            </w:r>
          </w:p>
        </w:tc>
        <w:tc>
          <w:tcPr>
            <w:tcW w:w="3192" w:type="dxa"/>
            <w:vAlign w:val="center"/>
          </w:tcPr>
          <w:p w14:paraId="6933E558" w14:textId="4A3A6701" w:rsidR="00287FCB" w:rsidRPr="00FA4E3B" w:rsidRDefault="00287FCB" w:rsidP="00BA2200">
            <w:pPr>
              <w:widowControl w:val="0"/>
              <w:jc w:val="center"/>
              <w:rPr>
                <w:b/>
                <w:bCs/>
                <w:color w:val="000000"/>
              </w:rPr>
            </w:pPr>
            <w:r>
              <w:rPr>
                <w:bCs/>
                <w:i/>
                <w:color w:val="FF0000"/>
              </w:rPr>
              <w:t>May 31, 202</w:t>
            </w:r>
            <w:r w:rsidR="003A0012">
              <w:rPr>
                <w:bCs/>
                <w:i/>
                <w:color w:val="FF0000"/>
              </w:rPr>
              <w:t>5</w:t>
            </w:r>
          </w:p>
        </w:tc>
      </w:tr>
    </w:tbl>
    <w:p w14:paraId="1AD7E07D" w14:textId="77777777" w:rsidR="00A50B42" w:rsidRDefault="00A50B42" w:rsidP="00A50B42">
      <w:pPr>
        <w:widowControl w:val="0"/>
        <w:ind w:left="1440"/>
        <w:rPr>
          <w:bCs/>
        </w:rPr>
      </w:pPr>
    </w:p>
    <w:p w14:paraId="66CBCFB5"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33EC4AB7" w14:textId="77777777" w:rsidR="002E7965" w:rsidRDefault="002E7965" w:rsidP="002E7965">
      <w:pPr>
        <w:keepNext/>
        <w:ind w:left="720"/>
        <w:rPr>
          <w:b/>
          <w:bCs/>
          <w:color w:val="000000"/>
        </w:rPr>
      </w:pPr>
    </w:p>
    <w:p w14:paraId="0AFB20E8"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5F2A104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77A5EE2F" w14:textId="77777777" w:rsidTr="00BA2200">
        <w:trPr>
          <w:tblHeader/>
          <w:jc w:val="center"/>
        </w:trPr>
        <w:tc>
          <w:tcPr>
            <w:tcW w:w="2294" w:type="dxa"/>
            <w:shd w:val="clear" w:color="auto" w:fill="E6E6E6"/>
            <w:vAlign w:val="center"/>
          </w:tcPr>
          <w:p w14:paraId="6BBECC14" w14:textId="77777777" w:rsidR="002E7965" w:rsidRPr="00D77FEF" w:rsidRDefault="002E7965" w:rsidP="00BA2200">
            <w:pPr>
              <w:widowControl w:val="0"/>
              <w:tabs>
                <w:tab w:val="left" w:pos="6354"/>
              </w:tabs>
              <w:ind w:right="-18"/>
              <w:jc w:val="center"/>
              <w:rPr>
                <w:b/>
                <w:bCs/>
                <w:color w:val="000000"/>
              </w:rPr>
            </w:pPr>
            <w:bookmarkStart w:id="3" w:name="_Hlk161296973"/>
            <w:r>
              <w:rPr>
                <w:b/>
                <w:bCs/>
                <w:color w:val="000000"/>
              </w:rPr>
              <w:lastRenderedPageBreak/>
              <w:t>ATTAC</w:t>
            </w:r>
            <w:r w:rsidR="0090254C">
              <w:rPr>
                <w:b/>
                <w:bCs/>
                <w:color w:val="000000"/>
              </w:rPr>
              <w:t>H</w:t>
            </w:r>
            <w:r>
              <w:rPr>
                <w:b/>
                <w:bCs/>
                <w:color w:val="000000"/>
              </w:rPr>
              <w:t xml:space="preserve">MENT </w:t>
            </w:r>
          </w:p>
        </w:tc>
        <w:tc>
          <w:tcPr>
            <w:tcW w:w="6468" w:type="dxa"/>
            <w:shd w:val="clear" w:color="auto" w:fill="E6E6E6"/>
            <w:vAlign w:val="center"/>
          </w:tcPr>
          <w:p w14:paraId="11A81122"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14:paraId="09383AF4" w14:textId="77777777" w:rsidTr="00BA2200">
        <w:trPr>
          <w:tblHeader/>
          <w:jc w:val="center"/>
        </w:trPr>
        <w:tc>
          <w:tcPr>
            <w:tcW w:w="2294" w:type="dxa"/>
          </w:tcPr>
          <w:p w14:paraId="33AF810E" w14:textId="4BAEF446" w:rsidR="002E7965" w:rsidRPr="00FA4E3B" w:rsidRDefault="002E7965" w:rsidP="00BA2200">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p>
        </w:tc>
        <w:tc>
          <w:tcPr>
            <w:tcW w:w="6468" w:type="dxa"/>
          </w:tcPr>
          <w:p w14:paraId="6EF6B2DA" w14:textId="77777777"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14:paraId="56E3E57F" w14:textId="77777777" w:rsidTr="00BA2200">
        <w:trPr>
          <w:tblHeader/>
          <w:jc w:val="center"/>
        </w:trPr>
        <w:tc>
          <w:tcPr>
            <w:tcW w:w="2294" w:type="dxa"/>
          </w:tcPr>
          <w:p w14:paraId="4D3A4987" w14:textId="442730B1" w:rsidR="002E7965" w:rsidRPr="00FA4E3B" w:rsidRDefault="002E7965" w:rsidP="00BA2200">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287FCB">
              <w:rPr>
                <w:color w:val="000000"/>
              </w:rPr>
              <w:t xml:space="preserve">Judicial Council </w:t>
            </w:r>
            <w:r w:rsidR="00133F5A" w:rsidRPr="00FA4E3B">
              <w:rPr>
                <w:color w:val="000000"/>
              </w:rPr>
              <w:t xml:space="preserve">Standard </w:t>
            </w:r>
            <w:r w:rsidR="004E669D" w:rsidRPr="00FA4E3B">
              <w:rPr>
                <w:color w:val="000000"/>
              </w:rPr>
              <w:t>Terms and Conditions</w:t>
            </w:r>
          </w:p>
        </w:tc>
        <w:tc>
          <w:tcPr>
            <w:tcW w:w="6468" w:type="dxa"/>
          </w:tcPr>
          <w:p w14:paraId="1BBD7031" w14:textId="77777777" w:rsidR="00DE5853" w:rsidRPr="00FF6984" w:rsidRDefault="00DE5853" w:rsidP="00DE5853">
            <w:pPr>
              <w:widowControl w:val="0"/>
              <w:tabs>
                <w:tab w:val="left" w:pos="2178"/>
              </w:tabs>
              <w:jc w:val="both"/>
              <w:rPr>
                <w:rFonts w:asciiTheme="minorHAnsi" w:hAnsiTheme="minorHAnsi" w:cstheme="minorHAnsi"/>
                <w:sz w:val="22"/>
                <w:szCs w:val="22"/>
              </w:rPr>
            </w:pPr>
            <w:r w:rsidRPr="00FF6984">
              <w:rPr>
                <w:rFonts w:asciiTheme="minorHAnsi" w:hAnsiTheme="minorHAnsi" w:cstheme="minorHAnsi"/>
                <w:sz w:val="22"/>
                <w:szCs w:val="22"/>
              </w:rPr>
              <w:t xml:space="preserve">If selected, the person or entity submitting a proposal (the “Proposer”) must sign a JCC agreement containing these terms and conditions (the “Terms and Conditions”). If exceptions are identified or additional provisions proposed, the Proposer </w:t>
            </w:r>
            <w:r w:rsidRPr="008862D9">
              <w:rPr>
                <w:rFonts w:asciiTheme="minorHAnsi" w:hAnsiTheme="minorHAnsi" w:cstheme="minorHAnsi"/>
                <w:b/>
                <w:bCs/>
                <w:sz w:val="22"/>
                <w:szCs w:val="22"/>
                <w:u w:val="single"/>
              </w:rPr>
              <w:t xml:space="preserve">must </w:t>
            </w:r>
            <w:r w:rsidRPr="00FF6984">
              <w:rPr>
                <w:rFonts w:asciiTheme="minorHAnsi" w:hAnsiTheme="minorHAnsi" w:cstheme="minorHAnsi"/>
                <w:sz w:val="22"/>
                <w:szCs w:val="22"/>
              </w:rPr>
              <w:t xml:space="preserve">also submit a redlined version of the Terms and Conditions (in Microsoft Word format) that clearly identifies all proposed changes and provides a written explanation or rationale for each proposed change.   </w:t>
            </w:r>
          </w:p>
          <w:p w14:paraId="4D85C338" w14:textId="77777777" w:rsidR="00DE5853" w:rsidRPr="00FF6984" w:rsidRDefault="00DE5853" w:rsidP="00DE5853">
            <w:pPr>
              <w:widowControl w:val="0"/>
              <w:tabs>
                <w:tab w:val="left" w:pos="2178"/>
              </w:tabs>
              <w:jc w:val="both"/>
              <w:rPr>
                <w:rFonts w:asciiTheme="minorHAnsi" w:hAnsiTheme="minorHAnsi" w:cstheme="minorHAnsi"/>
                <w:b/>
                <w:bCs/>
                <w:sz w:val="22"/>
                <w:szCs w:val="22"/>
                <w:highlight w:val="yellow"/>
              </w:rPr>
            </w:pPr>
          </w:p>
          <w:p w14:paraId="1F9F16C2" w14:textId="77777777" w:rsidR="00DE5853" w:rsidRPr="00FF6984" w:rsidRDefault="00DE5853" w:rsidP="00DE5853">
            <w:pPr>
              <w:widowControl w:val="0"/>
              <w:tabs>
                <w:tab w:val="left" w:pos="2178"/>
              </w:tabs>
              <w:jc w:val="both"/>
              <w:rPr>
                <w:rFonts w:asciiTheme="minorHAnsi" w:hAnsiTheme="minorHAnsi" w:cstheme="minorHAnsi"/>
                <w:sz w:val="22"/>
                <w:szCs w:val="22"/>
              </w:rPr>
            </w:pPr>
            <w:r w:rsidRPr="00FF6984">
              <w:rPr>
                <w:rFonts w:asciiTheme="minorHAnsi" w:hAnsiTheme="minorHAnsi" w:cstheme="minorHAnsi"/>
                <w:sz w:val="22"/>
                <w:szCs w:val="22"/>
              </w:rPr>
              <w:t>Notwithstanding any other provision in this RFP, the JCC reserves the right at its discretion to negotiate any or all items with individual Proposers, including the right to propose or require additional terms and conditions for the agreement prior to agreement execution.</w:t>
            </w:r>
          </w:p>
          <w:p w14:paraId="0262D2CD" w14:textId="77777777" w:rsidR="004E669D" w:rsidRPr="00FA4E3B" w:rsidRDefault="004E669D" w:rsidP="00BA2200">
            <w:pPr>
              <w:widowControl w:val="0"/>
              <w:tabs>
                <w:tab w:val="left" w:pos="2178"/>
              </w:tabs>
              <w:rPr>
                <w:color w:val="000000"/>
              </w:rPr>
            </w:pPr>
          </w:p>
          <w:p w14:paraId="6ECD5933" w14:textId="77777777" w:rsidR="002E7965" w:rsidRPr="00FA4E3B" w:rsidRDefault="002E7965" w:rsidP="006745CB">
            <w:pPr>
              <w:widowControl w:val="0"/>
              <w:tabs>
                <w:tab w:val="left" w:pos="2178"/>
              </w:tabs>
              <w:rPr>
                <w:b/>
                <w:bCs/>
                <w:color w:val="000000"/>
              </w:rPr>
            </w:pPr>
          </w:p>
        </w:tc>
      </w:tr>
      <w:tr w:rsidR="004E669D" w:rsidRPr="003B7ABC" w14:paraId="1CAFC1C2" w14:textId="77777777" w:rsidTr="00BA2200">
        <w:trPr>
          <w:tblHeader/>
          <w:jc w:val="center"/>
        </w:trPr>
        <w:tc>
          <w:tcPr>
            <w:tcW w:w="2294" w:type="dxa"/>
          </w:tcPr>
          <w:p w14:paraId="7FE82F98" w14:textId="247BC393" w:rsidR="004E669D" w:rsidRPr="00FA4E3B" w:rsidRDefault="004E669D" w:rsidP="00BA2200">
            <w:pPr>
              <w:widowControl w:val="0"/>
              <w:rPr>
                <w:bCs/>
              </w:rPr>
            </w:pPr>
            <w:r w:rsidRPr="00FA4E3B">
              <w:rPr>
                <w:bCs/>
                <w:color w:val="000000" w:themeColor="text1"/>
              </w:rPr>
              <w:t xml:space="preserve">Attachment </w:t>
            </w:r>
            <w:r w:rsidRPr="00FA4E3B">
              <w:rPr>
                <w:color w:val="000000"/>
              </w:rPr>
              <w:t>3: Proposer’s Acceptance</w:t>
            </w:r>
            <w:r w:rsidR="003A0012">
              <w:rPr>
                <w:color w:val="000000"/>
              </w:rPr>
              <w:t xml:space="preserve"> </w:t>
            </w:r>
            <w:r w:rsidRPr="00FA4E3B">
              <w:rPr>
                <w:color w:val="000000"/>
              </w:rPr>
              <w:t>of Terms and Conditions</w:t>
            </w:r>
          </w:p>
        </w:tc>
        <w:tc>
          <w:tcPr>
            <w:tcW w:w="6468" w:type="dxa"/>
          </w:tcPr>
          <w:p w14:paraId="0976E118" w14:textId="77777777" w:rsidR="004E669D" w:rsidRPr="00FA4E3B" w:rsidRDefault="005946B6" w:rsidP="00BA2200">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14:paraId="30A60766" w14:textId="77777777" w:rsidR="004E669D" w:rsidRPr="00FA4E3B" w:rsidRDefault="004E669D" w:rsidP="00BA2200">
            <w:pPr>
              <w:widowControl w:val="0"/>
              <w:tabs>
                <w:tab w:val="left" w:pos="2178"/>
              </w:tabs>
              <w:rPr>
                <w:color w:val="000000"/>
              </w:rPr>
            </w:pPr>
          </w:p>
          <w:p w14:paraId="6C7697F0" w14:textId="57DC7474" w:rsidR="00AD4A4D" w:rsidRPr="00FA4E3B" w:rsidRDefault="00AD4A4D" w:rsidP="00AD4A4D">
            <w:pPr>
              <w:widowControl w:val="0"/>
              <w:tabs>
                <w:tab w:val="left" w:pos="2178"/>
              </w:tabs>
              <w:rPr>
                <w:b/>
                <w:bCs/>
                <w:color w:val="000000"/>
              </w:rPr>
            </w:pPr>
          </w:p>
        </w:tc>
      </w:tr>
      <w:tr w:rsidR="009C347A" w:rsidRPr="003B7ABC" w14:paraId="6C7F546D" w14:textId="77777777" w:rsidTr="00BA2200">
        <w:trPr>
          <w:tblHeader/>
          <w:jc w:val="center"/>
        </w:trPr>
        <w:tc>
          <w:tcPr>
            <w:tcW w:w="2294" w:type="dxa"/>
          </w:tcPr>
          <w:p w14:paraId="1DA8F4CA" w14:textId="77777777" w:rsidR="009C347A" w:rsidRPr="00FA4E3B" w:rsidRDefault="009C347A" w:rsidP="00BA2200">
            <w:pPr>
              <w:widowControl w:val="0"/>
              <w:rPr>
                <w:bCs/>
                <w:color w:val="000000" w:themeColor="text1"/>
              </w:rPr>
            </w:pPr>
            <w:r>
              <w:rPr>
                <w:bCs/>
                <w:color w:val="000000" w:themeColor="text1"/>
              </w:rPr>
              <w:t>Attachment 4: General Certifications Form</w:t>
            </w:r>
          </w:p>
        </w:tc>
        <w:tc>
          <w:tcPr>
            <w:tcW w:w="6468" w:type="dxa"/>
          </w:tcPr>
          <w:p w14:paraId="75C39D88" w14:textId="77777777"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9C347A" w:rsidRPr="003B7ABC" w14:paraId="4C94BE77" w14:textId="77777777" w:rsidTr="00BA2200">
        <w:trPr>
          <w:tblHeader/>
          <w:jc w:val="center"/>
        </w:trPr>
        <w:tc>
          <w:tcPr>
            <w:tcW w:w="2294" w:type="dxa"/>
          </w:tcPr>
          <w:p w14:paraId="6BD6DAB2" w14:textId="77777777" w:rsidR="009C347A" w:rsidRPr="00FA4E3B" w:rsidRDefault="009C347A" w:rsidP="00933BB3">
            <w:pPr>
              <w:widowControl w:val="0"/>
              <w:rPr>
                <w:bCs/>
                <w:color w:val="000000" w:themeColor="text1"/>
              </w:rPr>
            </w:pPr>
            <w:r>
              <w:rPr>
                <w:bCs/>
                <w:color w:val="000000" w:themeColor="text1"/>
              </w:rPr>
              <w:t>Attachment 5: Small Business Declaration</w:t>
            </w:r>
          </w:p>
        </w:tc>
        <w:tc>
          <w:tcPr>
            <w:tcW w:w="6468" w:type="dxa"/>
          </w:tcPr>
          <w:p w14:paraId="2C90DDAB" w14:textId="77777777" w:rsidR="009C347A" w:rsidRPr="00FA4E3B" w:rsidRDefault="0090254C" w:rsidP="00BA2200">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only if it wishes to claim the small business preference associated with this solicitation.  </w:t>
            </w:r>
          </w:p>
        </w:tc>
      </w:tr>
      <w:tr w:rsidR="00115648" w:rsidRPr="003B7ABC" w14:paraId="65507F5A" w14:textId="77777777" w:rsidTr="00BA2200">
        <w:trPr>
          <w:tblHeader/>
          <w:jc w:val="center"/>
        </w:trPr>
        <w:tc>
          <w:tcPr>
            <w:tcW w:w="2294" w:type="dxa"/>
          </w:tcPr>
          <w:p w14:paraId="08481CDC" w14:textId="52AAFF49" w:rsidR="00115648" w:rsidRPr="00FA4E3B" w:rsidRDefault="00115648" w:rsidP="00BA2200">
            <w:pPr>
              <w:widowControl w:val="0"/>
              <w:rPr>
                <w:bCs/>
              </w:rPr>
            </w:pPr>
            <w:r>
              <w:rPr>
                <w:bCs/>
              </w:rPr>
              <w:t>Attachment 6: Non-Disclosure Agreement</w:t>
            </w:r>
          </w:p>
        </w:tc>
        <w:tc>
          <w:tcPr>
            <w:tcW w:w="6468" w:type="dxa"/>
          </w:tcPr>
          <w:p w14:paraId="5187E45C" w14:textId="285A3BA0" w:rsidR="00115648" w:rsidRPr="00FA4E3B" w:rsidRDefault="00115648" w:rsidP="00BA2200">
            <w:pPr>
              <w:widowControl w:val="0"/>
              <w:rPr>
                <w:bCs/>
              </w:rPr>
            </w:pPr>
            <w:r>
              <w:rPr>
                <w:bCs/>
              </w:rPr>
              <w:t>The Proposer must complete and return this form with its proposal</w:t>
            </w:r>
          </w:p>
        </w:tc>
      </w:tr>
      <w:tr w:rsidR="009C347A" w:rsidRPr="003B7ABC" w14:paraId="00446E3F" w14:textId="77777777" w:rsidTr="00BA2200">
        <w:trPr>
          <w:tblHeader/>
          <w:jc w:val="center"/>
        </w:trPr>
        <w:tc>
          <w:tcPr>
            <w:tcW w:w="2294" w:type="dxa"/>
          </w:tcPr>
          <w:p w14:paraId="015BB0CD" w14:textId="0226EEFB" w:rsidR="009C347A" w:rsidRPr="00FA4E3B" w:rsidRDefault="009C347A" w:rsidP="00BA2200">
            <w:pPr>
              <w:widowControl w:val="0"/>
              <w:rPr>
                <w:bCs/>
              </w:rPr>
            </w:pPr>
            <w:r w:rsidRPr="00FA4E3B">
              <w:rPr>
                <w:bCs/>
              </w:rPr>
              <w:t>Payee Data Record Form</w:t>
            </w:r>
            <w:r w:rsidR="003A0012">
              <w:rPr>
                <w:bCs/>
              </w:rPr>
              <w:t xml:space="preserve"> (STD 204) at: </w:t>
            </w:r>
            <w:hyperlink r:id="rId12" w:history="1">
              <w:r w:rsidR="003A0012" w:rsidRPr="003A0012">
                <w:rPr>
                  <w:color w:val="0000FF"/>
                  <w:u w:val="single"/>
                </w:rPr>
                <w:t>STD 204 - Payee Data Record (ca.gov)</w:t>
              </w:r>
            </w:hyperlink>
          </w:p>
        </w:tc>
        <w:tc>
          <w:tcPr>
            <w:tcW w:w="6468" w:type="dxa"/>
          </w:tcPr>
          <w:p w14:paraId="359A6C95" w14:textId="77777777" w:rsidR="009C347A" w:rsidRPr="00FA4E3B" w:rsidRDefault="009C347A" w:rsidP="00BA2200">
            <w:pPr>
              <w:widowControl w:val="0"/>
            </w:pPr>
            <w:r w:rsidRPr="00FA4E3B">
              <w:rPr>
                <w:bCs/>
              </w:rPr>
              <w:t xml:space="preserve">This form contains information the </w:t>
            </w:r>
            <w:r>
              <w:rPr>
                <w:bCs/>
              </w:rPr>
              <w:t>JBE</w:t>
            </w:r>
            <w:r w:rsidRPr="00FA4E3B">
              <w:rPr>
                <w:bCs/>
              </w:rPr>
              <w:t xml:space="preserve"> requires </w:t>
            </w:r>
            <w:proofErr w:type="gramStart"/>
            <w:r w:rsidRPr="00FA4E3B">
              <w:rPr>
                <w:bCs/>
              </w:rPr>
              <w:t>in order to</w:t>
            </w:r>
            <w:proofErr w:type="gramEnd"/>
            <w:r w:rsidRPr="00FA4E3B">
              <w:rPr>
                <w:bCs/>
              </w:rPr>
              <w:t xml:space="preserve"> process payments and must be submitted with the proposal.</w:t>
            </w:r>
          </w:p>
        </w:tc>
      </w:tr>
      <w:tr w:rsidR="003A0012" w:rsidRPr="003B7ABC" w14:paraId="41E529DD" w14:textId="77777777" w:rsidTr="00BA2200">
        <w:trPr>
          <w:tblHeader/>
          <w:jc w:val="center"/>
        </w:trPr>
        <w:tc>
          <w:tcPr>
            <w:tcW w:w="2294" w:type="dxa"/>
          </w:tcPr>
          <w:p w14:paraId="5E44D907" w14:textId="2371B0A8" w:rsidR="003A0012" w:rsidRDefault="003A0012" w:rsidP="00BA2200">
            <w:pPr>
              <w:widowControl w:val="0"/>
              <w:rPr>
                <w:bCs/>
              </w:rPr>
            </w:pPr>
            <w:r w:rsidRPr="00FA4E3B">
              <w:rPr>
                <w:bCs/>
              </w:rPr>
              <w:t>Payee Data Record Form</w:t>
            </w:r>
            <w:r>
              <w:rPr>
                <w:bCs/>
              </w:rPr>
              <w:t xml:space="preserve"> (STD 205) at: </w:t>
            </w:r>
            <w:hyperlink r:id="rId13" w:history="1">
              <w:r w:rsidR="00E454C8" w:rsidRPr="00E454C8">
                <w:t xml:space="preserve"> </w:t>
              </w:r>
              <w:hyperlink r:id="rId14" w:history="1">
                <w:r w:rsidR="00E454C8" w:rsidRPr="00E454C8">
                  <w:rPr>
                    <w:color w:val="0000FF"/>
                    <w:u w:val="single"/>
                  </w:rPr>
                  <w:t>STD 205 - Payee Data Record Supplement (ca.gov)</w:t>
                </w:r>
              </w:hyperlink>
              <w:r w:rsidRPr="003A0012">
                <w:rPr>
                  <w:color w:val="0000FF"/>
                  <w:u w:val="single"/>
                </w:rPr>
                <w:t>)</w:t>
              </w:r>
            </w:hyperlink>
          </w:p>
        </w:tc>
        <w:tc>
          <w:tcPr>
            <w:tcW w:w="6468" w:type="dxa"/>
          </w:tcPr>
          <w:p w14:paraId="1246D1A4" w14:textId="6DCC0D22" w:rsidR="003A0012" w:rsidRDefault="003A0012" w:rsidP="00BA2200">
            <w:pPr>
              <w:widowControl w:val="0"/>
              <w:rPr>
                <w:bCs/>
              </w:rPr>
            </w:pPr>
            <w:r>
              <w:t>This form is optional. This form is used to provide remittance address information if different than the mailing address on the STD 204 – Payee Data Record. Use this form to provide additional remittance addresses and additional Authorized Representatives of the Payee not identified on STD 204.</w:t>
            </w:r>
          </w:p>
        </w:tc>
      </w:tr>
      <w:tr w:rsidR="009C347A" w:rsidRPr="003B7ABC" w14:paraId="65C840A8" w14:textId="77777777" w:rsidTr="00BA2200">
        <w:trPr>
          <w:tblHeader/>
          <w:jc w:val="center"/>
        </w:trPr>
        <w:tc>
          <w:tcPr>
            <w:tcW w:w="2294" w:type="dxa"/>
          </w:tcPr>
          <w:p w14:paraId="5C4604DB" w14:textId="1DA66620" w:rsidR="009C347A" w:rsidRPr="00FA4E3B" w:rsidRDefault="00DE5853" w:rsidP="00BA2200">
            <w:pPr>
              <w:widowControl w:val="0"/>
              <w:rPr>
                <w:bCs/>
              </w:rPr>
            </w:pPr>
            <w:r>
              <w:rPr>
                <w:bCs/>
              </w:rPr>
              <w:t xml:space="preserve">Attachment </w:t>
            </w:r>
            <w:r w:rsidR="00115648">
              <w:rPr>
                <w:bCs/>
              </w:rPr>
              <w:t>7</w:t>
            </w:r>
            <w:r>
              <w:rPr>
                <w:bCs/>
              </w:rPr>
              <w:t>: Iran Contracting Act Certification</w:t>
            </w:r>
          </w:p>
        </w:tc>
        <w:tc>
          <w:tcPr>
            <w:tcW w:w="6468" w:type="dxa"/>
          </w:tcPr>
          <w:p w14:paraId="05353894" w14:textId="5E357B8D" w:rsidR="009C347A" w:rsidRPr="00FA4E3B" w:rsidRDefault="00DE5853" w:rsidP="00BA2200">
            <w:pPr>
              <w:widowControl w:val="0"/>
              <w:rPr>
                <w:bCs/>
              </w:rPr>
            </w:pPr>
            <w:r>
              <w:rPr>
                <w:bCs/>
              </w:rPr>
              <w:t xml:space="preserve">The Proposer must complete the Iran Contracting Act Certification and submit the completed certification with its proposal. </w:t>
            </w:r>
          </w:p>
        </w:tc>
      </w:tr>
      <w:tr w:rsidR="003150DE" w:rsidRPr="003B7ABC" w14:paraId="1C6BCDE3" w14:textId="77777777" w:rsidTr="00BA2200">
        <w:trPr>
          <w:tblHeader/>
          <w:jc w:val="center"/>
        </w:trPr>
        <w:tc>
          <w:tcPr>
            <w:tcW w:w="2294" w:type="dxa"/>
          </w:tcPr>
          <w:p w14:paraId="4E656464" w14:textId="24BCAA50" w:rsidR="003150DE" w:rsidRPr="00FA4E3B" w:rsidRDefault="003150DE" w:rsidP="003150DE">
            <w:pPr>
              <w:widowControl w:val="0"/>
              <w:rPr>
                <w:b/>
                <w:i/>
                <w:color w:val="FF0000"/>
              </w:rPr>
            </w:pPr>
            <w:r w:rsidRPr="009E716F">
              <w:rPr>
                <w:bCs/>
              </w:rPr>
              <w:lastRenderedPageBreak/>
              <w:t xml:space="preserve">Attachment </w:t>
            </w:r>
            <w:r w:rsidR="00115648">
              <w:rPr>
                <w:bCs/>
              </w:rPr>
              <w:t>8</w:t>
            </w:r>
            <w:r>
              <w:rPr>
                <w:bCs/>
              </w:rPr>
              <w:t>:</w:t>
            </w:r>
            <w:r w:rsidRPr="009E716F">
              <w:rPr>
                <w:bCs/>
              </w:rPr>
              <w:t xml:space="preserve"> </w:t>
            </w:r>
            <w:r>
              <w:rPr>
                <w:bCs/>
              </w:rPr>
              <w:t>Unruh and FEHA</w:t>
            </w:r>
            <w:r w:rsidRPr="009E716F">
              <w:rPr>
                <w:bCs/>
              </w:rPr>
              <w:t xml:space="preserve"> Certification</w:t>
            </w:r>
          </w:p>
        </w:tc>
        <w:tc>
          <w:tcPr>
            <w:tcW w:w="6468" w:type="dxa"/>
          </w:tcPr>
          <w:p w14:paraId="22C937BB" w14:textId="47C37E4E" w:rsidR="003150DE" w:rsidRDefault="000F305B" w:rsidP="00BA2200">
            <w:pPr>
              <w:widowControl w:val="0"/>
            </w:pPr>
            <w:r>
              <w:t>The Proposer</w:t>
            </w:r>
            <w:r w:rsidR="003150DE" w:rsidRPr="003150DE">
              <w:t xml:space="preserve"> must complete the Unruh Civil Rights Act and California Fair Employment and Housing Act Certification.</w:t>
            </w:r>
          </w:p>
        </w:tc>
      </w:tr>
      <w:tr w:rsidR="00A018A8" w:rsidRPr="003B7ABC" w14:paraId="404116A3" w14:textId="77777777" w:rsidTr="00BA2200">
        <w:trPr>
          <w:tblHeader/>
          <w:jc w:val="center"/>
        </w:trPr>
        <w:tc>
          <w:tcPr>
            <w:tcW w:w="2294" w:type="dxa"/>
          </w:tcPr>
          <w:p w14:paraId="7B0F9405" w14:textId="6ECEB171" w:rsidR="00A018A8" w:rsidRDefault="00A018A8" w:rsidP="00A018A8">
            <w:pPr>
              <w:widowControl w:val="0"/>
              <w:rPr>
                <w:bCs/>
                <w:color w:val="000000" w:themeColor="text1"/>
              </w:rPr>
            </w:pPr>
            <w:r>
              <w:rPr>
                <w:bCs/>
                <w:color w:val="000000" w:themeColor="text1"/>
              </w:rPr>
              <w:t xml:space="preserve">Attachment </w:t>
            </w:r>
            <w:r w:rsidR="00115648">
              <w:rPr>
                <w:bCs/>
                <w:color w:val="000000" w:themeColor="text1"/>
              </w:rPr>
              <w:t>9</w:t>
            </w:r>
            <w:r>
              <w:rPr>
                <w:bCs/>
                <w:color w:val="000000" w:themeColor="text1"/>
              </w:rPr>
              <w:t>:</w:t>
            </w:r>
          </w:p>
          <w:p w14:paraId="38EFF45A" w14:textId="1FAE8FA3" w:rsidR="00A018A8" w:rsidRDefault="00A018A8" w:rsidP="00A018A8">
            <w:pPr>
              <w:widowControl w:val="0"/>
              <w:rPr>
                <w:b/>
                <w:i/>
                <w:color w:val="FF0000"/>
              </w:rPr>
            </w:pPr>
            <w:r w:rsidRPr="00A00C4E">
              <w:rPr>
                <w:bCs/>
              </w:rPr>
              <w:t>Darfur Contracting Act Certification</w:t>
            </w:r>
          </w:p>
        </w:tc>
        <w:tc>
          <w:tcPr>
            <w:tcW w:w="6468" w:type="dxa"/>
          </w:tcPr>
          <w:p w14:paraId="687DE182" w14:textId="64C07C70" w:rsidR="00A018A8" w:rsidRDefault="00A018A8" w:rsidP="00BA2200">
            <w:pPr>
              <w:widowControl w:val="0"/>
            </w:pPr>
            <w:r>
              <w:t xml:space="preserve">The </w:t>
            </w:r>
            <w:r w:rsidRPr="00A00C4E">
              <w:t>Proposer must complete the Darfur Contracting Act Certification and submit the completed certification with its proposal.</w:t>
            </w:r>
          </w:p>
        </w:tc>
      </w:tr>
      <w:tr w:rsidR="00DE5853" w:rsidRPr="003B7ABC" w14:paraId="0B8B3766" w14:textId="77777777" w:rsidTr="00BA2200">
        <w:trPr>
          <w:tblHeader/>
          <w:jc w:val="center"/>
        </w:trPr>
        <w:tc>
          <w:tcPr>
            <w:tcW w:w="2294" w:type="dxa"/>
          </w:tcPr>
          <w:p w14:paraId="5B34D934" w14:textId="4F47347F" w:rsidR="00DE5853" w:rsidRDefault="00DE5853" w:rsidP="00A018A8">
            <w:pPr>
              <w:widowControl w:val="0"/>
              <w:rPr>
                <w:bCs/>
                <w:color w:val="000000" w:themeColor="text1"/>
              </w:rPr>
            </w:pPr>
            <w:r>
              <w:rPr>
                <w:bCs/>
                <w:color w:val="000000" w:themeColor="text1"/>
              </w:rPr>
              <w:t xml:space="preserve">Attachment </w:t>
            </w:r>
            <w:r w:rsidR="00115648">
              <w:rPr>
                <w:bCs/>
                <w:color w:val="000000" w:themeColor="text1"/>
              </w:rPr>
              <w:t>10</w:t>
            </w:r>
            <w:r>
              <w:rPr>
                <w:bCs/>
                <w:color w:val="000000" w:themeColor="text1"/>
              </w:rPr>
              <w:t>: DVBE Declaration</w:t>
            </w:r>
          </w:p>
        </w:tc>
        <w:tc>
          <w:tcPr>
            <w:tcW w:w="6468" w:type="dxa"/>
          </w:tcPr>
          <w:p w14:paraId="157D8605" w14:textId="334ADB9B" w:rsidR="00DE5853" w:rsidRDefault="00DE5853" w:rsidP="00BA2200">
            <w:pPr>
              <w:widowControl w:val="0"/>
            </w:pPr>
            <w:r>
              <w:t xml:space="preserve">The Proposer must complete the DVBE Declaration form only if the Proposer is a DVBE. </w:t>
            </w:r>
          </w:p>
        </w:tc>
      </w:tr>
      <w:tr w:rsidR="00DE5853" w:rsidRPr="003B7ABC" w14:paraId="123B7ED8" w14:textId="77777777" w:rsidTr="00BA2200">
        <w:trPr>
          <w:tblHeader/>
          <w:jc w:val="center"/>
        </w:trPr>
        <w:tc>
          <w:tcPr>
            <w:tcW w:w="2294" w:type="dxa"/>
          </w:tcPr>
          <w:p w14:paraId="5D3FCE36" w14:textId="79B5D8A1" w:rsidR="00DE5853" w:rsidRDefault="00DE5853" w:rsidP="00A018A8">
            <w:pPr>
              <w:widowControl w:val="0"/>
              <w:rPr>
                <w:bCs/>
                <w:color w:val="000000" w:themeColor="text1"/>
              </w:rPr>
            </w:pPr>
            <w:r>
              <w:rPr>
                <w:bCs/>
                <w:color w:val="000000" w:themeColor="text1"/>
              </w:rPr>
              <w:t xml:space="preserve">Attachment </w:t>
            </w:r>
            <w:r w:rsidR="003079DF">
              <w:rPr>
                <w:bCs/>
                <w:color w:val="000000" w:themeColor="text1"/>
              </w:rPr>
              <w:t>1</w:t>
            </w:r>
            <w:r w:rsidR="00115648">
              <w:rPr>
                <w:bCs/>
                <w:color w:val="000000" w:themeColor="text1"/>
              </w:rPr>
              <w:t>1</w:t>
            </w:r>
            <w:r>
              <w:rPr>
                <w:bCs/>
                <w:color w:val="000000" w:themeColor="text1"/>
              </w:rPr>
              <w:t>: Bidder’s Declaration</w:t>
            </w:r>
          </w:p>
        </w:tc>
        <w:tc>
          <w:tcPr>
            <w:tcW w:w="6468" w:type="dxa"/>
          </w:tcPr>
          <w:p w14:paraId="73D6CB20" w14:textId="13519B58" w:rsidR="00DE5853" w:rsidRDefault="00DE5853" w:rsidP="00BA2200">
            <w:pPr>
              <w:widowControl w:val="0"/>
            </w:pPr>
            <w:r>
              <w:t xml:space="preserve">The Proposer must complete this form if it wishes to claim the DVBE incentive associated with this solicitation. </w:t>
            </w:r>
          </w:p>
        </w:tc>
      </w:tr>
      <w:bookmarkEnd w:id="3"/>
    </w:tbl>
    <w:p w14:paraId="6EC645D8" w14:textId="77777777" w:rsidR="00A50B42" w:rsidRDefault="00A50B42" w:rsidP="00A50B42">
      <w:pPr>
        <w:pStyle w:val="ListParagraph"/>
      </w:pPr>
    </w:p>
    <w:p w14:paraId="47725B24" w14:textId="77777777" w:rsidR="00327CD5" w:rsidRDefault="00327CD5" w:rsidP="00327CD5">
      <w:pPr>
        <w:keepNext/>
        <w:ind w:left="720" w:hanging="720"/>
        <w:rPr>
          <w:b/>
          <w:bCs/>
        </w:rPr>
      </w:pPr>
      <w:r>
        <w:rPr>
          <w:b/>
          <w:bCs/>
        </w:rPr>
        <w:t>5</w:t>
      </w:r>
      <w:r w:rsidRPr="005E0EE1">
        <w:rPr>
          <w:b/>
          <w:bCs/>
        </w:rPr>
        <w:t>.0</w:t>
      </w:r>
      <w:r w:rsidRPr="005E0EE1">
        <w:rPr>
          <w:b/>
          <w:bCs/>
        </w:rPr>
        <w:tab/>
      </w:r>
      <w:r>
        <w:rPr>
          <w:b/>
          <w:bCs/>
        </w:rPr>
        <w:t>PAYMENT INFORMATION</w:t>
      </w:r>
    </w:p>
    <w:p w14:paraId="091F4EAC" w14:textId="77777777" w:rsidR="00327CD5" w:rsidRDefault="00327CD5" w:rsidP="00327CD5">
      <w:pPr>
        <w:keepNext/>
        <w:ind w:left="720" w:hanging="720"/>
        <w:rPr>
          <w:b/>
          <w:bCs/>
        </w:rPr>
      </w:pPr>
    </w:p>
    <w:p w14:paraId="31E4B82E" w14:textId="013C212D" w:rsidR="00F63784" w:rsidRPr="008862D9" w:rsidRDefault="00F63784" w:rsidP="00F63784">
      <w:pPr>
        <w:pStyle w:val="ListParagraph"/>
        <w:widowControl w:val="0"/>
        <w:tabs>
          <w:tab w:val="left" w:pos="10080"/>
        </w:tabs>
        <w:autoSpaceDE w:val="0"/>
        <w:autoSpaceDN w:val="0"/>
        <w:adjustRightInd w:val="0"/>
        <w:ind w:left="1440" w:right="144" w:hanging="720"/>
        <w:jc w:val="both"/>
        <w:rPr>
          <w:rFonts w:asciiTheme="minorHAnsi" w:hAnsiTheme="minorHAnsi" w:cstheme="minorHAnsi"/>
          <w:bCs/>
        </w:rPr>
      </w:pPr>
      <w:r>
        <w:rPr>
          <w:rFonts w:asciiTheme="minorHAnsi" w:hAnsiTheme="minorHAnsi" w:cstheme="minorHAnsi"/>
          <w:bCs/>
        </w:rPr>
        <w:t>5</w:t>
      </w:r>
      <w:r w:rsidR="00CA469C" w:rsidRPr="007636A7">
        <w:rPr>
          <w:rFonts w:asciiTheme="minorHAnsi" w:hAnsiTheme="minorHAnsi" w:cstheme="minorHAnsi"/>
          <w:bCs/>
        </w:rPr>
        <w:t>.1</w:t>
      </w:r>
      <w:r w:rsidR="00CA469C" w:rsidRPr="007636A7">
        <w:rPr>
          <w:rFonts w:asciiTheme="minorHAnsi" w:hAnsiTheme="minorHAnsi" w:cstheme="minorHAnsi"/>
          <w:bCs/>
        </w:rPr>
        <w:tab/>
      </w:r>
      <w:r w:rsidR="00CA469C">
        <w:rPr>
          <w:rFonts w:asciiTheme="minorHAnsi" w:hAnsiTheme="minorHAnsi" w:cstheme="minorHAnsi"/>
          <w:bCs/>
        </w:rPr>
        <w:t xml:space="preserve">See </w:t>
      </w:r>
      <w:r w:rsidR="00CA469C" w:rsidRPr="00CB0256">
        <w:rPr>
          <w:rFonts w:asciiTheme="minorHAnsi" w:hAnsiTheme="minorHAnsi" w:cstheme="minorHAnsi"/>
          <w:bCs/>
        </w:rPr>
        <w:t>Attachment 2, Judicial Council Standard Terms &amp; Conditions, Appendix B, Pricing and Payment.</w:t>
      </w:r>
    </w:p>
    <w:p w14:paraId="7FE95F72" w14:textId="77777777" w:rsidR="00CA469C" w:rsidRPr="007636A7" w:rsidRDefault="00CA469C" w:rsidP="00CA469C">
      <w:pPr>
        <w:pStyle w:val="ListParagraph"/>
        <w:widowControl w:val="0"/>
        <w:tabs>
          <w:tab w:val="left" w:pos="10080"/>
        </w:tabs>
        <w:autoSpaceDE w:val="0"/>
        <w:autoSpaceDN w:val="0"/>
        <w:adjustRightInd w:val="0"/>
        <w:ind w:left="1440" w:right="144" w:hanging="720"/>
        <w:jc w:val="both"/>
        <w:rPr>
          <w:rFonts w:asciiTheme="minorHAnsi" w:hAnsiTheme="minorHAnsi" w:cstheme="minorHAnsi"/>
          <w:bCs/>
        </w:rPr>
      </w:pPr>
    </w:p>
    <w:p w14:paraId="36FFA5CE" w14:textId="7AC8F2E6" w:rsidR="00CA469C" w:rsidRDefault="00CA469C" w:rsidP="008862D9">
      <w:pPr>
        <w:pStyle w:val="Style1"/>
        <w:numPr>
          <w:ilvl w:val="1"/>
          <w:numId w:val="20"/>
        </w:numPr>
        <w:tabs>
          <w:tab w:val="left" w:pos="10080"/>
        </w:tabs>
        <w:ind w:left="1440" w:right="144" w:hanging="720"/>
        <w:jc w:val="both"/>
        <w:rPr>
          <w:b w:val="0"/>
        </w:rPr>
      </w:pPr>
      <w:r>
        <w:rPr>
          <w:b w:val="0"/>
        </w:rPr>
        <w:t>Contractor shall submit invoices upon satisfactory completion of Services.</w:t>
      </w:r>
    </w:p>
    <w:p w14:paraId="0888A063" w14:textId="77777777" w:rsidR="00CA469C" w:rsidRDefault="00CA469C" w:rsidP="00CA469C">
      <w:pPr>
        <w:pStyle w:val="Style1"/>
        <w:numPr>
          <w:ilvl w:val="0"/>
          <w:numId w:val="0"/>
        </w:numPr>
        <w:tabs>
          <w:tab w:val="left" w:pos="10080"/>
        </w:tabs>
        <w:ind w:left="1440" w:right="144"/>
        <w:jc w:val="both"/>
        <w:rPr>
          <w:b w:val="0"/>
        </w:rPr>
      </w:pPr>
    </w:p>
    <w:p w14:paraId="7C7DB38D" w14:textId="04A49235" w:rsidR="00CA469C" w:rsidRDefault="00CA469C" w:rsidP="008862D9">
      <w:pPr>
        <w:pStyle w:val="Style1"/>
        <w:numPr>
          <w:ilvl w:val="1"/>
          <w:numId w:val="20"/>
        </w:numPr>
        <w:tabs>
          <w:tab w:val="left" w:pos="10080"/>
        </w:tabs>
        <w:ind w:left="1440" w:right="144" w:hanging="720"/>
        <w:jc w:val="both"/>
        <w:rPr>
          <w:b w:val="0"/>
        </w:rPr>
      </w:pPr>
      <w:r>
        <w:rPr>
          <w:b w:val="0"/>
        </w:rPr>
        <w:t>Payment term is Net 60 from date of acceptance of services rendered and receipt of invoice.</w:t>
      </w:r>
    </w:p>
    <w:p w14:paraId="13CD0733" w14:textId="77777777" w:rsidR="00327CD5" w:rsidRDefault="00327CD5" w:rsidP="008862D9">
      <w:pPr>
        <w:keepNext/>
        <w:rPr>
          <w:b/>
          <w:bCs/>
        </w:rPr>
      </w:pPr>
    </w:p>
    <w:p w14:paraId="64E69220" w14:textId="77777777" w:rsidR="00173CFE" w:rsidRDefault="00173CFE" w:rsidP="002C64BD">
      <w:pPr>
        <w:keepNext/>
        <w:ind w:left="720" w:hanging="720"/>
        <w:rPr>
          <w:b/>
          <w:bCs/>
        </w:rPr>
      </w:pPr>
    </w:p>
    <w:p w14:paraId="7C80D214" w14:textId="66D3D2E9" w:rsidR="002C64BD" w:rsidRDefault="00F63784"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75083E27" w14:textId="77777777" w:rsidR="002C64BD" w:rsidRPr="00E46BDC" w:rsidRDefault="002C64BD" w:rsidP="002C64BD">
      <w:pPr>
        <w:keepNext/>
        <w:rPr>
          <w:color w:val="000000"/>
          <w:sz w:val="20"/>
          <w:szCs w:val="20"/>
        </w:rPr>
      </w:pPr>
    </w:p>
    <w:p w14:paraId="584545CB" w14:textId="15091044" w:rsidR="002C64BD" w:rsidRPr="005E0EE1" w:rsidRDefault="00F63784"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w:t>
      </w:r>
      <w:r w:rsidR="00E454C8">
        <w:rPr>
          <w:color w:val="000000"/>
        </w:rPr>
        <w:t xml:space="preserve"> </w:t>
      </w:r>
      <w:r w:rsidR="002C64BD" w:rsidRPr="005E0EE1">
        <w:rPr>
          <w:color w:val="000000"/>
        </w:rPr>
        <w:t xml:space="preserve">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4935EAD" w14:textId="77777777" w:rsidR="002C64BD" w:rsidRPr="00E46BDC" w:rsidRDefault="002C64BD" w:rsidP="002C64BD">
      <w:pPr>
        <w:ind w:left="1440" w:hanging="720"/>
        <w:rPr>
          <w:color w:val="000000"/>
          <w:sz w:val="20"/>
          <w:szCs w:val="20"/>
        </w:rPr>
      </w:pPr>
    </w:p>
    <w:p w14:paraId="54A3FC32" w14:textId="3FCAC296" w:rsidR="006D02BE" w:rsidRDefault="00F63784" w:rsidP="00B90602">
      <w:pPr>
        <w:ind w:left="1440" w:right="468" w:hanging="720"/>
      </w:pPr>
      <w:r>
        <w:rPr>
          <w:color w:val="000000"/>
        </w:rPr>
        <w:t>6</w:t>
      </w:r>
      <w:r w:rsidR="002C64BD" w:rsidRPr="005E0EE1">
        <w:rPr>
          <w:color w:val="000000"/>
        </w:rPr>
        <w:t>.2</w:t>
      </w:r>
      <w:r w:rsidR="002C64BD" w:rsidRPr="005E0EE1">
        <w:rPr>
          <w:color w:val="000000"/>
        </w:rPr>
        <w:tab/>
      </w:r>
      <w:r w:rsidR="00EA2B9C" w:rsidRPr="00FF6984">
        <w:rPr>
          <w:rFonts w:asciiTheme="minorHAnsi" w:hAnsiTheme="minorHAnsi" w:cstheme="minorHAnsi"/>
          <w:sz w:val="22"/>
          <w:szCs w:val="22"/>
        </w:rPr>
        <w:t xml:space="preserve">The Proposer must submit their proposal electronically in two (2) separate parts.  Part One is the Technical Proposal, which covers the qualifications for the Proposers corresponding to Section 2.0 above, and Part Two is the Cost Proposal. </w:t>
      </w:r>
      <w:r w:rsidR="006D02BE">
        <w:t xml:space="preserve"> </w:t>
      </w:r>
    </w:p>
    <w:p w14:paraId="320EF2FD" w14:textId="77777777" w:rsidR="006D02BE" w:rsidRDefault="006D02BE" w:rsidP="002C64BD">
      <w:pPr>
        <w:ind w:left="1440" w:right="468" w:hanging="720"/>
      </w:pPr>
    </w:p>
    <w:p w14:paraId="014B91EE" w14:textId="2B222727" w:rsidR="003079DF" w:rsidRDefault="003079DF" w:rsidP="008862D9">
      <w:pPr>
        <w:pStyle w:val="ListParagraph"/>
        <w:numPr>
          <w:ilvl w:val="0"/>
          <w:numId w:val="17"/>
        </w:numPr>
        <w:ind w:right="468"/>
      </w:pPr>
      <w:r>
        <w:t xml:space="preserve">Technical Proposal - The Proposer must submit their Technical Proposal as a </w:t>
      </w:r>
      <w:r w:rsidRPr="008862D9">
        <w:rPr>
          <w:b/>
          <w:bCs/>
        </w:rPr>
        <w:t>separate attachment</w:t>
      </w:r>
      <w:r>
        <w:t xml:space="preserve"> from the Cost Proposal to an email sent to: </w:t>
      </w:r>
      <w:hyperlink r:id="rId15" w:history="1">
        <w:r w:rsidRPr="00C45BC7">
          <w:rPr>
            <w:rStyle w:val="Hyperlink"/>
          </w:rPr>
          <w:t>solicitations@jud.ca.gov</w:t>
        </w:r>
      </w:hyperlink>
    </w:p>
    <w:p w14:paraId="294FE88A" w14:textId="77777777" w:rsidR="003079DF" w:rsidRDefault="003079DF" w:rsidP="008862D9">
      <w:pPr>
        <w:pStyle w:val="ListParagraph"/>
        <w:ind w:left="1890" w:right="468"/>
      </w:pPr>
    </w:p>
    <w:p w14:paraId="28009EB5" w14:textId="56479FDF" w:rsidR="003079DF" w:rsidRDefault="003079DF" w:rsidP="008862D9">
      <w:pPr>
        <w:pStyle w:val="ListParagraph"/>
        <w:numPr>
          <w:ilvl w:val="0"/>
          <w:numId w:val="17"/>
        </w:numPr>
        <w:ind w:right="468"/>
      </w:pPr>
      <w:r>
        <w:t xml:space="preserve">The Technical Proposal must be signed by an authorized representative of the Proposer and comply with the requirements of Section 7.1 below. </w:t>
      </w:r>
    </w:p>
    <w:p w14:paraId="230A1EAD" w14:textId="77777777" w:rsidR="003079DF" w:rsidRDefault="003079DF" w:rsidP="008862D9">
      <w:pPr>
        <w:ind w:right="468"/>
      </w:pPr>
    </w:p>
    <w:p w14:paraId="22183190" w14:textId="4A1B5EF6" w:rsidR="003079DF" w:rsidRDefault="003079DF" w:rsidP="008862D9">
      <w:pPr>
        <w:pStyle w:val="ListParagraph"/>
        <w:numPr>
          <w:ilvl w:val="0"/>
          <w:numId w:val="17"/>
        </w:numPr>
        <w:ind w:right="468"/>
      </w:pPr>
      <w:r>
        <w:t>The Proposer must indicate the RFP title and number on the subject line of the submission email and ensure that the RFP title and number are on the Proposal attachments.</w:t>
      </w:r>
    </w:p>
    <w:p w14:paraId="56064895" w14:textId="77777777" w:rsidR="003079DF" w:rsidRDefault="003079DF" w:rsidP="008862D9">
      <w:pPr>
        <w:ind w:right="468"/>
      </w:pPr>
    </w:p>
    <w:p w14:paraId="6E10AA0D" w14:textId="10813800" w:rsidR="00C80E75" w:rsidRPr="00C80E75" w:rsidRDefault="003079DF" w:rsidP="00C80E75">
      <w:pPr>
        <w:ind w:left="1890" w:right="468" w:hanging="360"/>
      </w:pPr>
      <w:r>
        <w:t xml:space="preserve">d.   Cost Proposal - The Proposer must submit their Cost Proposal as an attachment </w:t>
      </w:r>
      <w:r w:rsidR="008862D9" w:rsidRPr="008862D9">
        <w:rPr>
          <w:b/>
          <w:bCs/>
        </w:rPr>
        <w:t>s</w:t>
      </w:r>
      <w:r w:rsidRPr="008862D9">
        <w:rPr>
          <w:b/>
          <w:bCs/>
        </w:rPr>
        <w:t>eparate from the Technical Proposal</w:t>
      </w:r>
      <w:r>
        <w:t xml:space="preserve"> to the</w:t>
      </w:r>
      <w:r w:rsidR="00A81422">
        <w:t xml:space="preserve"> Cost </w:t>
      </w:r>
      <w:r>
        <w:t xml:space="preserve">Mailbox at: </w:t>
      </w:r>
      <w:hyperlink r:id="rId16" w:history="1">
        <w:r w:rsidR="00C80E75" w:rsidRPr="004F1B6A">
          <w:rPr>
            <w:rStyle w:val="Hyperlink"/>
          </w:rPr>
          <w:t>RFP-CFCC-2024-28-SB-COST@jud.ca.gov</w:t>
        </w:r>
      </w:hyperlink>
      <w:r w:rsidR="00C80E75">
        <w:t xml:space="preserve">. </w:t>
      </w:r>
    </w:p>
    <w:p w14:paraId="6AC0B2D9" w14:textId="77777777" w:rsidR="00F63784" w:rsidRDefault="00F63784" w:rsidP="003079DF">
      <w:pPr>
        <w:ind w:left="1890" w:right="468" w:hanging="360"/>
        <w:rPr>
          <w:color w:val="000000"/>
        </w:rPr>
      </w:pPr>
    </w:p>
    <w:p w14:paraId="1FEC9F91" w14:textId="6CEEB444" w:rsidR="003079DF" w:rsidRPr="008862D9" w:rsidRDefault="003079DF" w:rsidP="008862D9">
      <w:pPr>
        <w:pStyle w:val="ListParagraph"/>
        <w:numPr>
          <w:ilvl w:val="0"/>
          <w:numId w:val="18"/>
        </w:numPr>
        <w:ind w:right="468"/>
        <w:rPr>
          <w:color w:val="000000"/>
        </w:rPr>
      </w:pPr>
      <w:r w:rsidRPr="008862D9">
        <w:rPr>
          <w:color w:val="000000"/>
        </w:rPr>
        <w:t xml:space="preserve">The Cost Proposal must be signed by an authorized representative of the Proposer and comply with the requirements of Section 7.2 below. </w:t>
      </w:r>
    </w:p>
    <w:p w14:paraId="779C5A03" w14:textId="77777777" w:rsidR="003079DF" w:rsidRPr="008862D9" w:rsidRDefault="003079DF" w:rsidP="008862D9">
      <w:pPr>
        <w:pStyle w:val="ListParagraph"/>
        <w:ind w:left="1890" w:right="468"/>
        <w:rPr>
          <w:color w:val="000000"/>
        </w:rPr>
      </w:pPr>
    </w:p>
    <w:p w14:paraId="05A32F39" w14:textId="59E06D6C" w:rsidR="003079DF" w:rsidRPr="008862D9" w:rsidRDefault="003079DF" w:rsidP="008862D9">
      <w:pPr>
        <w:pStyle w:val="ListParagraph"/>
        <w:numPr>
          <w:ilvl w:val="0"/>
          <w:numId w:val="18"/>
        </w:numPr>
        <w:ind w:right="468"/>
        <w:rPr>
          <w:color w:val="000000"/>
        </w:rPr>
      </w:pPr>
      <w:r w:rsidRPr="008862D9">
        <w:rPr>
          <w:color w:val="000000"/>
        </w:rPr>
        <w:t>The Proposer must indicate the RFP title and number on the subject line of the submission email and ensure that the RFP title and number are on the Proposal attachments.</w:t>
      </w:r>
    </w:p>
    <w:p w14:paraId="178163DA" w14:textId="77777777" w:rsidR="003079DF" w:rsidRPr="008862D9" w:rsidRDefault="003079DF" w:rsidP="008862D9">
      <w:pPr>
        <w:ind w:right="468"/>
        <w:rPr>
          <w:color w:val="000000"/>
        </w:rPr>
      </w:pPr>
    </w:p>
    <w:p w14:paraId="378FA0E0" w14:textId="3E05BC02" w:rsidR="003079DF" w:rsidRDefault="003079DF" w:rsidP="003079DF">
      <w:pPr>
        <w:ind w:left="1440" w:right="468" w:hanging="720"/>
        <w:rPr>
          <w:color w:val="000000"/>
        </w:rPr>
      </w:pPr>
      <w:r w:rsidRPr="003079DF">
        <w:rPr>
          <w:color w:val="000000"/>
        </w:rPr>
        <w:t xml:space="preserve">6.3 </w:t>
      </w:r>
      <w:r>
        <w:rPr>
          <w:color w:val="000000"/>
        </w:rPr>
        <w:t xml:space="preserve">     </w:t>
      </w:r>
      <w:r w:rsidRPr="003079DF">
        <w:rPr>
          <w:color w:val="000000"/>
        </w:rPr>
        <w:t>Submission acceptance will be based on the date and time the emails are received by the Council. Both emails must be received prior to the due date and time, or the proposal will not be accepted. Due to the potential for email transmission delays, which may cause late receipt and non-acceptance of proposals, it is recommended that Proposers email their proposals well in advance of the due</w:t>
      </w:r>
      <w:r>
        <w:rPr>
          <w:color w:val="000000"/>
        </w:rPr>
        <w:t xml:space="preserve"> </w:t>
      </w:r>
      <w:r w:rsidRPr="003079DF">
        <w:rPr>
          <w:color w:val="000000"/>
        </w:rPr>
        <w:t>date and time.</w:t>
      </w:r>
    </w:p>
    <w:p w14:paraId="3893C667" w14:textId="77777777" w:rsidR="003079DF" w:rsidRPr="003079DF" w:rsidRDefault="003079DF" w:rsidP="008862D9">
      <w:pPr>
        <w:ind w:left="1440" w:right="468" w:hanging="720"/>
        <w:rPr>
          <w:color w:val="000000"/>
        </w:rPr>
      </w:pPr>
    </w:p>
    <w:p w14:paraId="645475B5" w14:textId="6C3C5078" w:rsidR="003079DF" w:rsidRDefault="003079DF" w:rsidP="003079DF">
      <w:pPr>
        <w:ind w:left="1440" w:right="468" w:hanging="720"/>
        <w:rPr>
          <w:color w:val="000000"/>
        </w:rPr>
      </w:pPr>
      <w:r w:rsidRPr="003079DF">
        <w:rPr>
          <w:color w:val="000000"/>
        </w:rPr>
        <w:t>6.4</w:t>
      </w:r>
      <w:r>
        <w:rPr>
          <w:color w:val="000000"/>
        </w:rPr>
        <w:t xml:space="preserve">      </w:t>
      </w:r>
      <w:r w:rsidRPr="003079DF">
        <w:rPr>
          <w:color w:val="000000"/>
        </w:rPr>
        <w:t xml:space="preserve"> Late proposals will not be accepted. However, as necessary, the Council may</w:t>
      </w:r>
      <w:r>
        <w:rPr>
          <w:color w:val="000000"/>
        </w:rPr>
        <w:t xml:space="preserve"> </w:t>
      </w:r>
      <w:r w:rsidRPr="003079DF">
        <w:rPr>
          <w:color w:val="000000"/>
        </w:rPr>
        <w:t>request clarification from Proposers after the submission of proposals.</w:t>
      </w:r>
    </w:p>
    <w:p w14:paraId="6AC15BE3" w14:textId="77777777" w:rsidR="003079DF" w:rsidRPr="003079DF" w:rsidRDefault="003079DF" w:rsidP="008862D9">
      <w:pPr>
        <w:ind w:left="1440" w:right="468" w:hanging="720"/>
        <w:rPr>
          <w:color w:val="000000"/>
        </w:rPr>
      </w:pPr>
    </w:p>
    <w:p w14:paraId="074950CE" w14:textId="0E81829A" w:rsidR="003079DF" w:rsidRPr="008862D9" w:rsidRDefault="003079DF" w:rsidP="003079DF">
      <w:pPr>
        <w:ind w:left="1440" w:right="468" w:hanging="720"/>
        <w:rPr>
          <w:color w:val="000000"/>
        </w:rPr>
      </w:pPr>
      <w:r w:rsidRPr="003079DF">
        <w:rPr>
          <w:color w:val="000000"/>
        </w:rPr>
        <w:t>6.5</w:t>
      </w:r>
      <w:r>
        <w:rPr>
          <w:color w:val="000000"/>
        </w:rPr>
        <w:t xml:space="preserve">      </w:t>
      </w:r>
      <w:r w:rsidRPr="003079DF">
        <w:rPr>
          <w:color w:val="000000"/>
        </w:rPr>
        <w:t xml:space="preserve"> The Council reserves the right to reject </w:t>
      </w:r>
      <w:proofErr w:type="gramStart"/>
      <w:r w:rsidRPr="003079DF">
        <w:rPr>
          <w:color w:val="000000"/>
        </w:rPr>
        <w:t>any and all</w:t>
      </w:r>
      <w:proofErr w:type="gramEnd"/>
      <w:r w:rsidRPr="003079DF">
        <w:rPr>
          <w:color w:val="000000"/>
        </w:rPr>
        <w:t xml:space="preserve"> proposals, in whole or in part, as well as the right to issue similar RFPs in the future. This RFP is in no way an agreement or </w:t>
      </w:r>
      <w:proofErr w:type="gramStart"/>
      <w:r w:rsidRPr="003079DF">
        <w:rPr>
          <w:color w:val="000000"/>
        </w:rPr>
        <w:t>contract, and</w:t>
      </w:r>
      <w:proofErr w:type="gramEnd"/>
      <w:r w:rsidRPr="003079DF">
        <w:rPr>
          <w:color w:val="000000"/>
        </w:rPr>
        <w:t xml:space="preserve"> does not create any obligation to form a</w:t>
      </w:r>
      <w:r>
        <w:rPr>
          <w:color w:val="000000"/>
        </w:rPr>
        <w:t xml:space="preserve"> </w:t>
      </w:r>
      <w:r w:rsidRPr="003079DF">
        <w:rPr>
          <w:color w:val="000000"/>
        </w:rPr>
        <w:t xml:space="preserve">contract. The Council and/or the State of California shall not be responsible for the cost of preparing a proposal. Submitted proposals </w:t>
      </w:r>
      <w:r w:rsidRPr="008862D9">
        <w:rPr>
          <w:color w:val="000000"/>
        </w:rPr>
        <w:t>may be retained for official files and may become a public record.</w:t>
      </w:r>
    </w:p>
    <w:p w14:paraId="508F89AF" w14:textId="77777777" w:rsidR="00595822" w:rsidRDefault="00595822" w:rsidP="008862D9">
      <w:pPr>
        <w:ind w:left="1440" w:hanging="720"/>
      </w:pPr>
    </w:p>
    <w:p w14:paraId="2DA1D45E" w14:textId="28E0CAC1" w:rsidR="00595822" w:rsidRDefault="00E57B61"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345CF32A" w14:textId="77777777" w:rsidR="00595822" w:rsidRDefault="00595822" w:rsidP="00595822">
      <w:pPr>
        <w:keepNext/>
      </w:pPr>
    </w:p>
    <w:p w14:paraId="6CE96401" w14:textId="5AB460E5" w:rsidR="00595822" w:rsidRPr="003B268E" w:rsidRDefault="00E57B61" w:rsidP="00595822">
      <w:pPr>
        <w:pStyle w:val="BodyTextIndent2"/>
        <w:keepNext/>
        <w:spacing w:after="0" w:line="240" w:lineRule="auto"/>
        <w:ind w:left="720"/>
        <w:rPr>
          <w:color w:val="000000" w:themeColor="text1"/>
        </w:rPr>
      </w:pPr>
      <w:r>
        <w:t>7</w:t>
      </w:r>
      <w:r w:rsidR="00574253">
        <w:t>.1</w:t>
      </w:r>
      <w:r w:rsidR="00574253">
        <w:tab/>
      </w:r>
      <w:r w:rsidR="003079DF">
        <w:t>Technical (</w:t>
      </w:r>
      <w:r w:rsidR="004960BA">
        <w:rPr>
          <w:u w:val="single"/>
        </w:rPr>
        <w:t>Non-Cost</w:t>
      </w:r>
      <w:r w:rsidR="003079DF">
        <w:rPr>
          <w:u w:val="single"/>
        </w:rPr>
        <w:t>)</w:t>
      </w:r>
      <w:r w:rsidR="004960BA">
        <w:rPr>
          <w:u w:val="single"/>
        </w:rPr>
        <w:t xml:space="preserve">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14:paraId="50AE5AB8" w14:textId="77777777" w:rsidR="00595822" w:rsidRDefault="00595822" w:rsidP="00595822">
      <w:pPr>
        <w:keepNext/>
        <w:ind w:left="720"/>
      </w:pPr>
    </w:p>
    <w:p w14:paraId="4BDB3576" w14:textId="77777777" w:rsidR="00595822" w:rsidRDefault="00893C52" w:rsidP="00595822">
      <w:pPr>
        <w:ind w:left="1440" w:hanging="720"/>
      </w:pPr>
      <w:r>
        <w:t>a.</w:t>
      </w:r>
      <w:r w:rsidR="00595822">
        <w:tab/>
      </w:r>
      <w:r w:rsidR="0090254C">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90254C">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339EC9EF" w14:textId="77777777" w:rsidR="00893C52" w:rsidRDefault="00893C52" w:rsidP="00595822">
      <w:pPr>
        <w:ind w:left="1440" w:hanging="720"/>
      </w:pPr>
    </w:p>
    <w:p w14:paraId="6DB59609" w14:textId="77777777" w:rsidR="00C041EE"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327F0B63" w14:textId="77777777" w:rsidR="00C041EE" w:rsidRDefault="00C041EE" w:rsidP="005238E4"/>
    <w:p w14:paraId="4EE49B06" w14:textId="085B8205" w:rsidR="00595822" w:rsidRDefault="00020DD8" w:rsidP="00595822">
      <w:pPr>
        <w:ind w:left="1440" w:hanging="720"/>
      </w:pPr>
      <w:r>
        <w:t>e</w:t>
      </w:r>
      <w:r w:rsidR="00893C52">
        <w:t>.</w:t>
      </w:r>
      <w:r>
        <w:tab/>
      </w:r>
      <w:r w:rsidRPr="00020DD8">
        <w:rPr>
          <w:i/>
          <w:color w:val="FF0000"/>
        </w:rPr>
        <w:t xml:space="preserve"> </w:t>
      </w:r>
      <w:r w:rsidR="00893C52">
        <w:t>For each key staff member: a resume</w:t>
      </w:r>
      <w:r w:rsidR="00595822">
        <w:t xml:space="preserve"> describing the </w:t>
      </w:r>
      <w:r w:rsidR="00893C52">
        <w:t xml:space="preserve">individual’s </w:t>
      </w:r>
      <w:r w:rsidR="00595822">
        <w:t xml:space="preserve">background and experience, as well as </w:t>
      </w:r>
      <w:r w:rsidR="00893C52">
        <w:t>the</w:t>
      </w:r>
      <w:r w:rsidR="00595822">
        <w:t xml:space="preserve"> individual’s ability and experience in conducting the proposed activities.</w:t>
      </w:r>
    </w:p>
    <w:p w14:paraId="331C08A7" w14:textId="77777777" w:rsidR="00595822" w:rsidRDefault="00595822" w:rsidP="00595822">
      <w:pPr>
        <w:ind w:left="1440" w:hanging="720"/>
      </w:pPr>
    </w:p>
    <w:p w14:paraId="5584AF7B" w14:textId="73975383" w:rsidR="00595822" w:rsidRDefault="00020DD8" w:rsidP="00595822">
      <w:pPr>
        <w:ind w:left="1440" w:hanging="720"/>
      </w:pPr>
      <w:r>
        <w:lastRenderedPageBreak/>
        <w:t>f</w:t>
      </w:r>
      <w:r w:rsidR="00893C52">
        <w:t>.</w:t>
      </w:r>
      <w:r w:rsidR="00595822">
        <w:tab/>
        <w:t xml:space="preserve">Names, addresses, and telephone numbers of a minimum of </w:t>
      </w:r>
      <w:r w:rsidR="0006154E">
        <w:rPr>
          <w:color w:val="FF0000"/>
        </w:rPr>
        <w:t>three</w:t>
      </w:r>
      <w:r w:rsidR="0053561F">
        <w:rPr>
          <w:color w:val="FF0000"/>
        </w:rPr>
        <w:t xml:space="preserve"> </w:t>
      </w:r>
      <w:r w:rsidR="003E46FF">
        <w:rPr>
          <w:color w:val="FF0000"/>
        </w:rPr>
        <w:t>(</w:t>
      </w:r>
      <w:r w:rsidR="0006154E">
        <w:rPr>
          <w:color w:val="FF0000"/>
        </w:rPr>
        <w:t>3</w:t>
      </w:r>
      <w:r w:rsidR="00595822">
        <w:rPr>
          <w:color w:val="FF0000"/>
        </w:rPr>
        <w:t>)</w:t>
      </w:r>
      <w:r w:rsidR="00595822">
        <w:t xml:space="preserve"> clients for whom the </w:t>
      </w:r>
      <w:r w:rsidR="00893C52">
        <w:t>Proposer</w:t>
      </w:r>
      <w:r w:rsidR="00595822">
        <w:t xml:space="preserve"> has conducted similar services.  The </w:t>
      </w:r>
      <w:r w:rsidR="00436C0F">
        <w:t>JBE</w:t>
      </w:r>
      <w:r w:rsidR="00595822">
        <w:t xml:space="preserve"> ma</w:t>
      </w:r>
      <w:r w:rsidR="00893C52">
        <w:t xml:space="preserve">y check references listed by </w:t>
      </w:r>
      <w:r w:rsidR="0090254C">
        <w:t xml:space="preserve">the </w:t>
      </w:r>
      <w:r w:rsidR="00893C52">
        <w:t>Proposer</w:t>
      </w:r>
      <w:r w:rsidR="00595822">
        <w:t>.</w:t>
      </w:r>
    </w:p>
    <w:p w14:paraId="5E4CE017" w14:textId="77777777" w:rsidR="00595822" w:rsidRDefault="00595822" w:rsidP="00595822">
      <w:pPr>
        <w:ind w:left="1440" w:hanging="720"/>
      </w:pPr>
    </w:p>
    <w:p w14:paraId="463DCD76" w14:textId="42B14B37" w:rsidR="00595822" w:rsidRDefault="00020DD8" w:rsidP="00595822">
      <w:pPr>
        <w:ind w:left="1440" w:hanging="720"/>
      </w:pPr>
      <w:r>
        <w:t>g</w:t>
      </w:r>
      <w:r w:rsidR="00292053">
        <w:t>.</w:t>
      </w:r>
      <w:r w:rsidR="00595822">
        <w:tab/>
      </w:r>
      <w:r w:rsidR="00292053">
        <w:t>Proposed m</w:t>
      </w:r>
      <w:r w:rsidR="00595822">
        <w:t xml:space="preserve">ethod to complete the </w:t>
      </w:r>
      <w:r w:rsidR="00292053">
        <w:t>work</w:t>
      </w:r>
      <w:r w:rsidR="00A9408B">
        <w:t>.</w:t>
      </w:r>
    </w:p>
    <w:p w14:paraId="4C00126A" w14:textId="77777777" w:rsidR="00595822" w:rsidRDefault="00595822" w:rsidP="00595822">
      <w:pPr>
        <w:ind w:left="1440" w:hanging="720"/>
      </w:pPr>
    </w:p>
    <w:p w14:paraId="5A5A20F6" w14:textId="4331933D" w:rsidR="001135E2" w:rsidRPr="00E57B61" w:rsidRDefault="00595822" w:rsidP="0053561F">
      <w:pPr>
        <w:pStyle w:val="Style1"/>
        <w:widowControl w:val="0"/>
        <w:numPr>
          <w:ilvl w:val="0"/>
          <w:numId w:val="21"/>
        </w:numPr>
        <w:ind w:left="1080" w:right="144"/>
        <w:jc w:val="both"/>
        <w:rPr>
          <w:b w:val="0"/>
        </w:rPr>
      </w:pPr>
      <w:r>
        <w:tab/>
      </w:r>
      <w:r w:rsidR="001135E2" w:rsidRPr="00E57B61">
        <w:rPr>
          <w:b w:val="0"/>
        </w:rPr>
        <w:t>Provide a written description with screenshots showing the following workflows:</w:t>
      </w:r>
    </w:p>
    <w:p w14:paraId="4EAF53AF" w14:textId="77777777" w:rsidR="001135E2" w:rsidRDefault="001135E2" w:rsidP="001135E2">
      <w:pPr>
        <w:pStyle w:val="Style1"/>
        <w:widowControl w:val="0"/>
        <w:numPr>
          <w:ilvl w:val="0"/>
          <w:numId w:val="0"/>
        </w:numPr>
        <w:ind w:right="144"/>
        <w:jc w:val="both"/>
        <w:rPr>
          <w:b w:val="0"/>
        </w:rPr>
      </w:pPr>
      <w:r>
        <w:rPr>
          <w:b w:val="0"/>
        </w:rPr>
        <w:tab/>
      </w:r>
      <w:r>
        <w:rPr>
          <w:b w:val="0"/>
        </w:rPr>
        <w:tab/>
      </w:r>
      <w:r>
        <w:rPr>
          <w:b w:val="0"/>
        </w:rPr>
        <w:tab/>
        <w:t>a) Process for uploading a program to the online platform</w:t>
      </w:r>
    </w:p>
    <w:p w14:paraId="372A4401" w14:textId="77777777" w:rsidR="001135E2" w:rsidRDefault="001135E2" w:rsidP="001135E2">
      <w:pPr>
        <w:pStyle w:val="Style1"/>
        <w:widowControl w:val="0"/>
        <w:numPr>
          <w:ilvl w:val="0"/>
          <w:numId w:val="0"/>
        </w:numPr>
        <w:ind w:right="144"/>
        <w:jc w:val="both"/>
        <w:rPr>
          <w:b w:val="0"/>
        </w:rPr>
      </w:pPr>
      <w:r>
        <w:rPr>
          <w:b w:val="0"/>
        </w:rPr>
        <w:tab/>
      </w:r>
      <w:r>
        <w:rPr>
          <w:b w:val="0"/>
        </w:rPr>
        <w:tab/>
      </w:r>
      <w:r>
        <w:rPr>
          <w:b w:val="0"/>
        </w:rPr>
        <w:tab/>
        <w:t>b) Process for opening a new user account</w:t>
      </w:r>
    </w:p>
    <w:p w14:paraId="6B7FB5A0" w14:textId="77777777" w:rsidR="001135E2" w:rsidRDefault="001135E2" w:rsidP="001135E2">
      <w:pPr>
        <w:pStyle w:val="Style1"/>
        <w:widowControl w:val="0"/>
        <w:numPr>
          <w:ilvl w:val="0"/>
          <w:numId w:val="0"/>
        </w:numPr>
        <w:ind w:right="144"/>
        <w:jc w:val="both"/>
        <w:rPr>
          <w:b w:val="0"/>
        </w:rPr>
      </w:pPr>
      <w:r>
        <w:rPr>
          <w:b w:val="0"/>
        </w:rPr>
        <w:tab/>
      </w:r>
      <w:r>
        <w:rPr>
          <w:b w:val="0"/>
        </w:rPr>
        <w:tab/>
      </w:r>
      <w:r>
        <w:rPr>
          <w:b w:val="0"/>
        </w:rPr>
        <w:tab/>
        <w:t>c) Process for saving and sharing answer files</w:t>
      </w:r>
    </w:p>
    <w:p w14:paraId="1D679E1C" w14:textId="77777777" w:rsidR="001135E2" w:rsidRDefault="001135E2" w:rsidP="001135E2">
      <w:pPr>
        <w:pStyle w:val="Style1"/>
        <w:widowControl w:val="0"/>
        <w:numPr>
          <w:ilvl w:val="0"/>
          <w:numId w:val="16"/>
        </w:numPr>
        <w:ind w:left="2430" w:right="144" w:hanging="270"/>
        <w:jc w:val="both"/>
        <w:rPr>
          <w:b w:val="0"/>
        </w:rPr>
      </w:pPr>
      <w:r>
        <w:rPr>
          <w:b w:val="0"/>
        </w:rPr>
        <w:t xml:space="preserve">Process for users to access interviews and print </w:t>
      </w:r>
      <w:proofErr w:type="gramStart"/>
      <w:r>
        <w:rPr>
          <w:b w:val="0"/>
        </w:rPr>
        <w:t>documents</w:t>
      </w:r>
      <w:proofErr w:type="gramEnd"/>
    </w:p>
    <w:p w14:paraId="6179C29A" w14:textId="11FB90DC" w:rsidR="00595822" w:rsidRDefault="001135E2" w:rsidP="0053561F">
      <w:pPr>
        <w:pStyle w:val="Style1"/>
        <w:widowControl w:val="0"/>
        <w:numPr>
          <w:ilvl w:val="0"/>
          <w:numId w:val="16"/>
        </w:numPr>
        <w:ind w:left="2430" w:right="144" w:hanging="270"/>
        <w:jc w:val="both"/>
      </w:pPr>
      <w:r>
        <w:rPr>
          <w:b w:val="0"/>
        </w:rPr>
        <w:t>Process for e-filing documents</w:t>
      </w:r>
    </w:p>
    <w:p w14:paraId="7C4121C0" w14:textId="77777777" w:rsidR="00B60F34" w:rsidRDefault="00B60F34" w:rsidP="00595822">
      <w:pPr>
        <w:ind w:left="2160" w:hanging="720"/>
      </w:pPr>
    </w:p>
    <w:p w14:paraId="69B8BDB5" w14:textId="1E26BDE3" w:rsidR="00BD0D2D" w:rsidRDefault="00E57B61" w:rsidP="007B0E96">
      <w:pPr>
        <w:pStyle w:val="ListParagraph"/>
        <w:tabs>
          <w:tab w:val="left" w:pos="1440"/>
        </w:tabs>
        <w:ind w:left="1440" w:hanging="720"/>
        <w:rPr>
          <w:color w:val="000000"/>
        </w:rPr>
      </w:pPr>
      <w:r>
        <w:rPr>
          <w:color w:val="000000" w:themeColor="text1"/>
        </w:rPr>
        <w:t>i</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F52A570" w14:textId="77777777" w:rsidR="00BD0D2D" w:rsidRDefault="00BD0D2D" w:rsidP="007B0E96">
      <w:pPr>
        <w:pStyle w:val="ListParagraph"/>
        <w:tabs>
          <w:tab w:val="left" w:pos="1440"/>
        </w:tabs>
        <w:ind w:left="1440" w:hanging="720"/>
        <w:rPr>
          <w:color w:val="000000"/>
        </w:rPr>
      </w:pPr>
    </w:p>
    <w:p w14:paraId="50A1ADFA"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BD0D2D">
        <w:rPr>
          <w:color w:val="000000"/>
        </w:rPr>
        <w:t xml:space="preserve">On </w:t>
      </w:r>
      <w:r w:rsidR="00432F1A">
        <w:rPr>
          <w:color w:val="000000"/>
        </w:rPr>
        <w:t>Attachment 3</w:t>
      </w:r>
      <w:r w:rsidR="00432F1A" w:rsidRPr="00BD0D2D">
        <w:rPr>
          <w:color w:val="000000"/>
        </w:rPr>
        <w:t xml:space="preserve">, the Proposer must </w:t>
      </w:r>
      <w:r w:rsidR="00432F1A">
        <w:rPr>
          <w:color w:val="000000"/>
        </w:rPr>
        <w:t>check the appropriate box and sign the form</w:t>
      </w:r>
      <w:r w:rsidR="00EC497E">
        <w:rPr>
          <w:color w:val="000000"/>
        </w:rPr>
        <w:t>. If the Proposer marks the second box, it must provide the 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659C2610" w14:textId="77777777" w:rsidR="00BD0D2D" w:rsidRDefault="00BD0D2D" w:rsidP="00BD0D2D">
      <w:pPr>
        <w:pStyle w:val="ListParagraph"/>
        <w:tabs>
          <w:tab w:val="left" w:pos="2160"/>
        </w:tabs>
        <w:ind w:left="2160" w:hanging="720"/>
        <w:rPr>
          <w:color w:val="000000"/>
        </w:rPr>
      </w:pPr>
    </w:p>
    <w:p w14:paraId="326D1046"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5107E478" w14:textId="1D2F8217" w:rsidR="009239CE" w:rsidRDefault="009239CE" w:rsidP="00BD0D2D">
      <w:pPr>
        <w:pStyle w:val="ListParagraph"/>
        <w:tabs>
          <w:tab w:val="left" w:pos="2160"/>
        </w:tabs>
        <w:ind w:left="2160" w:hanging="720"/>
        <w:rPr>
          <w:color w:val="000000"/>
        </w:rPr>
      </w:pPr>
      <w:r>
        <w:rPr>
          <w:color w:val="000000"/>
        </w:rPr>
        <w:tab/>
      </w:r>
    </w:p>
    <w:p w14:paraId="1254E042" w14:textId="3C225841" w:rsidR="009239CE" w:rsidRDefault="009239CE" w:rsidP="00BD0D2D">
      <w:pPr>
        <w:pStyle w:val="ListParagraph"/>
        <w:tabs>
          <w:tab w:val="left" w:pos="2160"/>
        </w:tabs>
        <w:ind w:left="2160" w:hanging="720"/>
      </w:pPr>
      <w:r>
        <w:rPr>
          <w:color w:val="000000"/>
        </w:rPr>
        <w:tab/>
      </w:r>
      <w:r>
        <w:t>Note: A material exception, as determined by the Judicial Council in its absolute and sole discretion, to any of the Terms and Conditions may render a proposal non-responsive.</w:t>
      </w:r>
    </w:p>
    <w:p w14:paraId="0E5A7BA9" w14:textId="77777777" w:rsidR="009239CE" w:rsidRDefault="009239CE" w:rsidP="00BD0D2D">
      <w:pPr>
        <w:pStyle w:val="ListParagraph"/>
        <w:tabs>
          <w:tab w:val="left" w:pos="2160"/>
        </w:tabs>
        <w:ind w:left="2160" w:hanging="720"/>
      </w:pPr>
    </w:p>
    <w:p w14:paraId="3E5315B8" w14:textId="5DAB492F" w:rsidR="009239CE" w:rsidRDefault="009239CE" w:rsidP="00BD0D2D">
      <w:pPr>
        <w:pStyle w:val="ListParagraph"/>
        <w:tabs>
          <w:tab w:val="left" w:pos="2160"/>
        </w:tabs>
        <w:ind w:left="2160" w:hanging="720"/>
        <w:rPr>
          <w:color w:val="000000"/>
        </w:rPr>
      </w:pPr>
      <w:r>
        <w:t>iii.</w:t>
      </w:r>
      <w:r>
        <w:tab/>
        <w:t xml:space="preserve">Notwithstanding any other provision in the RFP, the Judicial Council reserves the right at its discretion to negotiate any or all items with individual Proposers, including the right to propose or require additional or different terms and conditions for the agreement prior to agreement execution. </w:t>
      </w:r>
    </w:p>
    <w:p w14:paraId="68C2AF24" w14:textId="77777777" w:rsidR="00AD4A4D" w:rsidRPr="004F2B20" w:rsidRDefault="00AD4A4D" w:rsidP="004F2B20">
      <w:pPr>
        <w:tabs>
          <w:tab w:val="left" w:pos="1440"/>
        </w:tabs>
        <w:rPr>
          <w:color w:val="000000" w:themeColor="text1"/>
        </w:rPr>
      </w:pPr>
    </w:p>
    <w:p w14:paraId="44381707" w14:textId="55C47AE6" w:rsidR="007B0E96" w:rsidRDefault="00E57B61" w:rsidP="007B0E96">
      <w:pPr>
        <w:pStyle w:val="ListParagraph"/>
        <w:tabs>
          <w:tab w:val="left" w:pos="1440"/>
        </w:tabs>
        <w:ind w:left="1440" w:hanging="720"/>
        <w:rPr>
          <w:color w:val="000000" w:themeColor="text1"/>
        </w:rPr>
      </w:pPr>
      <w:r>
        <w:rPr>
          <w:color w:val="000000" w:themeColor="text1"/>
        </w:rPr>
        <w:t>j</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36D84235" w14:textId="77777777" w:rsidR="007B0E96" w:rsidRDefault="007B0E96" w:rsidP="007B0E96">
      <w:pPr>
        <w:ind w:left="1440" w:hanging="720"/>
        <w:rPr>
          <w:color w:val="000000" w:themeColor="text1"/>
        </w:rPr>
      </w:pPr>
    </w:p>
    <w:p w14:paraId="2170BCDA" w14:textId="3B93A6E1" w:rsidR="007B0E96" w:rsidRDefault="007B0E96" w:rsidP="0053561F">
      <w:pPr>
        <w:ind w:left="2160" w:hanging="720"/>
        <w:rPr>
          <w:color w:val="000000" w:themeColor="text1"/>
        </w:rPr>
      </w:pPr>
      <w:r>
        <w:rPr>
          <w:color w:val="000000" w:themeColor="text1"/>
        </w:rPr>
        <w:t>i.</w:t>
      </w:r>
      <w:r>
        <w:rPr>
          <w:color w:val="000000" w:themeColor="text1"/>
        </w:rPr>
        <w:tab/>
      </w:r>
      <w:r w:rsidR="0090254C">
        <w:rPr>
          <w:color w:val="000000" w:themeColor="text1"/>
        </w:rPr>
        <w:t xml:space="preserve">The </w:t>
      </w:r>
      <w:r w:rsidR="0012465F" w:rsidRPr="00FB74DF">
        <w:rPr>
          <w:color w:val="000000" w:themeColor="text1"/>
        </w:rPr>
        <w:t xml:space="preserve">Proposer must complete the </w:t>
      </w:r>
      <w:r w:rsidR="0012465F">
        <w:rPr>
          <w:color w:val="000000" w:themeColor="text1"/>
        </w:rPr>
        <w:t xml:space="preserve">General Certifications Form </w:t>
      </w:r>
      <w:r w:rsidR="0012465F" w:rsidRPr="00FB74DF">
        <w:rPr>
          <w:color w:val="000000" w:themeColor="text1"/>
        </w:rPr>
        <w:t xml:space="preserve">(Attachment 4) and submit the completed </w:t>
      </w:r>
      <w:r w:rsidR="0012465F">
        <w:rPr>
          <w:color w:val="000000" w:themeColor="text1"/>
        </w:rPr>
        <w:t xml:space="preserve">form </w:t>
      </w:r>
      <w:r w:rsidR="0012465F" w:rsidRPr="00FB74DF">
        <w:rPr>
          <w:color w:val="000000" w:themeColor="text1"/>
        </w:rPr>
        <w:t>with its proposal</w:t>
      </w:r>
      <w:r w:rsidR="0012465F">
        <w:rPr>
          <w:color w:val="000000" w:themeColor="text1"/>
        </w:rPr>
        <w:t xml:space="preserve">. </w:t>
      </w:r>
      <w:r w:rsidR="0012465F" w:rsidRPr="00FB74DF">
        <w:rPr>
          <w:color w:val="000000" w:themeColor="text1"/>
        </w:rPr>
        <w:t xml:space="preserve"> </w:t>
      </w:r>
    </w:p>
    <w:p w14:paraId="3F595ED7" w14:textId="77777777" w:rsidR="00F06F43" w:rsidRDefault="00F06F43" w:rsidP="0053561F">
      <w:pPr>
        <w:rPr>
          <w:i/>
          <w:color w:val="FF0000"/>
        </w:rPr>
      </w:pPr>
    </w:p>
    <w:p w14:paraId="3B4E1815" w14:textId="6A5F03F4" w:rsidR="00D02926" w:rsidRDefault="00B33A7B" w:rsidP="009239CE">
      <w:pPr>
        <w:ind w:left="2160" w:hanging="720"/>
        <w:rPr>
          <w:color w:val="000000" w:themeColor="text1"/>
        </w:rPr>
      </w:pPr>
      <w:r>
        <w:rPr>
          <w:color w:val="000000" w:themeColor="text1"/>
        </w:rPr>
        <w:t>ii</w:t>
      </w:r>
      <w:r w:rsidR="00F06F43">
        <w:rPr>
          <w:color w:val="000000" w:themeColor="text1"/>
        </w:rPr>
        <w:t>.</w:t>
      </w:r>
      <w:r w:rsidR="00F06F43">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w:t>
      </w:r>
      <w:r w:rsidR="008C0FC6" w:rsidRPr="008C0FC6">
        <w:rPr>
          <w:color w:val="000000" w:themeColor="text1"/>
        </w:rPr>
        <w:lastRenderedPageBreak/>
        <w:t xml:space="preserve">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14:paraId="422417A3" w14:textId="77777777" w:rsidR="00115648" w:rsidRDefault="00115648" w:rsidP="009239CE">
      <w:pPr>
        <w:ind w:left="2160" w:hanging="720"/>
      </w:pPr>
    </w:p>
    <w:p w14:paraId="35239CDB" w14:textId="3F10CFB1" w:rsidR="00C676C6" w:rsidRDefault="00115648" w:rsidP="00D02926">
      <w:pPr>
        <w:ind w:left="2160" w:hanging="720"/>
      </w:pPr>
      <w:r>
        <w:t>iii. The Proposer must complete the Non-Disclosure Agreement (Attachment 6) and submit the completed form with the proposal.</w:t>
      </w:r>
    </w:p>
    <w:p w14:paraId="7503538C" w14:textId="77777777" w:rsidR="00115648" w:rsidRDefault="00115648" w:rsidP="00D02926">
      <w:pPr>
        <w:ind w:left="2160" w:hanging="720"/>
      </w:pPr>
    </w:p>
    <w:p w14:paraId="010452EA" w14:textId="110037AB" w:rsidR="009239CE" w:rsidRDefault="009239CE" w:rsidP="007B0E96">
      <w:pPr>
        <w:ind w:left="2160" w:hanging="720"/>
      </w:pPr>
      <w:r>
        <w:t>i</w:t>
      </w:r>
      <w:r w:rsidR="00115648">
        <w:t>v</w:t>
      </w:r>
      <w:r>
        <w:t>. Copies of the Proposer’s, including any subcontractors’, current business licenses, professional certifications, or other credentials.</w:t>
      </w:r>
    </w:p>
    <w:p w14:paraId="618F41F2" w14:textId="77777777" w:rsidR="009239CE" w:rsidRDefault="009239CE" w:rsidP="007B0E96">
      <w:pPr>
        <w:ind w:left="2160" w:hanging="720"/>
      </w:pPr>
    </w:p>
    <w:p w14:paraId="3F243F13" w14:textId="506459C3" w:rsidR="009239CE" w:rsidRDefault="009239CE" w:rsidP="007B0E96">
      <w:pPr>
        <w:ind w:left="2160" w:hanging="720"/>
      </w:pPr>
      <w:r>
        <w:t xml:space="preserve"> v. The Proposer must complete the Payee Data Record form and submit the completed form with its proposal. Form and instructions are in fillable PDF format available in the following link: </w:t>
      </w:r>
      <w:hyperlink r:id="rId17" w:history="1">
        <w:r w:rsidRPr="00C45BC7">
          <w:rPr>
            <w:rStyle w:val="Hyperlink"/>
          </w:rPr>
          <w:t>https://www.documents.dgs.ca.gov/dgs/fmc/pdf/std204.pdf</w:t>
        </w:r>
      </w:hyperlink>
      <w:r>
        <w:t xml:space="preserve"> </w:t>
      </w:r>
    </w:p>
    <w:p w14:paraId="3BBD1D23" w14:textId="77777777" w:rsidR="009239CE" w:rsidRDefault="009239CE" w:rsidP="007B0E96">
      <w:pPr>
        <w:ind w:left="2160" w:hanging="720"/>
      </w:pPr>
    </w:p>
    <w:p w14:paraId="27864CB9" w14:textId="2CD95813" w:rsidR="009239CE" w:rsidRDefault="009239CE" w:rsidP="007B0E96">
      <w:pPr>
        <w:ind w:left="2160" w:hanging="720"/>
      </w:pPr>
      <w:r>
        <w:t>v</w:t>
      </w:r>
      <w:r w:rsidR="00115648">
        <w:t>i</w:t>
      </w:r>
      <w:r>
        <w:t xml:space="preserve">. Data Record Supplement STD 205 (if applicable). STD 205 is optional, and it is required only if the remittance address information is different than the mailing address on the STD 204 form. Form and instructions are in fillable PDF format available in the following link: </w:t>
      </w:r>
      <w:hyperlink r:id="rId18" w:history="1">
        <w:r w:rsidRPr="00C45BC7">
          <w:rPr>
            <w:rStyle w:val="Hyperlink"/>
          </w:rPr>
          <w:t>https://www.documents.dgs.ca.gov/dgs/fmc/pdf/std205.pdf</w:t>
        </w:r>
      </w:hyperlink>
      <w:r>
        <w:t xml:space="preserve"> </w:t>
      </w:r>
    </w:p>
    <w:p w14:paraId="4F1E8AF6" w14:textId="77777777" w:rsidR="009239CE" w:rsidRDefault="009239CE" w:rsidP="007B0E96">
      <w:pPr>
        <w:ind w:left="2160" w:hanging="720"/>
      </w:pPr>
    </w:p>
    <w:p w14:paraId="2A610C12" w14:textId="34D461FC" w:rsidR="009239CE" w:rsidRDefault="009239CE" w:rsidP="007B0E96">
      <w:pPr>
        <w:ind w:left="2160" w:hanging="720"/>
      </w:pPr>
      <w:r>
        <w:t>vi</w:t>
      </w:r>
      <w:r w:rsidR="00115648">
        <w:t>i</w:t>
      </w:r>
      <w:r>
        <w:t xml:space="preserve">. The Proposer must complete the Iran Contracting Act Certification (Attachment </w:t>
      </w:r>
      <w:r w:rsidR="00115648">
        <w:t>7</w:t>
      </w:r>
      <w:r>
        <w:t xml:space="preserve">) and submit the completed certification with its proposal. </w:t>
      </w:r>
    </w:p>
    <w:p w14:paraId="0D51EDD1" w14:textId="77777777" w:rsidR="009239CE" w:rsidRDefault="009239CE" w:rsidP="007B0E96">
      <w:pPr>
        <w:ind w:left="2160" w:hanging="720"/>
      </w:pPr>
    </w:p>
    <w:p w14:paraId="205BEF53" w14:textId="15FA746B" w:rsidR="009239CE" w:rsidRDefault="009239CE" w:rsidP="007B0E96">
      <w:pPr>
        <w:ind w:left="2160" w:hanging="720"/>
      </w:pPr>
      <w:r>
        <w:t>vii</w:t>
      </w:r>
      <w:r w:rsidR="00115648">
        <w:t>i</w:t>
      </w:r>
      <w:r>
        <w:t xml:space="preserve">. The Proposer must complete the Unruh Civil Rights Act and California Fair Employment and Housing Act Certification (Attachment </w:t>
      </w:r>
      <w:r w:rsidR="00115648">
        <w:t>8</w:t>
      </w:r>
      <w:r>
        <w:t xml:space="preserve">) and submit the completed certification with its bid. </w:t>
      </w:r>
    </w:p>
    <w:p w14:paraId="11C86B5F" w14:textId="77777777" w:rsidR="009239CE" w:rsidRDefault="009239CE" w:rsidP="007B0E96">
      <w:pPr>
        <w:ind w:left="2160" w:hanging="720"/>
      </w:pPr>
    </w:p>
    <w:p w14:paraId="38898E10" w14:textId="45CB1F56" w:rsidR="009239CE" w:rsidRDefault="00115648" w:rsidP="007B0E96">
      <w:pPr>
        <w:ind w:left="2160" w:hanging="720"/>
      </w:pPr>
      <w:r>
        <w:t>ix</w:t>
      </w:r>
      <w:r w:rsidR="009239CE">
        <w:t xml:space="preserve">. The Proposer must complete the Darfur Contracting Act Certification (Attachment </w:t>
      </w:r>
      <w:r>
        <w:t>9</w:t>
      </w:r>
      <w:r w:rsidR="009239CE">
        <w:t xml:space="preserve">) and submit the completed certification with its proposal. </w:t>
      </w:r>
    </w:p>
    <w:p w14:paraId="7CBC6F2A" w14:textId="77777777" w:rsidR="009239CE" w:rsidRDefault="009239CE" w:rsidP="0053561F"/>
    <w:p w14:paraId="0ABA848F" w14:textId="7890D75C" w:rsidR="00115648" w:rsidRDefault="009239CE" w:rsidP="005238E4">
      <w:pPr>
        <w:ind w:left="2160" w:hanging="720"/>
        <w:rPr>
          <w:color w:val="000000" w:themeColor="text1"/>
        </w:rPr>
      </w:pPr>
      <w:r>
        <w:t xml:space="preserve">x. By submitting a proposal, the Proposer certifies that: (i) it </w:t>
      </w:r>
      <w:proofErr w:type="gramStart"/>
      <w:r>
        <w:t>is in compliance with</w:t>
      </w:r>
      <w:proofErr w:type="gramEnd"/>
      <w:r>
        <w:t xml:space="preserve"> economic sanctions imposed pursuant to applicable laws by the U.S. government in response to Russia’s actions in Ukraine, as well as any sanctions imposed under state law (collectively, “Economic Sanctions”); and (ii) it is not a target of Economic Sanctions. If the Council determines that Proposer is not in compliance with Economic Sanctions or is a target of Economic Sanctions, that shall be grounds of rejection of its proposal.</w:t>
      </w:r>
    </w:p>
    <w:p w14:paraId="07558AAF" w14:textId="77777777" w:rsidR="00115648" w:rsidRDefault="00115648" w:rsidP="007B0E96">
      <w:pPr>
        <w:ind w:left="2160" w:hanging="720"/>
        <w:rPr>
          <w:color w:val="000000" w:themeColor="text1"/>
        </w:rPr>
      </w:pPr>
    </w:p>
    <w:p w14:paraId="370E9AD0" w14:textId="6B23BB71" w:rsidR="00595822" w:rsidRDefault="006649AC" w:rsidP="00115648">
      <w:pPr>
        <w:pStyle w:val="BodyTextIndent2"/>
        <w:keepNext/>
        <w:spacing w:after="0" w:line="240" w:lineRule="auto"/>
        <w:ind w:left="720"/>
      </w:pPr>
      <w:r>
        <w:t>7.2</w:t>
      </w:r>
      <w:r w:rsidR="00E57B61">
        <w:t>.</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5B04DF">
        <w:t>proposal.</w:t>
      </w:r>
    </w:p>
    <w:p w14:paraId="385101A0" w14:textId="77777777" w:rsidR="00C40C8B" w:rsidRDefault="00C40C8B" w:rsidP="00595822">
      <w:pPr>
        <w:ind w:left="2160" w:hanging="720"/>
      </w:pPr>
    </w:p>
    <w:p w14:paraId="16B830E4" w14:textId="77777777" w:rsidR="00C40C8B" w:rsidRDefault="00C40C8B" w:rsidP="00595822">
      <w:pPr>
        <w:ind w:left="2160" w:hanging="720"/>
      </w:pPr>
      <w:r>
        <w:t xml:space="preserve">IT Services: </w:t>
      </w:r>
    </w:p>
    <w:p w14:paraId="33386588" w14:textId="77777777" w:rsidR="00C40C8B" w:rsidRDefault="00C40C8B" w:rsidP="00595822">
      <w:pPr>
        <w:ind w:left="2160" w:hanging="720"/>
      </w:pPr>
    </w:p>
    <w:p w14:paraId="159BEFEB" w14:textId="77777777" w:rsidR="00246470" w:rsidRDefault="00246470" w:rsidP="00020E8A">
      <w:pPr>
        <w:ind w:left="2160" w:hanging="720"/>
      </w:pPr>
      <w:r>
        <w:t>i.</w:t>
      </w:r>
      <w:r>
        <w:tab/>
        <w:t xml:space="preserve">A detailed </w:t>
      </w:r>
      <w:proofErr w:type="gramStart"/>
      <w:r>
        <w:t>line item</w:t>
      </w:r>
      <w:proofErr w:type="gramEnd"/>
      <w:r>
        <w:t xml:space="preserve"> budget showing total cost of the proposed services.  </w:t>
      </w:r>
    </w:p>
    <w:p w14:paraId="1A4FD839" w14:textId="77777777" w:rsidR="00246470" w:rsidRDefault="00246470" w:rsidP="00020E8A">
      <w:pPr>
        <w:ind w:left="2160" w:hanging="720"/>
      </w:pPr>
    </w:p>
    <w:p w14:paraId="0426D1FC" w14:textId="77777777" w:rsidR="00246470" w:rsidRDefault="00246470" w:rsidP="00020E8A">
      <w:pPr>
        <w:ind w:left="2160" w:hanging="720"/>
      </w:pPr>
      <w:r>
        <w:t>ii.</w:t>
      </w:r>
      <w:r>
        <w:tab/>
        <w:t>A full explanation of all budget line items in a narrative entitled “Budget Justification.”</w:t>
      </w:r>
    </w:p>
    <w:p w14:paraId="60526AC4" w14:textId="77777777" w:rsidR="00246470" w:rsidRDefault="00246470" w:rsidP="00020E8A">
      <w:pPr>
        <w:ind w:left="2160" w:hanging="720"/>
      </w:pPr>
    </w:p>
    <w:p w14:paraId="4D98BDBE" w14:textId="0EE20F7A" w:rsidR="005B04DF" w:rsidRDefault="00246470" w:rsidP="00020E8A">
      <w:pPr>
        <w:ind w:left="2160" w:hanging="720"/>
      </w:pPr>
      <w:r>
        <w:t>iii</w:t>
      </w:r>
      <w:r w:rsidR="005F5C25">
        <w:t xml:space="preserve">. </w:t>
      </w:r>
      <w:r w:rsidR="005F5C25">
        <w:tab/>
        <w:t>A “not to exceed” total for all work and expenses payable under the contract, if awarded.</w:t>
      </w:r>
    </w:p>
    <w:p w14:paraId="43510199" w14:textId="77777777" w:rsidR="003068A8" w:rsidRDefault="003068A8" w:rsidP="00020E8A">
      <w:pPr>
        <w:ind w:left="2160" w:hanging="720"/>
      </w:pPr>
    </w:p>
    <w:p w14:paraId="0968A6CC" w14:textId="455282C4" w:rsidR="00666AC3" w:rsidRDefault="00666AC3" w:rsidP="00666AC3">
      <w:pPr>
        <w:pStyle w:val="Style1"/>
        <w:numPr>
          <w:ilvl w:val="0"/>
          <w:numId w:val="0"/>
        </w:numPr>
        <w:ind w:left="2160" w:right="144" w:hanging="720"/>
        <w:jc w:val="both"/>
        <w:rPr>
          <w:b w:val="0"/>
        </w:rPr>
      </w:pPr>
      <w:r>
        <w:rPr>
          <w:b w:val="0"/>
        </w:rPr>
        <w:t xml:space="preserve">iv. </w:t>
      </w:r>
      <w:r w:rsidR="00E57B61">
        <w:rPr>
          <w:b w:val="0"/>
        </w:rPr>
        <w:tab/>
      </w:r>
      <w:r>
        <w:rPr>
          <w:b w:val="0"/>
        </w:rPr>
        <w:t>Total annual</w:t>
      </w:r>
      <w:r w:rsidRPr="007636A7">
        <w:rPr>
          <w:b w:val="0"/>
        </w:rPr>
        <w:t xml:space="preserve"> cost for</w:t>
      </w:r>
      <w:r>
        <w:rPr>
          <w:b w:val="0"/>
        </w:rPr>
        <w:t xml:space="preserve"> the service as set forth in </w:t>
      </w:r>
      <w:r w:rsidR="008924E2">
        <w:rPr>
          <w:b w:val="0"/>
        </w:rPr>
        <w:t>2</w:t>
      </w:r>
      <w:r>
        <w:rPr>
          <w:b w:val="0"/>
        </w:rPr>
        <w:t>.0, Description of Services for the initial term.</w:t>
      </w:r>
    </w:p>
    <w:p w14:paraId="0ED38653" w14:textId="77777777" w:rsidR="00666AC3" w:rsidRDefault="00666AC3" w:rsidP="00666AC3">
      <w:pPr>
        <w:pStyle w:val="Style1"/>
        <w:numPr>
          <w:ilvl w:val="0"/>
          <w:numId w:val="0"/>
        </w:numPr>
        <w:ind w:left="2160" w:right="144" w:hanging="720"/>
        <w:jc w:val="both"/>
        <w:rPr>
          <w:b w:val="0"/>
        </w:rPr>
      </w:pPr>
    </w:p>
    <w:p w14:paraId="63D4EA0E" w14:textId="71AB6CB8" w:rsidR="00666AC3" w:rsidRDefault="00666AC3" w:rsidP="00666AC3">
      <w:pPr>
        <w:pStyle w:val="Style1"/>
        <w:numPr>
          <w:ilvl w:val="0"/>
          <w:numId w:val="0"/>
        </w:numPr>
        <w:ind w:left="2160" w:right="144" w:hanging="720"/>
        <w:jc w:val="both"/>
        <w:rPr>
          <w:b w:val="0"/>
        </w:rPr>
      </w:pPr>
      <w:r>
        <w:rPr>
          <w:b w:val="0"/>
        </w:rPr>
        <w:t>v.</w:t>
      </w:r>
      <w:r>
        <w:rPr>
          <w:b w:val="0"/>
        </w:rPr>
        <w:tab/>
        <w:t xml:space="preserve">Total annual cost for the service as set forth in </w:t>
      </w:r>
      <w:r w:rsidR="00BB0504">
        <w:rPr>
          <w:b w:val="0"/>
        </w:rPr>
        <w:t>2</w:t>
      </w:r>
      <w:r>
        <w:rPr>
          <w:b w:val="0"/>
        </w:rPr>
        <w:t>.0, Description of Services for each of the 3 option terms.</w:t>
      </w:r>
    </w:p>
    <w:p w14:paraId="7A23F4FF" w14:textId="77777777" w:rsidR="00666AC3" w:rsidRDefault="00666AC3" w:rsidP="00666AC3">
      <w:pPr>
        <w:pStyle w:val="Style1"/>
        <w:numPr>
          <w:ilvl w:val="0"/>
          <w:numId w:val="0"/>
        </w:numPr>
        <w:ind w:left="2160" w:right="144" w:hanging="720"/>
        <w:jc w:val="both"/>
        <w:rPr>
          <w:b w:val="0"/>
        </w:rPr>
      </w:pPr>
    </w:p>
    <w:p w14:paraId="507AD9A4" w14:textId="7FDEDB36" w:rsidR="00666AC3" w:rsidRDefault="00666AC3" w:rsidP="00666AC3">
      <w:pPr>
        <w:pStyle w:val="Style1"/>
        <w:numPr>
          <w:ilvl w:val="0"/>
          <w:numId w:val="0"/>
        </w:numPr>
        <w:ind w:left="2160" w:right="144" w:hanging="720"/>
        <w:jc w:val="both"/>
        <w:rPr>
          <w:b w:val="0"/>
        </w:rPr>
      </w:pPr>
      <w:r>
        <w:rPr>
          <w:b w:val="0"/>
        </w:rPr>
        <w:t>vi.</w:t>
      </w:r>
      <w:r>
        <w:rPr>
          <w:b w:val="0"/>
        </w:rPr>
        <w:tab/>
        <w:t xml:space="preserve">Provide a proposed cost per assembly if there are more than 300,000 assemblies of documents per year as projected in </w:t>
      </w:r>
      <w:r w:rsidR="00BB0504">
        <w:rPr>
          <w:b w:val="0"/>
        </w:rPr>
        <w:t>2</w:t>
      </w:r>
      <w:r>
        <w:rPr>
          <w:b w:val="0"/>
        </w:rPr>
        <w:t>.</w:t>
      </w:r>
      <w:r w:rsidR="00E454C8">
        <w:rPr>
          <w:b w:val="0"/>
        </w:rPr>
        <w:t>1</w:t>
      </w:r>
      <w:r>
        <w:rPr>
          <w:b w:val="0"/>
        </w:rPr>
        <w:t xml:space="preserve"> (b).  </w:t>
      </w:r>
    </w:p>
    <w:p w14:paraId="13FC3DED" w14:textId="77777777" w:rsidR="00666AC3" w:rsidRDefault="00666AC3" w:rsidP="00666AC3">
      <w:pPr>
        <w:pStyle w:val="Style1"/>
        <w:numPr>
          <w:ilvl w:val="0"/>
          <w:numId w:val="0"/>
        </w:numPr>
        <w:ind w:left="2160" w:right="144" w:hanging="720"/>
        <w:jc w:val="both"/>
        <w:rPr>
          <w:b w:val="0"/>
        </w:rPr>
      </w:pPr>
    </w:p>
    <w:p w14:paraId="3E0888F9" w14:textId="77D6FBE7" w:rsidR="00D36693" w:rsidRDefault="00D50686" w:rsidP="00D36693">
      <w:pPr>
        <w:pStyle w:val="Style1"/>
        <w:numPr>
          <w:ilvl w:val="0"/>
          <w:numId w:val="0"/>
        </w:numPr>
        <w:ind w:left="2160" w:right="144" w:hanging="720"/>
        <w:jc w:val="both"/>
        <w:rPr>
          <w:b w:val="0"/>
        </w:rPr>
      </w:pPr>
      <w:r>
        <w:rPr>
          <w:b w:val="0"/>
        </w:rPr>
        <w:t>vii.</w:t>
      </w:r>
      <w:r w:rsidR="00666AC3">
        <w:rPr>
          <w:b w:val="0"/>
        </w:rPr>
        <w:tab/>
      </w:r>
      <w:r w:rsidR="00666AC3" w:rsidRPr="004E78C5">
        <w:rPr>
          <w:b w:val="0"/>
        </w:rPr>
        <w:t>The total annual cost shall be fully burdened and inclusive of all cost including, but not limited to personnel, materials, computer support, travel, lodging, per diem, and overhead rates payable to the proposer for services rendered to the Judicial Council.  The proposer shall not charge nor, shall the Judicial Counci</w:t>
      </w:r>
      <w:r w:rsidR="00666AC3">
        <w:rPr>
          <w:b w:val="0"/>
        </w:rPr>
        <w:t>l</w:t>
      </w:r>
      <w:r w:rsidR="00666AC3" w:rsidRPr="004E78C5">
        <w:rPr>
          <w:b w:val="0"/>
        </w:rPr>
        <w:t xml:space="preserve"> pay any overtime rate.</w:t>
      </w:r>
    </w:p>
    <w:p w14:paraId="75EEA361" w14:textId="77777777" w:rsidR="00D36693" w:rsidRDefault="00D36693" w:rsidP="00D36693">
      <w:pPr>
        <w:pStyle w:val="Style1"/>
        <w:numPr>
          <w:ilvl w:val="0"/>
          <w:numId w:val="0"/>
        </w:numPr>
        <w:ind w:left="2160" w:right="144" w:hanging="720"/>
        <w:jc w:val="both"/>
        <w:rPr>
          <w:b w:val="0"/>
        </w:rPr>
      </w:pPr>
    </w:p>
    <w:p w14:paraId="7BE52F08" w14:textId="19CEADCF" w:rsidR="00D36693" w:rsidRPr="007636A7" w:rsidRDefault="00D36693" w:rsidP="00D36693">
      <w:pPr>
        <w:pStyle w:val="Style1"/>
        <w:numPr>
          <w:ilvl w:val="0"/>
          <w:numId w:val="0"/>
        </w:numPr>
        <w:ind w:left="2160" w:right="144" w:hanging="720"/>
        <w:jc w:val="both"/>
        <w:rPr>
          <w:b w:val="0"/>
        </w:rPr>
      </w:pPr>
      <w:r>
        <w:rPr>
          <w:b w:val="0"/>
        </w:rPr>
        <w:t>viii.</w:t>
      </w:r>
      <w:r>
        <w:rPr>
          <w:b w:val="0"/>
        </w:rPr>
        <w:tab/>
        <w:t>A full explanation of all budget line items in a narrative entitled “Budget Justification”</w:t>
      </w:r>
    </w:p>
    <w:p w14:paraId="36954EDA" w14:textId="77777777" w:rsidR="00666AC3" w:rsidRDefault="00666AC3" w:rsidP="00020E8A"/>
    <w:p w14:paraId="77B411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22218CE" w14:textId="77777777" w:rsidR="002C64BD" w:rsidRDefault="002C64BD" w:rsidP="00BD65B9">
      <w:pPr>
        <w:keepNext/>
        <w:ind w:left="720" w:hanging="720"/>
        <w:rPr>
          <w:b/>
          <w:bCs/>
        </w:rPr>
      </w:pPr>
    </w:p>
    <w:p w14:paraId="011E7C38" w14:textId="14ADC82C" w:rsidR="00173CFE" w:rsidRDefault="006649AC"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09901A9B" w14:textId="77777777" w:rsidR="00173CFE" w:rsidRDefault="00173CFE" w:rsidP="00173CFE">
      <w:pPr>
        <w:keepNext/>
        <w:ind w:left="720" w:hanging="720"/>
        <w:rPr>
          <w:b/>
          <w:bCs/>
        </w:rPr>
      </w:pPr>
    </w:p>
    <w:p w14:paraId="785970DE"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436C0F">
        <w:t>JBE</w:t>
      </w:r>
      <w:r w:rsidRPr="00FE488A">
        <w:t xml:space="preserve"> reserves the right to negotiate extensions to this period.</w:t>
      </w:r>
    </w:p>
    <w:p w14:paraId="1A4BE1B6" w14:textId="77777777" w:rsidR="00173CFE" w:rsidRPr="009D1BBC" w:rsidRDefault="00173CFE" w:rsidP="00173CFE">
      <w:pPr>
        <w:pStyle w:val="ExhibitC2"/>
        <w:numPr>
          <w:ilvl w:val="0"/>
          <w:numId w:val="0"/>
        </w:numPr>
        <w:spacing w:before="120" w:after="120"/>
        <w:ind w:left="720"/>
        <w:rPr>
          <w:color w:val="000000" w:themeColor="text1"/>
        </w:rPr>
      </w:pPr>
    </w:p>
    <w:p w14:paraId="6C1EB1F2" w14:textId="2116FB04" w:rsidR="00BD65B9" w:rsidRDefault="006649AC"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709D7EE8" w14:textId="77777777" w:rsidR="00BD65B9" w:rsidRDefault="00BD65B9" w:rsidP="00BD65B9">
      <w:pPr>
        <w:keepNext/>
      </w:pPr>
    </w:p>
    <w:p w14:paraId="3AFC0798" w14:textId="77777777" w:rsidR="00D36693" w:rsidRDefault="00D36693" w:rsidP="003068A8">
      <w:pPr>
        <w:widowControl w:val="0"/>
        <w:ind w:left="720"/>
      </w:pPr>
      <w:r>
        <w:t xml:space="preserve">The cost portion of proposals will be publicly opened at the date and time noted in Section 3, or if such date and time are changed at the discretion of the Council, an addendum will be posted at: https://www.courts.ca.gov/rfps.htm for the new date and time. </w:t>
      </w:r>
    </w:p>
    <w:p w14:paraId="75CF494F" w14:textId="77777777" w:rsidR="00D36693" w:rsidRDefault="00D36693" w:rsidP="003068A8">
      <w:pPr>
        <w:widowControl w:val="0"/>
        <w:ind w:left="720"/>
      </w:pPr>
    </w:p>
    <w:p w14:paraId="111C8522" w14:textId="77777777" w:rsidR="00D36693" w:rsidRDefault="00D36693" w:rsidP="003068A8">
      <w:pPr>
        <w:widowControl w:val="0"/>
        <w:ind w:left="720"/>
      </w:pPr>
      <w:r>
        <w:t xml:space="preserve">The COUNCIL will evaluate the proposals on a 100-point scale using the criteria set forth in the table below. Awards, if made, will be to the highest-scored proposal. </w:t>
      </w:r>
    </w:p>
    <w:p w14:paraId="0310859C" w14:textId="77777777" w:rsidR="00D36693" w:rsidRDefault="00D36693" w:rsidP="003068A8">
      <w:pPr>
        <w:widowControl w:val="0"/>
        <w:ind w:left="720"/>
      </w:pPr>
    </w:p>
    <w:p w14:paraId="0D1C13F2" w14:textId="78E2B1B9" w:rsidR="00D36693" w:rsidRDefault="00D36693" w:rsidP="003068A8">
      <w:pPr>
        <w:keepNext/>
        <w:tabs>
          <w:tab w:val="left" w:pos="1440"/>
        </w:tabs>
        <w:ind w:left="720"/>
      </w:pPr>
      <w:r>
        <w:lastRenderedPageBreak/>
        <w:t xml:space="preserve">If the COUNCIL decides to issue an intent to award, the Council will post an intent to award notice at </w:t>
      </w:r>
      <w:hyperlink r:id="rId19" w:history="1">
        <w:r w:rsidRPr="00C45BC7">
          <w:rPr>
            <w:rStyle w:val="Hyperlink"/>
          </w:rPr>
          <w:t>www.courts.ca.gov</w:t>
        </w:r>
      </w:hyperlink>
      <w:r>
        <w:t xml:space="preserve">. </w:t>
      </w:r>
    </w:p>
    <w:p w14:paraId="2FA30603"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775B0310" w14:textId="77777777" w:rsidTr="00BA2200">
        <w:trPr>
          <w:trHeight w:val="485"/>
          <w:tblHeader/>
          <w:jc w:val="center"/>
        </w:trPr>
        <w:tc>
          <w:tcPr>
            <w:tcW w:w="4986" w:type="dxa"/>
            <w:shd w:val="clear" w:color="auto" w:fill="E6E6E6"/>
            <w:vAlign w:val="center"/>
          </w:tcPr>
          <w:p w14:paraId="1C2A7576" w14:textId="77777777" w:rsidR="00BD65B9" w:rsidRDefault="00BD65B9" w:rsidP="00BA2200">
            <w:pPr>
              <w:widowControl w:val="0"/>
              <w:tabs>
                <w:tab w:val="left" w:pos="6354"/>
              </w:tabs>
              <w:ind w:right="-18"/>
              <w:jc w:val="center"/>
              <w:rPr>
                <w:b/>
                <w:bCs/>
                <w:color w:val="000000"/>
              </w:rPr>
            </w:pPr>
            <w:r>
              <w:rPr>
                <w:b/>
                <w:bCs/>
                <w:color w:val="000000"/>
              </w:rPr>
              <w:t>C</w:t>
            </w:r>
            <w:r w:rsidR="00595822">
              <w:rPr>
                <w:b/>
                <w:bCs/>
                <w:color w:val="000000"/>
              </w:rPr>
              <w:t>RITERION</w:t>
            </w:r>
          </w:p>
          <w:p w14:paraId="23E8F793" w14:textId="77777777" w:rsidR="003A4D99" w:rsidRDefault="003A4D99" w:rsidP="00BA2200">
            <w:pPr>
              <w:widowControl w:val="0"/>
              <w:tabs>
                <w:tab w:val="left" w:pos="6354"/>
              </w:tabs>
              <w:ind w:right="-18"/>
              <w:jc w:val="center"/>
              <w:rPr>
                <w:b/>
                <w:bCs/>
                <w:color w:val="000000"/>
              </w:rPr>
            </w:pPr>
          </w:p>
          <w:p w14:paraId="3B6E95B9" w14:textId="1EF97887" w:rsidR="003A4D99" w:rsidRPr="00D77FEF" w:rsidRDefault="003A4D99" w:rsidP="00BA2200">
            <w:pPr>
              <w:widowControl w:val="0"/>
              <w:tabs>
                <w:tab w:val="left" w:pos="6354"/>
              </w:tabs>
              <w:ind w:right="-18"/>
              <w:jc w:val="center"/>
              <w:rPr>
                <w:b/>
                <w:bCs/>
                <w:color w:val="000000"/>
              </w:rPr>
            </w:pPr>
          </w:p>
        </w:tc>
        <w:tc>
          <w:tcPr>
            <w:tcW w:w="3192" w:type="dxa"/>
            <w:shd w:val="clear" w:color="auto" w:fill="E6E6E6"/>
            <w:vAlign w:val="center"/>
          </w:tcPr>
          <w:p w14:paraId="1C72B373"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72E6457C" w14:textId="77777777" w:rsidTr="00BA2200">
        <w:trPr>
          <w:trHeight w:val="668"/>
          <w:jc w:val="center"/>
        </w:trPr>
        <w:tc>
          <w:tcPr>
            <w:tcW w:w="4986" w:type="dxa"/>
            <w:vAlign w:val="center"/>
          </w:tcPr>
          <w:p w14:paraId="7991772B" w14:textId="77777777" w:rsidR="00BD65B9" w:rsidRPr="00FA4E3B" w:rsidRDefault="00BD65B9" w:rsidP="00BA2200">
            <w:pPr>
              <w:widowControl w:val="0"/>
              <w:rPr>
                <w:bCs/>
                <w:i/>
              </w:rPr>
            </w:pPr>
            <w:r w:rsidRPr="00FA4E3B">
              <w:rPr>
                <w:i/>
                <w:color w:val="FF0000"/>
              </w:rPr>
              <w:t>Quality of work plan submitted</w:t>
            </w:r>
          </w:p>
        </w:tc>
        <w:tc>
          <w:tcPr>
            <w:tcW w:w="3192" w:type="dxa"/>
            <w:vAlign w:val="center"/>
          </w:tcPr>
          <w:p w14:paraId="5C959E49" w14:textId="63919F8B" w:rsidR="00BD65B9" w:rsidRPr="00FA4E3B" w:rsidRDefault="00E552A7" w:rsidP="00BA2200">
            <w:pPr>
              <w:widowControl w:val="0"/>
              <w:tabs>
                <w:tab w:val="left" w:pos="2178"/>
              </w:tabs>
              <w:jc w:val="center"/>
              <w:rPr>
                <w:b/>
                <w:bCs/>
                <w:color w:val="000000"/>
              </w:rPr>
            </w:pPr>
            <w:r>
              <w:rPr>
                <w:bCs/>
                <w:i/>
                <w:color w:val="FF0000"/>
              </w:rPr>
              <w:t>8</w:t>
            </w:r>
          </w:p>
        </w:tc>
      </w:tr>
      <w:tr w:rsidR="00BD65B9" w:rsidRPr="003B7ABC" w14:paraId="38586694" w14:textId="77777777" w:rsidTr="00BA2200">
        <w:trPr>
          <w:trHeight w:val="647"/>
          <w:jc w:val="center"/>
        </w:trPr>
        <w:tc>
          <w:tcPr>
            <w:tcW w:w="4986" w:type="dxa"/>
            <w:vAlign w:val="center"/>
          </w:tcPr>
          <w:p w14:paraId="0704A6A1" w14:textId="77777777" w:rsidR="00BD65B9" w:rsidRPr="00FA4E3B" w:rsidRDefault="00BD65B9" w:rsidP="00BA2200">
            <w:pPr>
              <w:widowControl w:val="0"/>
              <w:rPr>
                <w:bCs/>
                <w:i/>
              </w:rPr>
            </w:pPr>
            <w:r w:rsidRPr="00FA4E3B">
              <w:rPr>
                <w:i/>
                <w:color w:val="FF0000"/>
              </w:rPr>
              <w:t>Experience on similar assignments</w:t>
            </w:r>
          </w:p>
        </w:tc>
        <w:tc>
          <w:tcPr>
            <w:tcW w:w="3192" w:type="dxa"/>
            <w:vAlign w:val="center"/>
          </w:tcPr>
          <w:p w14:paraId="58791646" w14:textId="3AC1A9B6" w:rsidR="00BD65B9" w:rsidRPr="00FA4E3B" w:rsidRDefault="00541482" w:rsidP="00BA2200">
            <w:pPr>
              <w:widowControl w:val="0"/>
              <w:tabs>
                <w:tab w:val="left" w:pos="2178"/>
              </w:tabs>
              <w:jc w:val="center"/>
              <w:rPr>
                <w:b/>
                <w:bCs/>
                <w:color w:val="000000"/>
              </w:rPr>
            </w:pPr>
            <w:r>
              <w:rPr>
                <w:bCs/>
                <w:i/>
                <w:color w:val="FF0000"/>
              </w:rPr>
              <w:t>20</w:t>
            </w:r>
          </w:p>
        </w:tc>
      </w:tr>
      <w:tr w:rsidR="00BD65B9" w:rsidRPr="003B7ABC" w14:paraId="70402CC9" w14:textId="77777777" w:rsidTr="00BA2200">
        <w:trPr>
          <w:trHeight w:val="647"/>
          <w:jc w:val="center"/>
        </w:trPr>
        <w:tc>
          <w:tcPr>
            <w:tcW w:w="4986" w:type="dxa"/>
            <w:vAlign w:val="center"/>
          </w:tcPr>
          <w:p w14:paraId="32640BDD" w14:textId="77777777" w:rsidR="00BD65B9" w:rsidRPr="00FA4E3B" w:rsidRDefault="00595822" w:rsidP="00BA2200">
            <w:pPr>
              <w:widowControl w:val="0"/>
              <w:rPr>
                <w:bCs/>
                <w:i/>
              </w:rPr>
            </w:pPr>
            <w:r w:rsidRPr="00FA4E3B">
              <w:rPr>
                <w:i/>
                <w:color w:val="FF0000"/>
              </w:rPr>
              <w:t xml:space="preserve">Cost </w:t>
            </w:r>
          </w:p>
        </w:tc>
        <w:tc>
          <w:tcPr>
            <w:tcW w:w="3192" w:type="dxa"/>
            <w:vAlign w:val="center"/>
          </w:tcPr>
          <w:p w14:paraId="4327FDCB" w14:textId="55A1D432" w:rsidR="00BD65B9" w:rsidRPr="00FA4E3B" w:rsidRDefault="00541482" w:rsidP="00BA2200">
            <w:pPr>
              <w:widowControl w:val="0"/>
              <w:jc w:val="center"/>
              <w:rPr>
                <w:b/>
                <w:bCs/>
                <w:color w:val="000000"/>
              </w:rPr>
            </w:pPr>
            <w:r>
              <w:rPr>
                <w:bCs/>
                <w:i/>
                <w:color w:val="FF0000"/>
              </w:rPr>
              <w:t>50</w:t>
            </w:r>
          </w:p>
        </w:tc>
      </w:tr>
      <w:tr w:rsidR="00BD65B9" w:rsidRPr="003B7ABC" w14:paraId="02B15417" w14:textId="77777777" w:rsidTr="00BA2200">
        <w:trPr>
          <w:trHeight w:val="539"/>
          <w:jc w:val="center"/>
        </w:trPr>
        <w:tc>
          <w:tcPr>
            <w:tcW w:w="4986" w:type="dxa"/>
            <w:vAlign w:val="center"/>
          </w:tcPr>
          <w:p w14:paraId="69030544" w14:textId="77777777" w:rsidR="00BD65B9" w:rsidRPr="00FA4E3B" w:rsidRDefault="00BD65B9" w:rsidP="00BA2200">
            <w:pPr>
              <w:widowControl w:val="0"/>
              <w:ind w:right="576"/>
              <w:rPr>
                <w:bCs/>
                <w:i/>
              </w:rPr>
            </w:pPr>
            <w:r w:rsidRPr="00FA4E3B">
              <w:rPr>
                <w:i/>
                <w:color w:val="FF0000"/>
              </w:rPr>
              <w:t>Credentials of staff to be assigned to the project</w:t>
            </w:r>
          </w:p>
        </w:tc>
        <w:tc>
          <w:tcPr>
            <w:tcW w:w="3192" w:type="dxa"/>
            <w:vAlign w:val="center"/>
          </w:tcPr>
          <w:p w14:paraId="4A538F68" w14:textId="1974BC31" w:rsidR="00BD65B9" w:rsidRPr="00FA4E3B" w:rsidRDefault="00541482" w:rsidP="00BA2200">
            <w:pPr>
              <w:widowControl w:val="0"/>
              <w:jc w:val="center"/>
              <w:rPr>
                <w:b/>
                <w:bCs/>
                <w:color w:val="000000"/>
              </w:rPr>
            </w:pPr>
            <w:r>
              <w:rPr>
                <w:bCs/>
                <w:i/>
                <w:color w:val="FF0000"/>
              </w:rPr>
              <w:t>2</w:t>
            </w:r>
          </w:p>
        </w:tc>
      </w:tr>
      <w:tr w:rsidR="00595822" w:rsidRPr="003B7ABC" w14:paraId="35E8B05F" w14:textId="77777777" w:rsidTr="00BA2200">
        <w:trPr>
          <w:trHeight w:val="539"/>
          <w:jc w:val="center"/>
        </w:trPr>
        <w:tc>
          <w:tcPr>
            <w:tcW w:w="4986" w:type="dxa"/>
            <w:vAlign w:val="center"/>
          </w:tcPr>
          <w:p w14:paraId="67F39885" w14:textId="6B56DDA1" w:rsidR="00595822" w:rsidRPr="00FA4E3B" w:rsidRDefault="005F597D" w:rsidP="00BA2200">
            <w:pPr>
              <w:widowControl w:val="0"/>
              <w:ind w:right="576"/>
              <w:rPr>
                <w:i/>
                <w:color w:val="FF0000"/>
              </w:rPr>
            </w:pPr>
            <w:r w:rsidRPr="00FA4E3B">
              <w:rPr>
                <w:i/>
                <w:color w:val="FF0000"/>
              </w:rPr>
              <w:t xml:space="preserve">Acceptance of </w:t>
            </w:r>
            <w:r w:rsidR="00B23242" w:rsidRPr="00FA4E3B">
              <w:rPr>
                <w:i/>
                <w:color w:val="FF0000"/>
              </w:rPr>
              <w:t xml:space="preserve">the </w:t>
            </w:r>
            <w:r w:rsidR="00EC4775" w:rsidRPr="00FA4E3B">
              <w:rPr>
                <w:i/>
                <w:color w:val="FF0000"/>
              </w:rPr>
              <w:t>Terms and Conditions</w:t>
            </w:r>
          </w:p>
        </w:tc>
        <w:tc>
          <w:tcPr>
            <w:tcW w:w="3192" w:type="dxa"/>
            <w:vAlign w:val="center"/>
          </w:tcPr>
          <w:p w14:paraId="072F1FEE" w14:textId="1865522F" w:rsidR="00595822" w:rsidRPr="00FA4E3B" w:rsidRDefault="00541482" w:rsidP="00BA2200">
            <w:pPr>
              <w:widowControl w:val="0"/>
              <w:jc w:val="center"/>
              <w:rPr>
                <w:b/>
                <w:bCs/>
                <w:color w:val="000000"/>
              </w:rPr>
            </w:pPr>
            <w:r>
              <w:rPr>
                <w:bCs/>
                <w:i/>
                <w:color w:val="FF0000"/>
              </w:rPr>
              <w:t>10</w:t>
            </w:r>
          </w:p>
        </w:tc>
      </w:tr>
      <w:tr w:rsidR="00BD65B9" w:rsidRPr="003B7ABC" w14:paraId="2EAC6A0F" w14:textId="77777777" w:rsidTr="00BA2200">
        <w:trPr>
          <w:trHeight w:val="520"/>
          <w:jc w:val="center"/>
        </w:trPr>
        <w:tc>
          <w:tcPr>
            <w:tcW w:w="4986" w:type="dxa"/>
            <w:vAlign w:val="center"/>
          </w:tcPr>
          <w:p w14:paraId="3AC30E38" w14:textId="77777777" w:rsidR="00BD65B9" w:rsidRPr="00FA4E3B" w:rsidRDefault="00BD65B9" w:rsidP="00BA2200">
            <w:pPr>
              <w:widowControl w:val="0"/>
              <w:rPr>
                <w:bCs/>
                <w:i/>
              </w:rPr>
            </w:pPr>
            <w:r w:rsidRPr="00FA4E3B">
              <w:rPr>
                <w:i/>
                <w:color w:val="FF0000"/>
              </w:rPr>
              <w:t>Ability to meet timing requirements to complete the project</w:t>
            </w:r>
          </w:p>
        </w:tc>
        <w:tc>
          <w:tcPr>
            <w:tcW w:w="3192" w:type="dxa"/>
            <w:vAlign w:val="center"/>
          </w:tcPr>
          <w:p w14:paraId="68054EC9" w14:textId="7E81668A" w:rsidR="00BD65B9" w:rsidRPr="00FA4E3B" w:rsidRDefault="00E552A7" w:rsidP="00BA2200">
            <w:pPr>
              <w:widowControl w:val="0"/>
              <w:jc w:val="center"/>
              <w:rPr>
                <w:b/>
                <w:bCs/>
                <w:color w:val="000000"/>
              </w:rPr>
            </w:pPr>
            <w:r>
              <w:rPr>
                <w:bCs/>
                <w:i/>
                <w:color w:val="FF0000"/>
              </w:rPr>
              <w:t>7</w:t>
            </w:r>
          </w:p>
        </w:tc>
      </w:tr>
      <w:tr w:rsidR="00D36693" w:rsidRPr="003B7ABC" w14:paraId="71584DF8" w14:textId="77777777" w:rsidTr="00BA2200">
        <w:trPr>
          <w:trHeight w:val="520"/>
          <w:jc w:val="center"/>
        </w:trPr>
        <w:tc>
          <w:tcPr>
            <w:tcW w:w="4986" w:type="dxa"/>
            <w:vAlign w:val="center"/>
          </w:tcPr>
          <w:p w14:paraId="15D30C63" w14:textId="12BC745A" w:rsidR="00D36693" w:rsidRPr="00FA4E3B" w:rsidRDefault="00D36693" w:rsidP="00BA2200">
            <w:pPr>
              <w:widowControl w:val="0"/>
              <w:rPr>
                <w:i/>
                <w:color w:val="FF0000"/>
              </w:rPr>
            </w:pPr>
            <w:r>
              <w:rPr>
                <w:i/>
                <w:color w:val="FF0000"/>
              </w:rPr>
              <w:t>DVBE Incentive</w:t>
            </w:r>
          </w:p>
        </w:tc>
        <w:tc>
          <w:tcPr>
            <w:tcW w:w="3192" w:type="dxa"/>
            <w:vAlign w:val="center"/>
          </w:tcPr>
          <w:p w14:paraId="5C8EE79D" w14:textId="7DCED409" w:rsidR="00D36693" w:rsidRDefault="00D36693" w:rsidP="00BA2200">
            <w:pPr>
              <w:widowControl w:val="0"/>
              <w:jc w:val="center"/>
              <w:rPr>
                <w:bCs/>
                <w:i/>
                <w:color w:val="FF0000"/>
              </w:rPr>
            </w:pPr>
            <w:r>
              <w:rPr>
                <w:bCs/>
                <w:i/>
                <w:color w:val="FF0000"/>
              </w:rPr>
              <w:t>3</w:t>
            </w:r>
          </w:p>
        </w:tc>
      </w:tr>
    </w:tbl>
    <w:p w14:paraId="276D90A6" w14:textId="77777777" w:rsidR="00C37FF7" w:rsidRDefault="00C37FF7"/>
    <w:p w14:paraId="315309EC" w14:textId="4E99DC08" w:rsidR="006562BF" w:rsidRPr="005E0EE1" w:rsidRDefault="00512CCE" w:rsidP="006562BF">
      <w:pPr>
        <w:widowControl w:val="0"/>
        <w:ind w:left="720" w:hanging="720"/>
        <w:rPr>
          <w:b/>
          <w:bCs/>
        </w:rPr>
      </w:pPr>
      <w:r>
        <w:rPr>
          <w:b/>
          <w:bCs/>
        </w:rPr>
        <w:t>1</w:t>
      </w:r>
      <w:r w:rsidR="006649AC">
        <w:rPr>
          <w:b/>
          <w:bCs/>
        </w:rPr>
        <w:t>0</w:t>
      </w:r>
      <w:r w:rsidR="006562BF" w:rsidRPr="005E0EE1">
        <w:rPr>
          <w:b/>
          <w:bCs/>
        </w:rPr>
        <w:t>.0</w:t>
      </w:r>
      <w:r w:rsidR="006562BF" w:rsidRPr="005E0EE1">
        <w:rPr>
          <w:b/>
          <w:bCs/>
        </w:rPr>
        <w:tab/>
      </w:r>
      <w:r w:rsidR="006562BF">
        <w:rPr>
          <w:b/>
          <w:bCs/>
        </w:rPr>
        <w:t>INTERVIEWS</w:t>
      </w:r>
    </w:p>
    <w:p w14:paraId="59B05F80" w14:textId="77777777" w:rsidR="00FA6747" w:rsidRDefault="00FA6747" w:rsidP="00A66B5A">
      <w:pPr>
        <w:widowControl w:val="0"/>
        <w:ind w:left="720"/>
      </w:pPr>
    </w:p>
    <w:p w14:paraId="5E4C9740" w14:textId="77777777" w:rsidR="006562BF" w:rsidRDefault="006562BF" w:rsidP="00A66B5A">
      <w:pPr>
        <w:widowControl w:val="0"/>
        <w:ind w:left="720"/>
        <w:rPr>
          <w:color w:val="FF0000"/>
        </w:rPr>
      </w:pPr>
      <w:r>
        <w:t xml:space="preserve">The </w:t>
      </w:r>
      <w:r w:rsidR="00436C0F">
        <w:t>JBE</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CE36CF" w:rsidRPr="00CE36CF">
        <w:t>The interview process may require a demonstration</w:t>
      </w:r>
      <w:r w:rsidR="0029196A">
        <w:t>.  The interview may also require a demonstration</w:t>
      </w:r>
      <w:r w:rsidR="00CE36CF" w:rsidRPr="00CE36CF">
        <w:t xml:space="preserve"> of equivalence if a brand name is included in the specifications.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436C0F">
        <w:t>JBE</w:t>
      </w:r>
      <w:r>
        <w:t xml:space="preserve">’s offices.  The </w:t>
      </w:r>
      <w:r w:rsidR="00436C0F">
        <w:t>JBE</w:t>
      </w:r>
      <w:r>
        <w:t xml:space="preserve"> will not reimburse </w:t>
      </w:r>
      <w:r w:rsidR="00A66B5A">
        <w:t>Proposers</w:t>
      </w:r>
      <w:r>
        <w:t xml:space="preserve"> for any costs incurred in traveling to or from the interview location.  </w:t>
      </w:r>
      <w:r w:rsidRPr="005E0EE1">
        <w:t xml:space="preserve">The </w:t>
      </w:r>
      <w:r w:rsidR="00436C0F">
        <w:t>JBE</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3B5365B7" w14:textId="77777777" w:rsidR="006562BF" w:rsidRDefault="006562BF" w:rsidP="006562BF">
      <w:pPr>
        <w:ind w:left="720"/>
        <w:rPr>
          <w:sz w:val="20"/>
          <w:szCs w:val="20"/>
        </w:rPr>
      </w:pPr>
    </w:p>
    <w:p w14:paraId="0971F3CD" w14:textId="2830FD78" w:rsidR="006562BF" w:rsidRPr="005E0EE1" w:rsidRDefault="00512CCE" w:rsidP="006562BF">
      <w:pPr>
        <w:keepNext/>
        <w:ind w:left="720" w:hanging="720"/>
        <w:rPr>
          <w:b/>
          <w:bCs/>
        </w:rPr>
      </w:pPr>
      <w:r>
        <w:rPr>
          <w:b/>
          <w:bCs/>
        </w:rPr>
        <w:t>1</w:t>
      </w:r>
      <w:r w:rsidR="006649AC">
        <w:rPr>
          <w:b/>
          <w:bCs/>
        </w:rPr>
        <w:t>1</w:t>
      </w:r>
      <w:r w:rsidR="006562BF" w:rsidRPr="005E0EE1">
        <w:rPr>
          <w:b/>
          <w:bCs/>
        </w:rPr>
        <w:t>.0</w:t>
      </w:r>
      <w:r w:rsidR="006562BF" w:rsidRPr="005E0EE1">
        <w:rPr>
          <w:b/>
          <w:bCs/>
        </w:rPr>
        <w:tab/>
        <w:t>CONFIDENTIAL OR PROPRIETARY INFORMATION</w:t>
      </w:r>
    </w:p>
    <w:p w14:paraId="73A2BC89" w14:textId="77777777" w:rsidR="006562BF" w:rsidRPr="00E46BDC" w:rsidRDefault="006562BF" w:rsidP="006562BF">
      <w:pPr>
        <w:pStyle w:val="RFPA"/>
        <w:keepNext/>
        <w:numPr>
          <w:ilvl w:val="0"/>
          <w:numId w:val="0"/>
        </w:numPr>
        <w:ind w:left="720" w:hanging="720"/>
        <w:rPr>
          <w:sz w:val="20"/>
          <w:szCs w:val="20"/>
        </w:rPr>
      </w:pPr>
    </w:p>
    <w:p w14:paraId="4527D565" w14:textId="50C53F7A" w:rsidR="00AB548C" w:rsidRDefault="00AB548C" w:rsidP="00AB548C">
      <w:pPr>
        <w:ind w:left="720"/>
      </w:pPr>
      <w:r w:rsidRPr="00AB548C">
        <w:rPr>
          <w:b/>
          <w:caps/>
        </w:rPr>
        <w:t xml:space="preserve">Proposals are subject to disclosure </w:t>
      </w:r>
      <w:r w:rsidR="0048445D" w:rsidRPr="00EA3068">
        <w:rPr>
          <w:b/>
          <w:caps/>
        </w:rPr>
        <w:t>TO THIRD PARTIES</w:t>
      </w:r>
      <w:r w:rsidR="00A96C14">
        <w:rPr>
          <w:b/>
          <w:caps/>
        </w:rPr>
        <w:t xml:space="preserve"> AND MEMBERS OF THE PUBLIC </w:t>
      </w:r>
      <w:r w:rsidRPr="00EA3068">
        <w:rPr>
          <w:b/>
          <w:caps/>
        </w:rPr>
        <w:t xml:space="preserve">pursuant to applicable </w:t>
      </w:r>
      <w:r w:rsidR="0048445D" w:rsidRPr="00EA3068">
        <w:rPr>
          <w:b/>
          <w:caps/>
        </w:rPr>
        <w:t xml:space="preserve">LAWS, INCLUDING PUBLIC DISCLOSURE PURSUANT TO </w:t>
      </w:r>
      <w:r w:rsidRPr="00EA3068">
        <w:rPr>
          <w:b/>
          <w:caps/>
          <w:color w:val="000000" w:themeColor="text1"/>
        </w:rPr>
        <w:t>rule 10.500 of the California Rules of Court</w:t>
      </w:r>
      <w:hyperlink w:history="1"/>
      <w:r w:rsidRPr="00EA3068">
        <w:rPr>
          <w:b/>
          <w:caps/>
          <w:color w:val="000000" w:themeColor="text1"/>
        </w:rPr>
        <w:t>.</w:t>
      </w:r>
      <w:r w:rsidRPr="00EA3068">
        <w:rPr>
          <w:b/>
          <w:color w:val="000000" w:themeColor="text1"/>
        </w:rPr>
        <w:t xml:space="preserve"> </w:t>
      </w:r>
      <w:r w:rsidR="0048445D" w:rsidRPr="00EA3068">
        <w:rPr>
          <w:bCs/>
          <w:color w:val="000000" w:themeColor="text1"/>
        </w:rPr>
        <w:t xml:space="preserve">Except as required by law, </w:t>
      </w:r>
      <w:r w:rsidR="0048445D" w:rsidRPr="00EA3068">
        <w:rPr>
          <w:color w:val="000000" w:themeColor="text1"/>
        </w:rPr>
        <w:t>t</w:t>
      </w:r>
      <w:r w:rsidR="00292140" w:rsidRPr="00EA3068">
        <w:rPr>
          <w:color w:val="000000" w:themeColor="text1"/>
        </w:rPr>
        <w:t xml:space="preserve">he JBE will not disclose (i) social security numbers, or (ii) </w:t>
      </w:r>
      <w:r w:rsidR="00292140" w:rsidRPr="00EA3068">
        <w:rPr>
          <w:rFonts w:cs="Arial"/>
          <w:spacing w:val="-3"/>
        </w:rPr>
        <w:t>balance sheets or income statements</w:t>
      </w:r>
      <w:r w:rsidR="00292140" w:rsidRPr="00EA3068">
        <w:rPr>
          <w:color w:val="000000" w:themeColor="text1"/>
        </w:rPr>
        <w:t xml:space="preserve"> submitted by a Proposer that is not a </w:t>
      </w:r>
      <w:proofErr w:type="gramStart"/>
      <w:r w:rsidR="00292140" w:rsidRPr="00EA3068">
        <w:rPr>
          <w:color w:val="000000" w:themeColor="text1"/>
        </w:rPr>
        <w:t>publicly-traded</w:t>
      </w:r>
      <w:proofErr w:type="gramEnd"/>
      <w:r w:rsidR="00292140" w:rsidRPr="00EA3068">
        <w:rPr>
          <w:color w:val="000000" w:themeColor="text1"/>
        </w:rPr>
        <w:t xml:space="preserve"> corporation.</w:t>
      </w:r>
      <w:r w:rsidR="00292140" w:rsidRPr="00EA3068">
        <w:t xml:space="preserve"> </w:t>
      </w:r>
      <w:r w:rsidR="002819AA" w:rsidRPr="00EA3068">
        <w:t xml:space="preserve">All other information in proposals </w:t>
      </w:r>
      <w:r w:rsidR="0048445D" w:rsidRPr="00EA3068">
        <w:t xml:space="preserve">may </w:t>
      </w:r>
      <w:r w:rsidR="002819AA" w:rsidRPr="00EA3068">
        <w:t>be disclosed in response to applicable public records requests</w:t>
      </w:r>
      <w:r w:rsidR="0048445D" w:rsidRPr="00EA3068">
        <w:t>, or as otherwise required by law</w:t>
      </w:r>
      <w:r w:rsidR="002819AA" w:rsidRPr="00EA3068">
        <w:t xml:space="preserve">. Such disclosure </w:t>
      </w:r>
      <w:r w:rsidR="0048445D" w:rsidRPr="00EA3068">
        <w:t xml:space="preserve">may </w:t>
      </w:r>
      <w:r w:rsidR="002819AA" w:rsidRPr="00EA3068">
        <w:t>be made regardless of whether the proposal (or portions thereof) is marked</w:t>
      </w:r>
      <w:r w:rsidR="002819AA">
        <w:t xml:space="preserve"> “confidential,” “proprietary,” </w:t>
      </w:r>
      <w:r w:rsidR="00A96C14" w:rsidRPr="00A96C14">
        <w:t>“copyright ©</w:t>
      </w:r>
      <w:r w:rsidR="00D435F5">
        <w:t>,</w:t>
      </w:r>
      <w:r w:rsidR="00A96C14" w:rsidRPr="00A96C14">
        <w:t>”</w:t>
      </w:r>
      <w:r w:rsidR="00A96C14">
        <w:t xml:space="preserve"> </w:t>
      </w:r>
      <w:r w:rsidR="007E32B2">
        <w:t xml:space="preserve">or otherwise, </w:t>
      </w:r>
      <w:r w:rsidR="002819AA">
        <w:t>and regardless of any statement in the proposal (</w:t>
      </w:r>
      <w:r w:rsidR="002475A4">
        <w:t>a</w:t>
      </w:r>
      <w:r w:rsidR="002819AA">
        <w:t>) purporting to limit the JBE’s right to disclose information in the proposal, or (</w:t>
      </w:r>
      <w:r w:rsidR="002475A4">
        <w:t>b</w:t>
      </w:r>
      <w:r w:rsidR="002819AA">
        <w:t xml:space="preserve">) requiring the JBE to inform or obtain the </w:t>
      </w:r>
      <w:r w:rsidR="002819AA">
        <w:lastRenderedPageBreak/>
        <w:t xml:space="preserve">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w:t>
      </w:r>
      <w:r w:rsidR="00A96C14">
        <w:t xml:space="preserve"> </w:t>
      </w:r>
      <w:r w:rsidR="00A96C14" w:rsidRPr="00A96C14">
        <w:t xml:space="preserve">Submission of any proposal pursuant to this RFP constitutes acknowledgment and consent by the </w:t>
      </w:r>
      <w:r w:rsidR="00C54599">
        <w:t>P</w:t>
      </w:r>
      <w:r w:rsidR="00A96C14" w:rsidRPr="00A96C14">
        <w:t>roposer to the potential public disclosure of its proposal content</w:t>
      </w:r>
      <w:r w:rsidR="00A96C14">
        <w:t xml:space="preserve">, </w:t>
      </w:r>
      <w:r w:rsidR="00D435F5">
        <w:t xml:space="preserve">as set forth in </w:t>
      </w:r>
      <w:r w:rsidR="00A96C14">
        <w:t>this Section 1</w:t>
      </w:r>
      <w:r w:rsidR="006649AC">
        <w:t>1</w:t>
      </w:r>
      <w:r w:rsidR="00A96C14" w:rsidRPr="00A96C14">
        <w:t>.</w:t>
      </w:r>
      <w:r w:rsidR="002819AA">
        <w:t xml:space="preserve"> </w:t>
      </w:r>
      <w:r w:rsidR="002819AA" w:rsidRPr="00A96C14">
        <w:rPr>
          <w:b/>
          <w:bCs/>
        </w:rPr>
        <w:t>Proposers are accordingly cautioned not to include confidential, proprietary, or privileged information in proposals.</w:t>
      </w:r>
    </w:p>
    <w:p w14:paraId="243266D3" w14:textId="77777777" w:rsidR="00A90070" w:rsidRDefault="00A90070">
      <w:pPr>
        <w:pStyle w:val="BodyTextIndent"/>
        <w:spacing w:after="240"/>
        <w:ind w:left="720"/>
      </w:pPr>
    </w:p>
    <w:p w14:paraId="3C9F6C0B" w14:textId="228491D1" w:rsidR="00825BC4" w:rsidRDefault="00512CCE" w:rsidP="00825BC4">
      <w:pPr>
        <w:keepNext/>
        <w:ind w:left="720" w:hanging="720"/>
        <w:rPr>
          <w:b/>
          <w:bCs/>
        </w:rPr>
      </w:pPr>
      <w:r>
        <w:rPr>
          <w:b/>
          <w:bCs/>
        </w:rPr>
        <w:t>1</w:t>
      </w:r>
      <w:r w:rsidR="006649AC">
        <w:rPr>
          <w:b/>
          <w:bCs/>
        </w:rPr>
        <w:t>2</w:t>
      </w:r>
      <w:r w:rsidR="00B94738">
        <w:rPr>
          <w:b/>
          <w:bCs/>
        </w:rPr>
        <w:t>.0</w:t>
      </w:r>
      <w:r w:rsidR="00B94738">
        <w:rPr>
          <w:b/>
          <w:bCs/>
        </w:rPr>
        <w:tab/>
        <w:t xml:space="preserve">DISABLED VETERAN BUSINESS </w:t>
      </w:r>
      <w:r w:rsidR="00825BC4">
        <w:rPr>
          <w:b/>
          <w:bCs/>
        </w:rPr>
        <w:t xml:space="preserve">ENTERPRISE </w:t>
      </w:r>
      <w:r w:rsidR="00E95AE2">
        <w:rPr>
          <w:b/>
          <w:bCs/>
        </w:rPr>
        <w:t>INCENTIVE</w:t>
      </w:r>
    </w:p>
    <w:p w14:paraId="4B00AF19" w14:textId="77777777" w:rsidR="00825BC4" w:rsidRPr="0046465F" w:rsidRDefault="00825BC4" w:rsidP="00825BC4">
      <w:pPr>
        <w:pStyle w:val="BodyText"/>
        <w:rPr>
          <w:color w:val="000000" w:themeColor="text1"/>
        </w:rPr>
      </w:pPr>
    </w:p>
    <w:p w14:paraId="768F9545" w14:textId="77777777" w:rsidR="00D36693" w:rsidRPr="00E57B61" w:rsidRDefault="00D36693" w:rsidP="00D36693">
      <w:pPr>
        <w:pStyle w:val="BodyText"/>
        <w:ind w:left="720"/>
        <w:jc w:val="both"/>
        <w:rPr>
          <w:rFonts w:asciiTheme="minorHAnsi" w:hAnsiTheme="minorHAnsi" w:cstheme="minorHAnsi"/>
          <w:iCs/>
        </w:rPr>
      </w:pPr>
      <w:r w:rsidRPr="00E57B61">
        <w:rPr>
          <w:rFonts w:asciiTheme="minorHAnsi" w:hAnsiTheme="minorHAnsi" w:cstheme="minorHAnsi"/>
          <w:iCs/>
        </w:rPr>
        <w:t xml:space="preserve">Qualification for the DVBE incentive is not mandatory.  Failure to qualify for the DVBE incentive will not render a proposal non-responsive.  </w:t>
      </w:r>
    </w:p>
    <w:p w14:paraId="7D5E745E" w14:textId="753D1D40" w:rsidR="00D36693" w:rsidRPr="00E57B61" w:rsidRDefault="00D36693" w:rsidP="00D36693">
      <w:pPr>
        <w:pStyle w:val="BodyText"/>
        <w:ind w:left="720"/>
        <w:jc w:val="both"/>
        <w:rPr>
          <w:rFonts w:asciiTheme="minorHAnsi" w:hAnsiTheme="minorHAnsi" w:cstheme="minorHAnsi"/>
          <w:iCs/>
        </w:rPr>
      </w:pPr>
      <w:r w:rsidRPr="00E57B61">
        <w:rPr>
          <w:rFonts w:asciiTheme="minorHAnsi" w:hAnsiTheme="minorHAnsi" w:cstheme="minorHAnsi"/>
          <w:iCs/>
        </w:rP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w:t>
      </w:r>
      <w:proofErr w:type="gramStart"/>
      <w:r w:rsidRPr="00E57B61">
        <w:rPr>
          <w:rFonts w:asciiTheme="minorHAnsi" w:hAnsiTheme="minorHAnsi" w:cstheme="minorHAnsi"/>
          <w:iCs/>
        </w:rPr>
        <w:t>a number of</w:t>
      </w:r>
      <w:proofErr w:type="gramEnd"/>
      <w:r w:rsidRPr="00E57B61">
        <w:rPr>
          <w:rFonts w:asciiTheme="minorHAnsi" w:hAnsiTheme="minorHAnsi" w:cstheme="minorHAnsi"/>
          <w:iCs/>
        </w:rPr>
        <w:t xml:space="preserve"> points will be added to the score assigned to Proposer’s proposal.  The number of points that will be added is specified in Section </w:t>
      </w:r>
      <w:r w:rsidR="006649AC">
        <w:rPr>
          <w:rFonts w:asciiTheme="minorHAnsi" w:hAnsiTheme="minorHAnsi" w:cstheme="minorHAnsi"/>
          <w:iCs/>
        </w:rPr>
        <w:t>9</w:t>
      </w:r>
      <w:r w:rsidRPr="00E57B61">
        <w:rPr>
          <w:rFonts w:asciiTheme="minorHAnsi" w:hAnsiTheme="minorHAnsi" w:cstheme="minorHAnsi"/>
          <w:iCs/>
        </w:rPr>
        <w:t xml:space="preserve">.0 above.  </w:t>
      </w:r>
    </w:p>
    <w:p w14:paraId="2BA3478A" w14:textId="77777777" w:rsidR="00D36693" w:rsidRPr="00E57B61" w:rsidRDefault="00D36693" w:rsidP="00D36693">
      <w:pPr>
        <w:pStyle w:val="BodyText"/>
        <w:ind w:left="720"/>
        <w:jc w:val="both"/>
        <w:rPr>
          <w:rFonts w:asciiTheme="minorHAnsi" w:hAnsiTheme="minorHAnsi" w:cstheme="minorHAnsi"/>
          <w:iCs/>
        </w:rPr>
      </w:pPr>
      <w:r w:rsidRPr="00E57B61">
        <w:rPr>
          <w:rFonts w:asciiTheme="minorHAnsi" w:hAnsiTheme="minorHAnsi" w:cstheme="minorHAnsi"/>
          <w:iC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31FC49AF" w14:textId="77777777" w:rsidR="00D36693" w:rsidRPr="00E57B61" w:rsidRDefault="00D36693" w:rsidP="00D36693">
      <w:pPr>
        <w:pStyle w:val="BodyText"/>
        <w:ind w:left="720"/>
        <w:jc w:val="both"/>
        <w:rPr>
          <w:rFonts w:asciiTheme="minorHAnsi" w:hAnsiTheme="minorHAnsi" w:cstheme="minorHAnsi"/>
          <w:iCs/>
        </w:rPr>
      </w:pPr>
      <w:r w:rsidRPr="00E57B61">
        <w:rPr>
          <w:rFonts w:asciiTheme="minorHAnsi" w:hAnsiTheme="minorHAnsi" w:cstheme="minorHAnsi"/>
          <w:iCs/>
        </w:rPr>
        <w:t xml:space="preserve">If Proposer wishes to seek the DVBE incentive: </w:t>
      </w:r>
    </w:p>
    <w:p w14:paraId="36A37C2B" w14:textId="67A2D496" w:rsidR="00D36693" w:rsidRPr="00E57B61" w:rsidRDefault="00D36693" w:rsidP="00D36693">
      <w:pPr>
        <w:pStyle w:val="BodyText"/>
        <w:ind w:left="1440"/>
        <w:jc w:val="both"/>
        <w:rPr>
          <w:rFonts w:asciiTheme="minorHAnsi" w:hAnsiTheme="minorHAnsi" w:cstheme="minorHAnsi"/>
          <w:iCs/>
        </w:rPr>
      </w:pPr>
      <w:r w:rsidRPr="00E57B61">
        <w:rPr>
          <w:rFonts w:asciiTheme="minorHAnsi" w:hAnsiTheme="minorHAnsi" w:cstheme="minorHAnsi"/>
          <w:iCs/>
        </w:rPr>
        <w:t xml:space="preserve">1.  </w:t>
      </w:r>
      <w:r w:rsidRPr="00E57B61">
        <w:rPr>
          <w:rFonts w:asciiTheme="minorHAnsi" w:hAnsiTheme="minorHAnsi" w:cstheme="minorHAnsi"/>
          <w:iCs/>
        </w:rPr>
        <w:tab/>
        <w:t xml:space="preserve">Proposer must complete and submit with its proposal the Bidder Declaration (Attachment </w:t>
      </w:r>
      <w:r w:rsidR="00E57B61">
        <w:rPr>
          <w:rFonts w:asciiTheme="minorHAnsi" w:hAnsiTheme="minorHAnsi" w:cstheme="minorHAnsi"/>
          <w:iCs/>
        </w:rPr>
        <w:t>1</w:t>
      </w:r>
      <w:r w:rsidR="00115648">
        <w:rPr>
          <w:rFonts w:asciiTheme="minorHAnsi" w:hAnsiTheme="minorHAnsi" w:cstheme="minorHAnsi"/>
          <w:iCs/>
        </w:rPr>
        <w:t>1</w:t>
      </w:r>
      <w:r w:rsidRPr="00E57B61">
        <w:rPr>
          <w:rFonts w:asciiTheme="minorHAnsi" w:hAnsiTheme="minorHAnsi" w:cstheme="minorHAnsi"/>
          <w:iCs/>
        </w:rPr>
        <w:t>).  Proposer must submit with the Bidder Declaration all materials required in the Bidder Declaration.</w:t>
      </w:r>
    </w:p>
    <w:p w14:paraId="38DF3CF0" w14:textId="720F5C7E" w:rsidR="00D36693" w:rsidRPr="00E57B61" w:rsidRDefault="00D36693" w:rsidP="00D36693">
      <w:pPr>
        <w:pStyle w:val="BodyText"/>
        <w:ind w:left="1440"/>
        <w:jc w:val="both"/>
        <w:rPr>
          <w:rFonts w:asciiTheme="minorHAnsi" w:hAnsiTheme="minorHAnsi" w:cstheme="minorHAnsi"/>
          <w:iCs/>
        </w:rPr>
      </w:pPr>
      <w:r w:rsidRPr="00E57B61">
        <w:rPr>
          <w:rFonts w:asciiTheme="minorHAnsi" w:hAnsiTheme="minorHAnsi" w:cstheme="minorHAnsi"/>
          <w:iCs/>
        </w:rPr>
        <w:t xml:space="preserve">2.  </w:t>
      </w:r>
      <w:r w:rsidRPr="00E57B61">
        <w:rPr>
          <w:rFonts w:asciiTheme="minorHAnsi" w:hAnsiTheme="minorHAnsi" w:cstheme="minorHAnsi"/>
          <w:iCs/>
        </w:rPr>
        <w:tab/>
        <w:t xml:space="preserve">Proposer must submit with its proposal a DVBE Declaration (Attachment </w:t>
      </w:r>
      <w:r w:rsidR="00115648">
        <w:rPr>
          <w:rFonts w:asciiTheme="minorHAnsi" w:hAnsiTheme="minorHAnsi" w:cstheme="minorHAnsi"/>
          <w:iCs/>
        </w:rPr>
        <w:t>10</w:t>
      </w:r>
      <w:r w:rsidRPr="00E57B61">
        <w:rPr>
          <w:rFonts w:asciiTheme="minorHAnsi" w:hAnsiTheme="minorHAnsi" w:cstheme="minorHAnsi"/>
          <w:iCs/>
        </w:rPr>
        <w:t>) completed and signed by each DVBE that will provide goods and/or services in connection with any awarded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67318951" w14:textId="77777777" w:rsidR="00D36693" w:rsidRPr="00E57B61" w:rsidRDefault="00D36693" w:rsidP="00D36693">
      <w:pPr>
        <w:pStyle w:val="BodyText"/>
        <w:ind w:left="720"/>
        <w:jc w:val="both"/>
        <w:rPr>
          <w:rFonts w:asciiTheme="minorHAnsi" w:hAnsiTheme="minorHAnsi" w:cstheme="minorHAnsi"/>
          <w:iCs/>
        </w:rPr>
      </w:pPr>
      <w:r w:rsidRPr="00E57B61">
        <w:rPr>
          <w:rFonts w:asciiTheme="minorHAnsi" w:hAnsiTheme="minorHAnsi" w:cstheme="minorHAnsi"/>
          <w:iCs/>
        </w:rPr>
        <w:t xml:space="preserve">Failure to complete and submit these forms as required will result in Proposer not receiving the DVBE incentive.  In addition, the JCC may request additional written clarifying information.  Failure to provide this information as requested will result in Proposer not receiving the DVBE incentive.  </w:t>
      </w:r>
    </w:p>
    <w:p w14:paraId="726DE93A" w14:textId="77777777" w:rsidR="00D36693" w:rsidRPr="00E57B61" w:rsidRDefault="00D36693" w:rsidP="00D36693">
      <w:pPr>
        <w:pStyle w:val="BodyText"/>
        <w:ind w:left="720"/>
        <w:jc w:val="both"/>
        <w:rPr>
          <w:rFonts w:asciiTheme="minorHAnsi" w:hAnsiTheme="minorHAnsi" w:cstheme="minorHAnsi"/>
          <w:iCs/>
        </w:rPr>
      </w:pPr>
      <w:r w:rsidRPr="00E57B61">
        <w:rPr>
          <w:rFonts w:asciiTheme="minorHAnsi" w:hAnsiTheme="minorHAnsi" w:cstheme="minorHAnsi"/>
          <w:iCs/>
        </w:rPr>
        <w:t xml:space="preserve">If this solicitation is for IT goods and services, the application of the DVBE incentive may be affected by application of the small business preference.  For additional information, section 13, below.  </w:t>
      </w:r>
    </w:p>
    <w:p w14:paraId="7D99391F" w14:textId="77777777" w:rsidR="00D36693" w:rsidRPr="00E57B61" w:rsidRDefault="00D36693" w:rsidP="00D36693">
      <w:pPr>
        <w:pStyle w:val="BodyText"/>
        <w:ind w:left="720"/>
        <w:jc w:val="both"/>
        <w:rPr>
          <w:rFonts w:asciiTheme="minorHAnsi" w:hAnsiTheme="minorHAnsi" w:cstheme="minorHAnsi"/>
          <w:iCs/>
        </w:rPr>
      </w:pPr>
      <w:r w:rsidRPr="00E57B61">
        <w:rPr>
          <w:rFonts w:asciiTheme="minorHAnsi" w:hAnsiTheme="minorHAnsi" w:cstheme="minorHAnsi"/>
          <w:iCs/>
        </w:rPr>
        <w:lastRenderedPageBreak/>
        <w:t xml:space="preserve">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  </w:t>
      </w:r>
    </w:p>
    <w:p w14:paraId="7A315F8E" w14:textId="3AE8EDC1" w:rsidR="00D36693" w:rsidRPr="00E57B61" w:rsidRDefault="00D36693" w:rsidP="006B7C25">
      <w:pPr>
        <w:pStyle w:val="BodyText"/>
        <w:ind w:left="720"/>
        <w:rPr>
          <w:rFonts w:asciiTheme="minorHAnsi" w:hAnsiTheme="minorHAnsi" w:cstheme="minorHAnsi"/>
          <w:iCs/>
        </w:rPr>
      </w:pPr>
      <w:r w:rsidRPr="00E57B61">
        <w:rPr>
          <w:rFonts w:asciiTheme="minorHAnsi" w:hAnsiTheme="minorHAnsi" w:cstheme="minorHAnsi"/>
          <w:iCs/>
        </w:rPr>
        <w:t xml:space="preserve">If using DVBE subcontractors, the Proposer must complete and return to the Judicial Council a copy of the post-contract certification form (https://www.courts.ca.gov/documents/JBCM-Post-Contract-Certification-Form.docx), promptly upon completion of the awarded contract, and by no later than the date of submission of Proposer’s final invoice to the Judicial Council. If the Proposer fails to do so, the Judicial Council will withhold $10,000 from the final </w:t>
      </w:r>
      <w:proofErr w:type="gramStart"/>
      <w:r w:rsidRPr="00E57B61">
        <w:rPr>
          <w:rFonts w:asciiTheme="minorHAnsi" w:hAnsiTheme="minorHAnsi" w:cstheme="minorHAnsi"/>
          <w:iCs/>
        </w:rPr>
        <w:t>payment, or</w:t>
      </w:r>
      <w:proofErr w:type="gramEnd"/>
      <w:r w:rsidRPr="00E57B61">
        <w:rPr>
          <w:rFonts w:asciiTheme="minorHAnsi" w:hAnsiTheme="minorHAnsi" w:cstheme="minorHAnsi"/>
          <w:iCs/>
        </w:rPr>
        <w:t xml:space="preserve"> withhold the full payment if it is less than $10,000, until the Proposer submits a complete and accurate post-contract certification form.</w:t>
      </w:r>
    </w:p>
    <w:p w14:paraId="532BD02F" w14:textId="77777777" w:rsidR="00D36693" w:rsidRPr="00E57B61" w:rsidRDefault="00D36693" w:rsidP="00D36693">
      <w:pPr>
        <w:pStyle w:val="BodyText"/>
        <w:ind w:left="720"/>
        <w:jc w:val="both"/>
        <w:rPr>
          <w:rFonts w:asciiTheme="minorHAnsi" w:hAnsiTheme="minorHAnsi" w:cstheme="minorHAnsi"/>
          <w:iCs/>
        </w:rPr>
      </w:pPr>
      <w:r w:rsidRPr="00E57B61">
        <w:rPr>
          <w:rFonts w:asciiTheme="minorHAnsi" w:hAnsiTheme="minorHAnsi" w:cstheme="minorHAnsi"/>
          <w:iCs/>
        </w:rPr>
        <w:t>When a Proposer fails to comply with the post-contract certification requirement in this section and a payment withhold is applied to a contract, the Judicial Council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Judicial Council shall permanently deduct $10,000 from the final payment, or the full payment if less than $10,000.</w:t>
      </w:r>
    </w:p>
    <w:p w14:paraId="52DE6FD1" w14:textId="77777777" w:rsidR="00D36693" w:rsidRPr="00E57B61" w:rsidRDefault="00D36693" w:rsidP="00D36693">
      <w:pPr>
        <w:pStyle w:val="BodyText"/>
        <w:spacing w:after="0"/>
        <w:ind w:left="720"/>
        <w:jc w:val="both"/>
        <w:rPr>
          <w:rFonts w:asciiTheme="minorHAnsi" w:hAnsiTheme="minorHAnsi" w:cstheme="minorHAnsi"/>
          <w:iCs/>
        </w:rPr>
      </w:pPr>
      <w:r w:rsidRPr="00E57B61">
        <w:rPr>
          <w:rFonts w:asciiTheme="minorHAnsi" w:hAnsiTheme="minorHAnsi" w:cstheme="minorHAnsi"/>
          <w:iCs/>
        </w:rPr>
        <w:t>FRAUDULENT MISREPREPRETATION IN CONNECTION WITH THE DVBE INCENTIVE IS A MISDEMEANOR AND IS PUNISHABLE BY IMPRISONMENT OR FINE, AND VIOLATORS ARE LIABLE FOR CIVIL PENALTIES. SEE MVC 999.9.</w:t>
      </w:r>
    </w:p>
    <w:p w14:paraId="5BFCB47C" w14:textId="50FFF540" w:rsidR="00EE1E7F" w:rsidRDefault="00EE1E7F"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6649AC">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SMALL business preference</w:t>
      </w:r>
    </w:p>
    <w:p w14:paraId="08A4D463" w14:textId="77777777" w:rsidR="00FC71D9" w:rsidRDefault="00FC71D9" w:rsidP="00FC71D9">
      <w:pPr>
        <w:ind w:left="720"/>
      </w:pPr>
      <w:r>
        <w:t xml:space="preserve">Small business participation is not mandatory.  Failure to qualify for the small business preference will not render a proposal non-responsive.  </w:t>
      </w:r>
    </w:p>
    <w:p w14:paraId="36749D8D" w14:textId="77777777" w:rsidR="00FC71D9" w:rsidRDefault="00FC71D9" w:rsidP="00436C0F">
      <w:pPr>
        <w:ind w:left="720"/>
      </w:pPr>
    </w:p>
    <w:p w14:paraId="32CCFDEB" w14:textId="77777777" w:rsidR="00436C0F" w:rsidRDefault="00436C0F" w:rsidP="00436C0F">
      <w:pPr>
        <w:ind w:left="720"/>
      </w:pPr>
      <w:r>
        <w:t xml:space="preserve">Eligibility for and application of the small business preference is governed by the JBE’s Small Business Preference Procedures for the Procurement of Information Technology Goods and Services.  </w:t>
      </w:r>
      <w:r w:rsidR="0090254C">
        <w:t xml:space="preserve">The </w:t>
      </w:r>
      <w:r w:rsidR="007E3EF8">
        <w:t>Proposer</w:t>
      </w:r>
      <w:r>
        <w:t xml:space="preserve"> will receive a small business preference if, in the JBE’s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14:paraId="7D35F616" w14:textId="77777777" w:rsidR="00436C0F" w:rsidRDefault="00436C0F" w:rsidP="00436C0F">
      <w:pPr>
        <w:ind w:left="720"/>
      </w:pPr>
    </w:p>
    <w:p w14:paraId="1A2EA268" w14:textId="77777777" w:rsidR="00436C0F" w:rsidRDefault="002F43B9" w:rsidP="00436C0F">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A191F5D" w14:textId="77777777" w:rsidR="00436C0F" w:rsidRDefault="00436C0F" w:rsidP="00436C0F">
      <w:pPr>
        <w:ind w:left="720"/>
      </w:pPr>
    </w:p>
    <w:p w14:paraId="00D4F361" w14:textId="77777777" w:rsidR="00436C0F" w:rsidRDefault="00436C0F" w:rsidP="00436C0F">
      <w:pPr>
        <w:ind w:left="720"/>
      </w:pPr>
      <w:r>
        <w:lastRenderedPageBreak/>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(Attachment </w:t>
      </w:r>
      <w:r w:rsidR="009C347A">
        <w:t>5</w:t>
      </w:r>
      <w:r w:rsidR="007E3EF8">
        <w:t>)</w:t>
      </w:r>
      <w:r>
        <w:t xml:space="preserve">.  </w:t>
      </w:r>
      <w:r w:rsidR="0090254C">
        <w:t xml:space="preserve">The </w:t>
      </w:r>
      <w:r w:rsidR="007E3EF8">
        <w:t xml:space="preserve">Proposer </w:t>
      </w:r>
      <w:r>
        <w:t xml:space="preserve">must submit with the Small Business Declaration all materials required in the Small Business Declaration. </w:t>
      </w:r>
    </w:p>
    <w:p w14:paraId="04897362" w14:textId="77777777" w:rsidR="00436C0F" w:rsidRDefault="00436C0F" w:rsidP="00436C0F">
      <w:pPr>
        <w:ind w:left="1440" w:hanging="720"/>
      </w:pPr>
    </w:p>
    <w:p w14:paraId="281C3159" w14:textId="77777777" w:rsidR="00436C0F" w:rsidRDefault="00436C0F" w:rsidP="00436C0F">
      <w:pPr>
        <w:ind w:left="720"/>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JBE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14:paraId="5C9DF1E3" w14:textId="77777777" w:rsidR="00436C0F" w:rsidRDefault="00436C0F" w:rsidP="00436C0F">
      <w:pPr>
        <w:ind w:left="720"/>
      </w:pPr>
    </w:p>
    <w:p w14:paraId="3255881D" w14:textId="77777777" w:rsidR="00436C0F" w:rsidRDefault="002F43B9" w:rsidP="00436C0F">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14:paraId="16539F3F" w14:textId="77777777" w:rsidR="00436C0F" w:rsidRDefault="00436C0F" w:rsidP="00436C0F">
      <w:pPr>
        <w:ind w:left="720"/>
      </w:pPr>
    </w:p>
    <w:p w14:paraId="2110FE25" w14:textId="77777777" w:rsidR="00436C0F"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23F28525" w14:textId="705E3332"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6649AC">
        <w:rPr>
          <w:rFonts w:ascii="Times New Roman Bold" w:hAnsi="Times New Roman Bold"/>
          <w:b/>
          <w:caps/>
          <w:color w:val="000000" w:themeColor="text1"/>
          <w:szCs w:val="20"/>
          <w:u w:val="none"/>
        </w:rPr>
        <w:t>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1D575CCD" w14:textId="4B26FAA9" w:rsidR="002C3530" w:rsidRPr="00F3548B" w:rsidRDefault="00053778" w:rsidP="00E454C8">
      <w:pPr>
        <w:ind w:left="720"/>
        <w:rPr>
          <w:color w:val="000000" w:themeColor="text1"/>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w:t>
      </w:r>
      <w:proofErr w:type="gramStart"/>
      <w:r w:rsidRPr="00F3548B">
        <w:rPr>
          <w:color w:val="000000" w:themeColor="text1"/>
        </w:rPr>
        <w:t>responsive, and</w:t>
      </w:r>
      <w:proofErr w:type="gramEnd"/>
      <w:r w:rsidRPr="00F3548B">
        <w:rPr>
          <w:color w:val="000000" w:themeColor="text1"/>
        </w:rPr>
        <w:t xml:space="preserve"> will result in rejection of the protest. </w:t>
      </w:r>
      <w:r w:rsidRPr="005A3E81">
        <w:rPr>
          <w:color w:val="000000" w:themeColor="text1"/>
        </w:rPr>
        <w:t xml:space="preserve">The deadline for the </w:t>
      </w:r>
      <w:r w:rsidR="00E454C8">
        <w:rPr>
          <w:color w:val="000000" w:themeColor="text1"/>
        </w:rPr>
        <w:t>Judicial Council</w:t>
      </w:r>
      <w:r w:rsidRPr="005A3E81">
        <w:rPr>
          <w:color w:val="000000" w:themeColor="text1"/>
        </w:rPr>
        <w:t xml:space="preserve"> to receive a solicitation specifications protest is</w:t>
      </w:r>
      <w:r w:rsidR="006B7C25">
        <w:rPr>
          <w:color w:val="000000"/>
        </w:rPr>
        <w:t xml:space="preserve"> </w:t>
      </w:r>
      <w:r w:rsidR="00E45B78" w:rsidRPr="00E57B61">
        <w:rPr>
          <w:color w:val="000000" w:themeColor="text1"/>
        </w:rPr>
        <w:t>the proposal due date</w:t>
      </w:r>
      <w:r w:rsidR="006B7C25" w:rsidRPr="00E57B61">
        <w:rPr>
          <w:color w:val="000000" w:themeColor="text1"/>
        </w:rPr>
        <w:t>.</w:t>
      </w:r>
      <w:r w:rsidR="00E454C8">
        <w:rPr>
          <w:color w:val="000000" w:themeColor="text1"/>
        </w:rPr>
        <w:t xml:space="preserve"> </w:t>
      </w:r>
      <w:r w:rsidR="00E454C8" w:rsidRPr="00E454C8">
        <w:rPr>
          <w:rStyle w:val="cf01"/>
          <w:rFonts w:asciiTheme="minorHAnsi" w:hAnsiTheme="minorHAnsi" w:cstheme="minorHAnsi"/>
          <w:sz w:val="24"/>
          <w:szCs w:val="24"/>
        </w:rPr>
        <w:t xml:space="preserve">In order to be considered valid, all such protests must be submitted by email to: </w:t>
      </w:r>
      <w:hyperlink r:id="rId20" w:history="1">
        <w:r w:rsidR="00E454C8" w:rsidRPr="00E454C8">
          <w:rPr>
            <w:rStyle w:val="cf01"/>
            <w:rFonts w:asciiTheme="minorHAnsi" w:hAnsiTheme="minorHAnsi" w:cstheme="minorHAnsi"/>
            <w:color w:val="0000FF"/>
            <w:sz w:val="24"/>
            <w:szCs w:val="24"/>
            <w:u w:val="single"/>
          </w:rPr>
          <w:t>Solicitations@jud.ca.gov</w:t>
        </w:r>
      </w:hyperlink>
      <w:r w:rsidR="00E454C8" w:rsidRPr="00E454C8">
        <w:rPr>
          <w:rStyle w:val="cf11"/>
          <w:rFonts w:asciiTheme="minorHAnsi" w:hAnsiTheme="minorHAnsi" w:cstheme="minorHAnsi"/>
          <w:sz w:val="24"/>
          <w:szCs w:val="24"/>
        </w:rPr>
        <w:t xml:space="preserve"> </w:t>
      </w:r>
      <w:r w:rsidR="00E454C8" w:rsidRPr="00E454C8">
        <w:rPr>
          <w:rStyle w:val="cf21"/>
          <w:rFonts w:asciiTheme="minorHAnsi" w:eastAsiaTheme="majorEastAsia" w:hAnsiTheme="minorHAnsi" w:cstheme="minorHAnsi"/>
          <w:sz w:val="24"/>
          <w:szCs w:val="24"/>
        </w:rPr>
        <w:t>(</w:t>
      </w:r>
      <w:r w:rsidR="00E454C8" w:rsidRPr="00E454C8">
        <w:rPr>
          <w:rStyle w:val="cf01"/>
          <w:rFonts w:asciiTheme="minorHAnsi" w:hAnsiTheme="minorHAnsi" w:cstheme="minorHAnsi"/>
          <w:sz w:val="24"/>
          <w:szCs w:val="24"/>
        </w:rPr>
        <w:t>and must indicate the solicitation number and name of your firm in the subject line of your email.</w:t>
      </w:r>
    </w:p>
    <w:p w14:paraId="3B8FE5A9" w14:textId="77777777" w:rsidR="002C3530" w:rsidRDefault="002C3530" w:rsidP="002C3530"/>
    <w:p w14:paraId="1A6A5F49" w14:textId="77777777" w:rsidR="00C662D1" w:rsidRDefault="00C662D1"/>
    <w:p w14:paraId="7DD633A8" w14:textId="77777777" w:rsidR="00130AE7" w:rsidRDefault="00130AE7"/>
    <w:p w14:paraId="1D88A074" w14:textId="77777777" w:rsidR="00130AE7" w:rsidRDefault="00130AE7"/>
    <w:sectPr w:rsidR="00130AE7" w:rsidSect="00C07C22">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B3A1" w14:textId="77777777" w:rsidR="00C07C22" w:rsidRDefault="00C07C22" w:rsidP="00C37FF7">
      <w:r>
        <w:separator/>
      </w:r>
    </w:p>
  </w:endnote>
  <w:endnote w:type="continuationSeparator" w:id="0">
    <w:p w14:paraId="3F752AE1" w14:textId="77777777" w:rsidR="00C07C22" w:rsidRDefault="00C07C22"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4A67" w14:textId="692295D9" w:rsidR="006A6E22" w:rsidRDefault="00F53F97">
    <w:pPr>
      <w:pStyle w:val="Footer"/>
    </w:pPr>
    <w:sdt>
      <w:sdtPr>
        <w:id w:val="18165802"/>
        <w:docPartObj>
          <w:docPartGallery w:val="Page Numbers (Bottom of Page)"/>
          <w:docPartUnique/>
        </w:docPartObj>
      </w:sdtPr>
      <w:sdtEndPr/>
      <w:sdtContent>
        <w:r w:rsidR="00291FBB" w:rsidRPr="00A90E8F">
          <w:rPr>
            <w:sz w:val="20"/>
            <w:szCs w:val="20"/>
          </w:rPr>
          <w:fldChar w:fldCharType="begin"/>
        </w:r>
        <w:r w:rsidR="006A6E22" w:rsidRPr="00A90E8F">
          <w:rPr>
            <w:sz w:val="20"/>
            <w:szCs w:val="20"/>
          </w:rPr>
          <w:instrText xml:space="preserve"> PAGE   \* MERGEFORMAT </w:instrText>
        </w:r>
        <w:r w:rsidR="00291FBB" w:rsidRPr="00A90E8F">
          <w:rPr>
            <w:sz w:val="20"/>
            <w:szCs w:val="20"/>
          </w:rPr>
          <w:fldChar w:fldCharType="separate"/>
        </w:r>
        <w:r w:rsidR="00597609">
          <w:rPr>
            <w:noProof/>
            <w:sz w:val="20"/>
            <w:szCs w:val="20"/>
          </w:rPr>
          <w:t>1</w:t>
        </w:r>
        <w:r w:rsidR="00291FBB" w:rsidRPr="00A90E8F">
          <w:rPr>
            <w:sz w:val="20"/>
            <w:szCs w:val="20"/>
          </w:rPr>
          <w:fldChar w:fldCharType="end"/>
        </w:r>
        <w:r w:rsidR="006A6E22" w:rsidRPr="00A90E8F">
          <w:rPr>
            <w:sz w:val="20"/>
            <w:szCs w:val="20"/>
          </w:rPr>
          <w:tab/>
        </w:r>
        <w:r w:rsidR="006A6E22" w:rsidRPr="00A90E8F">
          <w:rPr>
            <w:sz w:val="20"/>
            <w:szCs w:val="20"/>
          </w:rPr>
          <w:tab/>
          <w:t xml:space="preserve">rev </w:t>
        </w:r>
        <w:r w:rsidR="00232B36" w:rsidRPr="00EA3068">
          <w:rPr>
            <w:sz w:val="20"/>
            <w:szCs w:val="20"/>
          </w:rPr>
          <w:t>July 2022</w:t>
        </w:r>
      </w:sdtContent>
    </w:sdt>
  </w:p>
  <w:p w14:paraId="53C817ED" w14:textId="77777777" w:rsidR="006A6E22" w:rsidRDefault="006A6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A4BF" w14:textId="77777777" w:rsidR="00C07C22" w:rsidRDefault="00C07C22" w:rsidP="00C37FF7">
      <w:r>
        <w:separator/>
      </w:r>
    </w:p>
  </w:footnote>
  <w:footnote w:type="continuationSeparator" w:id="0">
    <w:p w14:paraId="0E309E08" w14:textId="77777777" w:rsidR="00C07C22" w:rsidRDefault="00C07C22"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2861" w14:textId="78F72AA3" w:rsidR="006A6E22" w:rsidRDefault="006A6E22" w:rsidP="00C37FF7">
    <w:pPr>
      <w:pStyle w:val="CommentText"/>
      <w:tabs>
        <w:tab w:val="left" w:pos="1242"/>
      </w:tabs>
      <w:ind w:right="252"/>
      <w:jc w:val="both"/>
      <w:rPr>
        <w:color w:val="000000"/>
        <w:sz w:val="22"/>
        <w:szCs w:val="22"/>
      </w:rPr>
    </w:pPr>
    <w:r>
      <w:t>RFP</w:t>
    </w:r>
    <w:r w:rsidRPr="0045523B">
      <w:t xml:space="preserve"> Title:</w:t>
    </w:r>
    <w:r>
      <w:rPr>
        <w:color w:val="000000"/>
        <w:sz w:val="22"/>
        <w:szCs w:val="22"/>
      </w:rPr>
      <w:t xml:space="preserve"> </w:t>
    </w:r>
    <w:r w:rsidRPr="00C37FF7">
      <w:rPr>
        <w:i/>
        <w:color w:val="FF0000"/>
        <w:sz w:val="22"/>
        <w:szCs w:val="22"/>
      </w:rPr>
      <w:t>[</w:t>
    </w:r>
    <w:r w:rsidR="00CE5B7F">
      <w:rPr>
        <w:i/>
        <w:color w:val="FF0000"/>
        <w:sz w:val="22"/>
        <w:szCs w:val="22"/>
      </w:rPr>
      <w:t xml:space="preserve">Support for On-Line </w:t>
    </w:r>
    <w:r w:rsidR="004C6E5D">
      <w:rPr>
        <w:i/>
        <w:color w:val="FF0000"/>
        <w:sz w:val="22"/>
        <w:szCs w:val="22"/>
      </w:rPr>
      <w:t>D</w:t>
    </w:r>
    <w:r w:rsidR="00CE5B7F">
      <w:rPr>
        <w:i/>
        <w:color w:val="FF0000"/>
        <w:sz w:val="22"/>
        <w:szCs w:val="22"/>
      </w:rPr>
      <w:t>ocument Assembly Program</w:t>
    </w:r>
    <w:r w:rsidRPr="00C37FF7">
      <w:rPr>
        <w:i/>
        <w:color w:val="FF0000"/>
        <w:sz w:val="22"/>
        <w:szCs w:val="22"/>
      </w:rPr>
      <w:t>]</w:t>
    </w:r>
  </w:p>
  <w:p w14:paraId="72CCD040" w14:textId="30863FDD" w:rsidR="006A6E22" w:rsidRPr="009000D1" w:rsidRDefault="006A6E22" w:rsidP="00C37FF7">
    <w:pPr>
      <w:pStyle w:val="CommentText"/>
      <w:tabs>
        <w:tab w:val="left" w:pos="1242"/>
      </w:tabs>
      <w:ind w:right="252"/>
      <w:jc w:val="both"/>
      <w:rPr>
        <w:color w:val="000000"/>
        <w:sz w:val="22"/>
        <w:szCs w:val="22"/>
      </w:rPr>
    </w:pPr>
    <w:r w:rsidRPr="0045523B">
      <w:t>RFP Number:</w:t>
    </w:r>
    <w:r w:rsidR="00020E8A">
      <w:rPr>
        <w:color w:val="000000"/>
        <w:sz w:val="22"/>
        <w:szCs w:val="22"/>
      </w:rPr>
      <w:t xml:space="preserve"> </w:t>
    </w:r>
    <w:r w:rsidRPr="00C37FF7">
      <w:rPr>
        <w:i/>
        <w:color w:val="FF0000"/>
        <w:sz w:val="22"/>
        <w:szCs w:val="22"/>
      </w:rPr>
      <w:t>[</w:t>
    </w:r>
    <w:r w:rsidR="00CE5B7F">
      <w:rPr>
        <w:i/>
        <w:color w:val="FF0000"/>
        <w:sz w:val="22"/>
        <w:szCs w:val="22"/>
      </w:rPr>
      <w:t>CFCC-2024-</w:t>
    </w:r>
    <w:r w:rsidR="00F63784">
      <w:rPr>
        <w:i/>
        <w:color w:val="FF0000"/>
        <w:sz w:val="22"/>
        <w:szCs w:val="22"/>
      </w:rPr>
      <w:t>28</w:t>
    </w:r>
    <w:r w:rsidR="00CE5B7F">
      <w:rPr>
        <w:i/>
        <w:color w:val="FF0000"/>
        <w:sz w:val="22"/>
        <w:szCs w:val="22"/>
      </w:rPr>
      <w:t>-</w:t>
    </w:r>
    <w:r w:rsidR="00F63784">
      <w:rPr>
        <w:i/>
        <w:color w:val="FF0000"/>
        <w:sz w:val="22"/>
        <w:szCs w:val="22"/>
      </w:rPr>
      <w:t>SB</w:t>
    </w:r>
    <w:r w:rsidRPr="00C37FF7">
      <w:rPr>
        <w:i/>
        <w:color w:val="FF0000"/>
        <w:sz w:val="22"/>
        <w:szCs w:val="22"/>
      </w:rPr>
      <w:t>]</w:t>
    </w:r>
  </w:p>
  <w:p w14:paraId="365E1E3D" w14:textId="77777777" w:rsidR="006A6E22" w:rsidRDefault="006A6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C39"/>
    <w:multiLevelType w:val="hybridMultilevel"/>
    <w:tmpl w:val="12B29AE2"/>
    <w:lvl w:ilvl="0" w:tplc="76924CF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0BEE6C72"/>
    <w:multiLevelType w:val="multilevel"/>
    <w:tmpl w:val="5C8C00D6"/>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90157CE"/>
    <w:multiLevelType w:val="hybridMultilevel"/>
    <w:tmpl w:val="BA70CA58"/>
    <w:lvl w:ilvl="0" w:tplc="1DAC9B0A">
      <w:start w:val="8"/>
      <w:numFmt w:val="lowerLetter"/>
      <w:lvlText w:val="%1."/>
      <w:lvlJc w:val="left"/>
      <w:pPr>
        <w:ind w:left="1890" w:hanging="360"/>
      </w:pPr>
      <w:rPr>
        <w:rFonts w:hint="default"/>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29E43CB1"/>
    <w:multiLevelType w:val="hybridMultilevel"/>
    <w:tmpl w:val="3330152C"/>
    <w:lvl w:ilvl="0" w:tplc="C1F0CCDE">
      <w:start w:val="4"/>
      <w:numFmt w:val="lowerLetter"/>
      <w:lvlText w:val="%1)"/>
      <w:lvlJc w:val="left"/>
      <w:pPr>
        <w:ind w:left="252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CA20705"/>
    <w:multiLevelType w:val="multilevel"/>
    <w:tmpl w:val="6688D792"/>
    <w:lvl w:ilvl="0">
      <w:start w:val="5"/>
      <w:numFmt w:val="decimal"/>
      <w:pStyle w:val="Style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15:restartNumberingAfterBreak="0">
    <w:nsid w:val="33184AB4"/>
    <w:multiLevelType w:val="multilevel"/>
    <w:tmpl w:val="257C92CE"/>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8B03BA"/>
    <w:multiLevelType w:val="multilevel"/>
    <w:tmpl w:val="50EE4D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8257A1"/>
    <w:multiLevelType w:val="hybridMultilevel"/>
    <w:tmpl w:val="169CADC4"/>
    <w:lvl w:ilvl="0" w:tplc="30D4A0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61952"/>
    <w:multiLevelType w:val="hybridMultilevel"/>
    <w:tmpl w:val="E8C46A16"/>
    <w:lvl w:ilvl="0" w:tplc="13EA6A7E">
      <w:start w:val="5"/>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689454154">
    <w:abstractNumId w:val="18"/>
  </w:num>
  <w:num w:numId="2" w16cid:durableId="1196238934">
    <w:abstractNumId w:val="12"/>
  </w:num>
  <w:num w:numId="3" w16cid:durableId="1620066027">
    <w:abstractNumId w:val="11"/>
  </w:num>
  <w:num w:numId="4" w16cid:durableId="1744911844">
    <w:abstractNumId w:val="16"/>
  </w:num>
  <w:num w:numId="5" w16cid:durableId="787970955">
    <w:abstractNumId w:val="1"/>
  </w:num>
  <w:num w:numId="6" w16cid:durableId="2035112615">
    <w:abstractNumId w:val="17"/>
  </w:num>
  <w:num w:numId="7" w16cid:durableId="969675752">
    <w:abstractNumId w:val="9"/>
  </w:num>
  <w:num w:numId="8" w16cid:durableId="827787362">
    <w:abstractNumId w:val="5"/>
  </w:num>
  <w:num w:numId="9" w16cid:durableId="750737091">
    <w:abstractNumId w:val="7"/>
  </w:num>
  <w:num w:numId="10" w16cid:durableId="1164123196">
    <w:abstractNumId w:val="19"/>
  </w:num>
  <w:num w:numId="11" w16cid:durableId="192153427">
    <w:abstractNumId w:val="13"/>
  </w:num>
  <w:num w:numId="12" w16cid:durableId="40444822">
    <w:abstractNumId w:val="15"/>
  </w:num>
  <w:num w:numId="13" w16cid:durableId="350499716">
    <w:abstractNumId w:val="14"/>
  </w:num>
  <w:num w:numId="14" w16cid:durableId="343551772">
    <w:abstractNumId w:val="6"/>
  </w:num>
  <w:num w:numId="15" w16cid:durableId="2110733429">
    <w:abstractNumId w:val="2"/>
  </w:num>
  <w:num w:numId="16" w16cid:durableId="1879245733">
    <w:abstractNumId w:val="4"/>
  </w:num>
  <w:num w:numId="17" w16cid:durableId="1038504669">
    <w:abstractNumId w:val="0"/>
  </w:num>
  <w:num w:numId="18" w16cid:durableId="1553924849">
    <w:abstractNumId w:val="20"/>
  </w:num>
  <w:num w:numId="19" w16cid:durableId="952828129">
    <w:abstractNumId w:val="8"/>
  </w:num>
  <w:num w:numId="20" w16cid:durableId="1908833177">
    <w:abstractNumId w:val="10"/>
  </w:num>
  <w:num w:numId="21" w16cid:durableId="109668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05D0"/>
    <w:rsid w:val="00000A01"/>
    <w:rsid w:val="000025BE"/>
    <w:rsid w:val="0000270A"/>
    <w:rsid w:val="000056E5"/>
    <w:rsid w:val="00020D77"/>
    <w:rsid w:val="00020DD8"/>
    <w:rsid w:val="00020E8A"/>
    <w:rsid w:val="00021D32"/>
    <w:rsid w:val="0002344F"/>
    <w:rsid w:val="00023B38"/>
    <w:rsid w:val="00031D72"/>
    <w:rsid w:val="00033354"/>
    <w:rsid w:val="000356BE"/>
    <w:rsid w:val="00047210"/>
    <w:rsid w:val="00050FB6"/>
    <w:rsid w:val="000518CD"/>
    <w:rsid w:val="00053778"/>
    <w:rsid w:val="00057E62"/>
    <w:rsid w:val="0006154E"/>
    <w:rsid w:val="00070FCA"/>
    <w:rsid w:val="00080391"/>
    <w:rsid w:val="00082230"/>
    <w:rsid w:val="000906D4"/>
    <w:rsid w:val="000969C7"/>
    <w:rsid w:val="000B0813"/>
    <w:rsid w:val="000B5852"/>
    <w:rsid w:val="000B6ABA"/>
    <w:rsid w:val="000D1A04"/>
    <w:rsid w:val="000D1E8B"/>
    <w:rsid w:val="000D2235"/>
    <w:rsid w:val="000D43CC"/>
    <w:rsid w:val="000D4C75"/>
    <w:rsid w:val="000D5FD6"/>
    <w:rsid w:val="000E14BB"/>
    <w:rsid w:val="000F305B"/>
    <w:rsid w:val="00101C48"/>
    <w:rsid w:val="00110657"/>
    <w:rsid w:val="001135E2"/>
    <w:rsid w:val="00115648"/>
    <w:rsid w:val="0012465F"/>
    <w:rsid w:val="0012621F"/>
    <w:rsid w:val="001303B1"/>
    <w:rsid w:val="00130AE7"/>
    <w:rsid w:val="00133F5A"/>
    <w:rsid w:val="00142C87"/>
    <w:rsid w:val="00143D24"/>
    <w:rsid w:val="001506F4"/>
    <w:rsid w:val="001564A5"/>
    <w:rsid w:val="00157C69"/>
    <w:rsid w:val="00165681"/>
    <w:rsid w:val="00166197"/>
    <w:rsid w:val="00167DF4"/>
    <w:rsid w:val="00170DC4"/>
    <w:rsid w:val="00172750"/>
    <w:rsid w:val="00173CFE"/>
    <w:rsid w:val="00174E5A"/>
    <w:rsid w:val="00181FDA"/>
    <w:rsid w:val="00191F68"/>
    <w:rsid w:val="0019276F"/>
    <w:rsid w:val="001A3573"/>
    <w:rsid w:val="001A5590"/>
    <w:rsid w:val="001B29F7"/>
    <w:rsid w:val="001C4ED0"/>
    <w:rsid w:val="001C6CA3"/>
    <w:rsid w:val="001D416D"/>
    <w:rsid w:val="001D584B"/>
    <w:rsid w:val="001D726C"/>
    <w:rsid w:val="001E0253"/>
    <w:rsid w:val="001E306E"/>
    <w:rsid w:val="001E343D"/>
    <w:rsid w:val="001E612A"/>
    <w:rsid w:val="001E6F65"/>
    <w:rsid w:val="0020192C"/>
    <w:rsid w:val="00201D27"/>
    <w:rsid w:val="00204B2E"/>
    <w:rsid w:val="002102F5"/>
    <w:rsid w:val="002209B1"/>
    <w:rsid w:val="00221459"/>
    <w:rsid w:val="0022207C"/>
    <w:rsid w:val="002251AF"/>
    <w:rsid w:val="00226801"/>
    <w:rsid w:val="00226D67"/>
    <w:rsid w:val="00227F66"/>
    <w:rsid w:val="00230D5C"/>
    <w:rsid w:val="00232B36"/>
    <w:rsid w:val="0023310E"/>
    <w:rsid w:val="00233D32"/>
    <w:rsid w:val="00246470"/>
    <w:rsid w:val="002474D7"/>
    <w:rsid w:val="002475A4"/>
    <w:rsid w:val="00251CC8"/>
    <w:rsid w:val="00253633"/>
    <w:rsid w:val="00253E0F"/>
    <w:rsid w:val="00254633"/>
    <w:rsid w:val="002622C4"/>
    <w:rsid w:val="00262320"/>
    <w:rsid w:val="00264AAA"/>
    <w:rsid w:val="002661A3"/>
    <w:rsid w:val="00267595"/>
    <w:rsid w:val="00277310"/>
    <w:rsid w:val="002819AA"/>
    <w:rsid w:val="002826A9"/>
    <w:rsid w:val="00287D48"/>
    <w:rsid w:val="00287FCB"/>
    <w:rsid w:val="0029196A"/>
    <w:rsid w:val="00291FBB"/>
    <w:rsid w:val="00292053"/>
    <w:rsid w:val="00292140"/>
    <w:rsid w:val="002929B5"/>
    <w:rsid w:val="002A17A2"/>
    <w:rsid w:val="002A7426"/>
    <w:rsid w:val="002C1945"/>
    <w:rsid w:val="002C3530"/>
    <w:rsid w:val="002C64BD"/>
    <w:rsid w:val="002D07F1"/>
    <w:rsid w:val="002D15D5"/>
    <w:rsid w:val="002D6D26"/>
    <w:rsid w:val="002E543F"/>
    <w:rsid w:val="002E7965"/>
    <w:rsid w:val="002F43B9"/>
    <w:rsid w:val="003020A2"/>
    <w:rsid w:val="003068A8"/>
    <w:rsid w:val="003079DF"/>
    <w:rsid w:val="00311490"/>
    <w:rsid w:val="0031272D"/>
    <w:rsid w:val="00312D1B"/>
    <w:rsid w:val="003147F4"/>
    <w:rsid w:val="003150DE"/>
    <w:rsid w:val="0032125D"/>
    <w:rsid w:val="00325BBE"/>
    <w:rsid w:val="00326CAC"/>
    <w:rsid w:val="00327099"/>
    <w:rsid w:val="0032785B"/>
    <w:rsid w:val="00327CD5"/>
    <w:rsid w:val="00333A7A"/>
    <w:rsid w:val="003364C3"/>
    <w:rsid w:val="00336ABC"/>
    <w:rsid w:val="00342B59"/>
    <w:rsid w:val="003535FE"/>
    <w:rsid w:val="0036121D"/>
    <w:rsid w:val="003670B6"/>
    <w:rsid w:val="00375884"/>
    <w:rsid w:val="0038448C"/>
    <w:rsid w:val="00394AB4"/>
    <w:rsid w:val="00395983"/>
    <w:rsid w:val="00395B94"/>
    <w:rsid w:val="0039604F"/>
    <w:rsid w:val="003A0012"/>
    <w:rsid w:val="003A35AB"/>
    <w:rsid w:val="003A45C1"/>
    <w:rsid w:val="003A4D99"/>
    <w:rsid w:val="003B268E"/>
    <w:rsid w:val="003C14B3"/>
    <w:rsid w:val="003C249E"/>
    <w:rsid w:val="003D5784"/>
    <w:rsid w:val="003E46FF"/>
    <w:rsid w:val="003E5035"/>
    <w:rsid w:val="003F1ED0"/>
    <w:rsid w:val="003F7633"/>
    <w:rsid w:val="00400CA2"/>
    <w:rsid w:val="00401F22"/>
    <w:rsid w:val="00407E44"/>
    <w:rsid w:val="004136BA"/>
    <w:rsid w:val="00415DEC"/>
    <w:rsid w:val="0043059D"/>
    <w:rsid w:val="00432F1A"/>
    <w:rsid w:val="00436C0F"/>
    <w:rsid w:val="0044047E"/>
    <w:rsid w:val="004425FB"/>
    <w:rsid w:val="00447EF8"/>
    <w:rsid w:val="004601F8"/>
    <w:rsid w:val="004645A7"/>
    <w:rsid w:val="00475836"/>
    <w:rsid w:val="004812BB"/>
    <w:rsid w:val="00482CC9"/>
    <w:rsid w:val="0048445D"/>
    <w:rsid w:val="00494EC2"/>
    <w:rsid w:val="004960BA"/>
    <w:rsid w:val="004A337A"/>
    <w:rsid w:val="004A70F2"/>
    <w:rsid w:val="004B0437"/>
    <w:rsid w:val="004B38F7"/>
    <w:rsid w:val="004C6E5D"/>
    <w:rsid w:val="004D0D8E"/>
    <w:rsid w:val="004D206D"/>
    <w:rsid w:val="004D5961"/>
    <w:rsid w:val="004E100E"/>
    <w:rsid w:val="004E113B"/>
    <w:rsid w:val="004E39B3"/>
    <w:rsid w:val="004E669D"/>
    <w:rsid w:val="004F2B20"/>
    <w:rsid w:val="004F4E91"/>
    <w:rsid w:val="005007B8"/>
    <w:rsid w:val="00501FF0"/>
    <w:rsid w:val="00510171"/>
    <w:rsid w:val="005102EE"/>
    <w:rsid w:val="00511CFB"/>
    <w:rsid w:val="00512CCE"/>
    <w:rsid w:val="00517579"/>
    <w:rsid w:val="005238E4"/>
    <w:rsid w:val="00525CBD"/>
    <w:rsid w:val="00530DDB"/>
    <w:rsid w:val="00531D6E"/>
    <w:rsid w:val="00532899"/>
    <w:rsid w:val="0053561F"/>
    <w:rsid w:val="00541482"/>
    <w:rsid w:val="00543187"/>
    <w:rsid w:val="00544B38"/>
    <w:rsid w:val="005508AC"/>
    <w:rsid w:val="00562D50"/>
    <w:rsid w:val="0056424E"/>
    <w:rsid w:val="0057317D"/>
    <w:rsid w:val="00573A06"/>
    <w:rsid w:val="00574253"/>
    <w:rsid w:val="00575623"/>
    <w:rsid w:val="005844B9"/>
    <w:rsid w:val="005846F1"/>
    <w:rsid w:val="00585138"/>
    <w:rsid w:val="005946B6"/>
    <w:rsid w:val="00595811"/>
    <w:rsid w:val="00595822"/>
    <w:rsid w:val="00597609"/>
    <w:rsid w:val="00597C4A"/>
    <w:rsid w:val="005A34B0"/>
    <w:rsid w:val="005A3F91"/>
    <w:rsid w:val="005B04DF"/>
    <w:rsid w:val="005B19D5"/>
    <w:rsid w:val="005B7E8A"/>
    <w:rsid w:val="005C7430"/>
    <w:rsid w:val="005D2B0B"/>
    <w:rsid w:val="005D6968"/>
    <w:rsid w:val="005E08C0"/>
    <w:rsid w:val="005E42B7"/>
    <w:rsid w:val="005F06C2"/>
    <w:rsid w:val="005F1616"/>
    <w:rsid w:val="005F3F8D"/>
    <w:rsid w:val="005F5503"/>
    <w:rsid w:val="005F597D"/>
    <w:rsid w:val="005F5C25"/>
    <w:rsid w:val="005F6E88"/>
    <w:rsid w:val="0060510B"/>
    <w:rsid w:val="0061155E"/>
    <w:rsid w:val="00624AEA"/>
    <w:rsid w:val="00626AC2"/>
    <w:rsid w:val="00626B27"/>
    <w:rsid w:val="006308E7"/>
    <w:rsid w:val="00640DD7"/>
    <w:rsid w:val="00646261"/>
    <w:rsid w:val="00647804"/>
    <w:rsid w:val="006521A3"/>
    <w:rsid w:val="00652F20"/>
    <w:rsid w:val="006537F3"/>
    <w:rsid w:val="00655C6B"/>
    <w:rsid w:val="00656093"/>
    <w:rsid w:val="006562BF"/>
    <w:rsid w:val="00656FCE"/>
    <w:rsid w:val="00662A31"/>
    <w:rsid w:val="006649AC"/>
    <w:rsid w:val="00666AC3"/>
    <w:rsid w:val="00666CAB"/>
    <w:rsid w:val="00666CAF"/>
    <w:rsid w:val="00672E21"/>
    <w:rsid w:val="006745CB"/>
    <w:rsid w:val="00674C33"/>
    <w:rsid w:val="00675336"/>
    <w:rsid w:val="00675C38"/>
    <w:rsid w:val="006822FA"/>
    <w:rsid w:val="0068288F"/>
    <w:rsid w:val="00695BDF"/>
    <w:rsid w:val="00697BEE"/>
    <w:rsid w:val="006A67DD"/>
    <w:rsid w:val="006A6E22"/>
    <w:rsid w:val="006B572B"/>
    <w:rsid w:val="006B7C25"/>
    <w:rsid w:val="006C3249"/>
    <w:rsid w:val="006C384C"/>
    <w:rsid w:val="006D02BE"/>
    <w:rsid w:val="006D0595"/>
    <w:rsid w:val="006D4E57"/>
    <w:rsid w:val="006D6F0B"/>
    <w:rsid w:val="006D7BC0"/>
    <w:rsid w:val="006E1F73"/>
    <w:rsid w:val="006E24D0"/>
    <w:rsid w:val="006E36DB"/>
    <w:rsid w:val="006F0B7C"/>
    <w:rsid w:val="006F2691"/>
    <w:rsid w:val="006F6D6E"/>
    <w:rsid w:val="00717523"/>
    <w:rsid w:val="00735F39"/>
    <w:rsid w:val="00742621"/>
    <w:rsid w:val="00745F79"/>
    <w:rsid w:val="00746AC7"/>
    <w:rsid w:val="00747460"/>
    <w:rsid w:val="00752F31"/>
    <w:rsid w:val="0075335D"/>
    <w:rsid w:val="00753F60"/>
    <w:rsid w:val="007556A8"/>
    <w:rsid w:val="00756F27"/>
    <w:rsid w:val="00760C5F"/>
    <w:rsid w:val="00776870"/>
    <w:rsid w:val="00782800"/>
    <w:rsid w:val="007A0851"/>
    <w:rsid w:val="007A2146"/>
    <w:rsid w:val="007A7C95"/>
    <w:rsid w:val="007B0E96"/>
    <w:rsid w:val="007B3EA6"/>
    <w:rsid w:val="007B7AC8"/>
    <w:rsid w:val="007C41DF"/>
    <w:rsid w:val="007C4712"/>
    <w:rsid w:val="007C5D81"/>
    <w:rsid w:val="007D1F42"/>
    <w:rsid w:val="007D47C9"/>
    <w:rsid w:val="007E32B2"/>
    <w:rsid w:val="007E3EF8"/>
    <w:rsid w:val="007E7922"/>
    <w:rsid w:val="007F1182"/>
    <w:rsid w:val="00802668"/>
    <w:rsid w:val="0080611E"/>
    <w:rsid w:val="00806692"/>
    <w:rsid w:val="00813057"/>
    <w:rsid w:val="008209CB"/>
    <w:rsid w:val="00825BC4"/>
    <w:rsid w:val="00827C0C"/>
    <w:rsid w:val="00842EAC"/>
    <w:rsid w:val="0084384C"/>
    <w:rsid w:val="00843DB3"/>
    <w:rsid w:val="0084586E"/>
    <w:rsid w:val="008465EC"/>
    <w:rsid w:val="00876C11"/>
    <w:rsid w:val="0088206E"/>
    <w:rsid w:val="00883916"/>
    <w:rsid w:val="00885A31"/>
    <w:rsid w:val="008862D9"/>
    <w:rsid w:val="008924E2"/>
    <w:rsid w:val="00893C52"/>
    <w:rsid w:val="008B0746"/>
    <w:rsid w:val="008B3420"/>
    <w:rsid w:val="008B50E8"/>
    <w:rsid w:val="008B70B1"/>
    <w:rsid w:val="008C0635"/>
    <w:rsid w:val="008C0FC6"/>
    <w:rsid w:val="008D4F1A"/>
    <w:rsid w:val="008D5785"/>
    <w:rsid w:val="008E56AA"/>
    <w:rsid w:val="0090247B"/>
    <w:rsid w:val="0090254C"/>
    <w:rsid w:val="00902769"/>
    <w:rsid w:val="00914A4E"/>
    <w:rsid w:val="009211B9"/>
    <w:rsid w:val="009239CE"/>
    <w:rsid w:val="00926232"/>
    <w:rsid w:val="009274D7"/>
    <w:rsid w:val="009330D8"/>
    <w:rsid w:val="00933BB3"/>
    <w:rsid w:val="00945B36"/>
    <w:rsid w:val="009657B1"/>
    <w:rsid w:val="00967812"/>
    <w:rsid w:val="00967E54"/>
    <w:rsid w:val="00987492"/>
    <w:rsid w:val="00987D11"/>
    <w:rsid w:val="00990077"/>
    <w:rsid w:val="00993091"/>
    <w:rsid w:val="009938DC"/>
    <w:rsid w:val="009A05C5"/>
    <w:rsid w:val="009A0F0C"/>
    <w:rsid w:val="009B7587"/>
    <w:rsid w:val="009C0996"/>
    <w:rsid w:val="009C331D"/>
    <w:rsid w:val="009C347A"/>
    <w:rsid w:val="009C38A6"/>
    <w:rsid w:val="009D5FF0"/>
    <w:rsid w:val="009D6E8D"/>
    <w:rsid w:val="009E2631"/>
    <w:rsid w:val="009E41CE"/>
    <w:rsid w:val="009E6B6B"/>
    <w:rsid w:val="009F2A26"/>
    <w:rsid w:val="00A00FE3"/>
    <w:rsid w:val="00A018A8"/>
    <w:rsid w:val="00A12D99"/>
    <w:rsid w:val="00A1303E"/>
    <w:rsid w:val="00A15F9F"/>
    <w:rsid w:val="00A21ECF"/>
    <w:rsid w:val="00A42DC6"/>
    <w:rsid w:val="00A436B3"/>
    <w:rsid w:val="00A50B42"/>
    <w:rsid w:val="00A54704"/>
    <w:rsid w:val="00A55A9B"/>
    <w:rsid w:val="00A569DE"/>
    <w:rsid w:val="00A60FB3"/>
    <w:rsid w:val="00A66B5A"/>
    <w:rsid w:val="00A74D65"/>
    <w:rsid w:val="00A74DB8"/>
    <w:rsid w:val="00A81422"/>
    <w:rsid w:val="00A85B69"/>
    <w:rsid w:val="00A90070"/>
    <w:rsid w:val="00A90E8F"/>
    <w:rsid w:val="00A9408B"/>
    <w:rsid w:val="00A96C14"/>
    <w:rsid w:val="00AA07A8"/>
    <w:rsid w:val="00AA5441"/>
    <w:rsid w:val="00AA619A"/>
    <w:rsid w:val="00AA7232"/>
    <w:rsid w:val="00AB2FC2"/>
    <w:rsid w:val="00AB548C"/>
    <w:rsid w:val="00AB5BA4"/>
    <w:rsid w:val="00AB7997"/>
    <w:rsid w:val="00AC3D0A"/>
    <w:rsid w:val="00AC44D4"/>
    <w:rsid w:val="00AC4FF8"/>
    <w:rsid w:val="00AD0693"/>
    <w:rsid w:val="00AD30B3"/>
    <w:rsid w:val="00AD4A4D"/>
    <w:rsid w:val="00AD59DB"/>
    <w:rsid w:val="00AD7BDD"/>
    <w:rsid w:val="00AE1F6D"/>
    <w:rsid w:val="00AE7CD7"/>
    <w:rsid w:val="00AF3D40"/>
    <w:rsid w:val="00B006F3"/>
    <w:rsid w:val="00B00FBE"/>
    <w:rsid w:val="00B119F4"/>
    <w:rsid w:val="00B129BC"/>
    <w:rsid w:val="00B13CBC"/>
    <w:rsid w:val="00B16886"/>
    <w:rsid w:val="00B23242"/>
    <w:rsid w:val="00B24E31"/>
    <w:rsid w:val="00B33A7B"/>
    <w:rsid w:val="00B41390"/>
    <w:rsid w:val="00B46569"/>
    <w:rsid w:val="00B47579"/>
    <w:rsid w:val="00B51B95"/>
    <w:rsid w:val="00B52F3F"/>
    <w:rsid w:val="00B56734"/>
    <w:rsid w:val="00B60F34"/>
    <w:rsid w:val="00B6606B"/>
    <w:rsid w:val="00B66574"/>
    <w:rsid w:val="00B74478"/>
    <w:rsid w:val="00B81D70"/>
    <w:rsid w:val="00B8213C"/>
    <w:rsid w:val="00B82537"/>
    <w:rsid w:val="00B82EF6"/>
    <w:rsid w:val="00B87E50"/>
    <w:rsid w:val="00B90602"/>
    <w:rsid w:val="00B94738"/>
    <w:rsid w:val="00BA0DFA"/>
    <w:rsid w:val="00BA2200"/>
    <w:rsid w:val="00BA3BC1"/>
    <w:rsid w:val="00BA7BDB"/>
    <w:rsid w:val="00BB0504"/>
    <w:rsid w:val="00BB0779"/>
    <w:rsid w:val="00BB663E"/>
    <w:rsid w:val="00BB6FBF"/>
    <w:rsid w:val="00BC6789"/>
    <w:rsid w:val="00BD0D2D"/>
    <w:rsid w:val="00BD3DD2"/>
    <w:rsid w:val="00BD629D"/>
    <w:rsid w:val="00BD65B9"/>
    <w:rsid w:val="00BE1290"/>
    <w:rsid w:val="00BE2261"/>
    <w:rsid w:val="00BE4B56"/>
    <w:rsid w:val="00BE6A61"/>
    <w:rsid w:val="00BF1CD3"/>
    <w:rsid w:val="00BF4E58"/>
    <w:rsid w:val="00BF4F12"/>
    <w:rsid w:val="00BF61E0"/>
    <w:rsid w:val="00C00178"/>
    <w:rsid w:val="00C012D9"/>
    <w:rsid w:val="00C01CAC"/>
    <w:rsid w:val="00C02295"/>
    <w:rsid w:val="00C041EE"/>
    <w:rsid w:val="00C06D20"/>
    <w:rsid w:val="00C07C22"/>
    <w:rsid w:val="00C11468"/>
    <w:rsid w:val="00C13305"/>
    <w:rsid w:val="00C13B2C"/>
    <w:rsid w:val="00C14F81"/>
    <w:rsid w:val="00C20845"/>
    <w:rsid w:val="00C37F07"/>
    <w:rsid w:val="00C37FF7"/>
    <w:rsid w:val="00C40C8B"/>
    <w:rsid w:val="00C44D41"/>
    <w:rsid w:val="00C46320"/>
    <w:rsid w:val="00C54599"/>
    <w:rsid w:val="00C662D1"/>
    <w:rsid w:val="00C676C6"/>
    <w:rsid w:val="00C7072D"/>
    <w:rsid w:val="00C709DF"/>
    <w:rsid w:val="00C738C0"/>
    <w:rsid w:val="00C77A2F"/>
    <w:rsid w:val="00C80E75"/>
    <w:rsid w:val="00C8271A"/>
    <w:rsid w:val="00C83218"/>
    <w:rsid w:val="00C95889"/>
    <w:rsid w:val="00CA469C"/>
    <w:rsid w:val="00CA5C64"/>
    <w:rsid w:val="00CA6804"/>
    <w:rsid w:val="00CB4253"/>
    <w:rsid w:val="00CB4D7E"/>
    <w:rsid w:val="00CC64E4"/>
    <w:rsid w:val="00CD31B9"/>
    <w:rsid w:val="00CE00A8"/>
    <w:rsid w:val="00CE0B98"/>
    <w:rsid w:val="00CE2E62"/>
    <w:rsid w:val="00CE36CF"/>
    <w:rsid w:val="00CE5B7F"/>
    <w:rsid w:val="00CF1997"/>
    <w:rsid w:val="00CF5DB2"/>
    <w:rsid w:val="00CF63BB"/>
    <w:rsid w:val="00CF70E4"/>
    <w:rsid w:val="00D02926"/>
    <w:rsid w:val="00D1041F"/>
    <w:rsid w:val="00D229BA"/>
    <w:rsid w:val="00D22A15"/>
    <w:rsid w:val="00D23D13"/>
    <w:rsid w:val="00D26686"/>
    <w:rsid w:val="00D27AED"/>
    <w:rsid w:val="00D36693"/>
    <w:rsid w:val="00D407CD"/>
    <w:rsid w:val="00D4287A"/>
    <w:rsid w:val="00D435F5"/>
    <w:rsid w:val="00D442E6"/>
    <w:rsid w:val="00D44364"/>
    <w:rsid w:val="00D468E5"/>
    <w:rsid w:val="00D4710E"/>
    <w:rsid w:val="00D50686"/>
    <w:rsid w:val="00D5168D"/>
    <w:rsid w:val="00D51A3E"/>
    <w:rsid w:val="00D523F5"/>
    <w:rsid w:val="00D55941"/>
    <w:rsid w:val="00D5798A"/>
    <w:rsid w:val="00D604CD"/>
    <w:rsid w:val="00D65AA0"/>
    <w:rsid w:val="00D713FD"/>
    <w:rsid w:val="00D7152A"/>
    <w:rsid w:val="00D80D93"/>
    <w:rsid w:val="00D81B24"/>
    <w:rsid w:val="00D842A4"/>
    <w:rsid w:val="00D87941"/>
    <w:rsid w:val="00D92EF1"/>
    <w:rsid w:val="00D9353A"/>
    <w:rsid w:val="00DA4DF7"/>
    <w:rsid w:val="00DD1799"/>
    <w:rsid w:val="00DD3C76"/>
    <w:rsid w:val="00DE3A89"/>
    <w:rsid w:val="00DE3B9B"/>
    <w:rsid w:val="00DE4519"/>
    <w:rsid w:val="00DE5853"/>
    <w:rsid w:val="00DE6DE5"/>
    <w:rsid w:val="00DE6EF8"/>
    <w:rsid w:val="00DF171E"/>
    <w:rsid w:val="00E00E57"/>
    <w:rsid w:val="00E03F2E"/>
    <w:rsid w:val="00E24675"/>
    <w:rsid w:val="00E344D2"/>
    <w:rsid w:val="00E40E52"/>
    <w:rsid w:val="00E454C8"/>
    <w:rsid w:val="00E45B78"/>
    <w:rsid w:val="00E5246D"/>
    <w:rsid w:val="00E552A7"/>
    <w:rsid w:val="00E5570B"/>
    <w:rsid w:val="00E57B61"/>
    <w:rsid w:val="00E61105"/>
    <w:rsid w:val="00E6210D"/>
    <w:rsid w:val="00E63073"/>
    <w:rsid w:val="00E646EE"/>
    <w:rsid w:val="00E66458"/>
    <w:rsid w:val="00E72446"/>
    <w:rsid w:val="00E72BA3"/>
    <w:rsid w:val="00E7797E"/>
    <w:rsid w:val="00E8792A"/>
    <w:rsid w:val="00E9414D"/>
    <w:rsid w:val="00E95AE2"/>
    <w:rsid w:val="00EA2B9C"/>
    <w:rsid w:val="00EA3068"/>
    <w:rsid w:val="00EA31A4"/>
    <w:rsid w:val="00EA391E"/>
    <w:rsid w:val="00EA7A69"/>
    <w:rsid w:val="00EB25B5"/>
    <w:rsid w:val="00EB5FDE"/>
    <w:rsid w:val="00EB713B"/>
    <w:rsid w:val="00EC4775"/>
    <w:rsid w:val="00EC497E"/>
    <w:rsid w:val="00ED2AE4"/>
    <w:rsid w:val="00EE1E7F"/>
    <w:rsid w:val="00EE4622"/>
    <w:rsid w:val="00EF0334"/>
    <w:rsid w:val="00EF3144"/>
    <w:rsid w:val="00F0059D"/>
    <w:rsid w:val="00F00B0F"/>
    <w:rsid w:val="00F06F43"/>
    <w:rsid w:val="00F14B7B"/>
    <w:rsid w:val="00F152E8"/>
    <w:rsid w:val="00F21FF9"/>
    <w:rsid w:val="00F34996"/>
    <w:rsid w:val="00F3653A"/>
    <w:rsid w:val="00F40A1E"/>
    <w:rsid w:val="00F40B4D"/>
    <w:rsid w:val="00F477DC"/>
    <w:rsid w:val="00F53F97"/>
    <w:rsid w:val="00F632B7"/>
    <w:rsid w:val="00F63784"/>
    <w:rsid w:val="00F65928"/>
    <w:rsid w:val="00F73B08"/>
    <w:rsid w:val="00F85DDD"/>
    <w:rsid w:val="00F868DF"/>
    <w:rsid w:val="00F92FB2"/>
    <w:rsid w:val="00F9484D"/>
    <w:rsid w:val="00F95B39"/>
    <w:rsid w:val="00F95CBF"/>
    <w:rsid w:val="00FA4E3B"/>
    <w:rsid w:val="00FA6747"/>
    <w:rsid w:val="00FB0DB0"/>
    <w:rsid w:val="00FB6C4A"/>
    <w:rsid w:val="00FB7CEF"/>
    <w:rsid w:val="00FC1C8B"/>
    <w:rsid w:val="00FC4A81"/>
    <w:rsid w:val="00FC5187"/>
    <w:rsid w:val="00FC71D9"/>
    <w:rsid w:val="00FD001E"/>
    <w:rsid w:val="00FD2C41"/>
    <w:rsid w:val="00FD3DAD"/>
    <w:rsid w:val="00FD40A0"/>
    <w:rsid w:val="00FE1ACA"/>
    <w:rsid w:val="00FE6594"/>
    <w:rsid w:val="00FF1876"/>
    <w:rsid w:val="00FF303F"/>
    <w:rsid w:val="00FF455D"/>
    <w:rsid w:val="00FF4CA5"/>
    <w:rsid w:val="00FF6C4E"/>
    <w:rsid w:val="00FF7096"/>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E2062"/>
  <w15:docId w15:val="{38B3979E-22AC-41D8-ACC9-F46BF2D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Style1">
    <w:name w:val="Style1"/>
    <w:basedOn w:val="Normal"/>
    <w:link w:val="Style1Char"/>
    <w:qFormat/>
    <w:rsid w:val="00CA469C"/>
    <w:pPr>
      <w:numPr>
        <w:numId w:val="14"/>
      </w:numPr>
    </w:pPr>
    <w:rPr>
      <w:b/>
    </w:rPr>
  </w:style>
  <w:style w:type="character" w:customStyle="1" w:styleId="Style1Char">
    <w:name w:val="Style1 Char"/>
    <w:basedOn w:val="DefaultParagraphFont"/>
    <w:link w:val="Style1"/>
    <w:rsid w:val="00CA469C"/>
    <w:rPr>
      <w:rFonts w:ascii="Times New Roman" w:eastAsia="Times New Roman" w:hAnsi="Times New Roman"/>
      <w:b/>
      <w:lang w:bidi="ar-SA"/>
    </w:rPr>
  </w:style>
  <w:style w:type="character" w:styleId="UnresolvedMention">
    <w:name w:val="Unresolved Mention"/>
    <w:basedOn w:val="DefaultParagraphFont"/>
    <w:uiPriority w:val="99"/>
    <w:semiHidden/>
    <w:unhideWhenUsed/>
    <w:rsid w:val="00287FCB"/>
    <w:rPr>
      <w:color w:val="605E5C"/>
      <w:shd w:val="clear" w:color="auto" w:fill="E1DFDD"/>
    </w:rPr>
  </w:style>
  <w:style w:type="character" w:customStyle="1" w:styleId="me-email-text">
    <w:name w:val="me-email-text"/>
    <w:basedOn w:val="DefaultParagraphFont"/>
    <w:rsid w:val="00C80E75"/>
  </w:style>
  <w:style w:type="character" w:customStyle="1" w:styleId="cf01">
    <w:name w:val="cf01"/>
    <w:basedOn w:val="DefaultParagraphFont"/>
    <w:rsid w:val="00E454C8"/>
    <w:rPr>
      <w:rFonts w:ascii="Segoe UI" w:hAnsi="Segoe UI" w:cs="Segoe UI" w:hint="default"/>
      <w:sz w:val="18"/>
      <w:szCs w:val="18"/>
    </w:rPr>
  </w:style>
  <w:style w:type="character" w:customStyle="1" w:styleId="cf11">
    <w:name w:val="cf11"/>
    <w:basedOn w:val="DefaultParagraphFont"/>
    <w:rsid w:val="00E454C8"/>
    <w:rPr>
      <w:rFonts w:ascii="Segoe UI" w:hAnsi="Segoe UI" w:cs="Segoe UI" w:hint="default"/>
      <w:color w:val="0000FF"/>
      <w:sz w:val="18"/>
      <w:szCs w:val="18"/>
      <w:u w:val="single"/>
    </w:rPr>
  </w:style>
  <w:style w:type="character" w:customStyle="1" w:styleId="cf21">
    <w:name w:val="cf21"/>
    <w:basedOn w:val="DefaultParagraphFont"/>
    <w:rsid w:val="00E454C8"/>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hyperlink" Target="https://www.documents.dgs.ca.gov/dgs/fmc/pdf/std204.pdf" TargetMode="External"/><Relationship Id="rId18" Type="http://schemas.openxmlformats.org/officeDocument/2006/relationships/hyperlink" Target="https://www.documents.dgs.ca.gov/dgs/fmc/pdf/std205.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ocuments.dgs.ca.gov/dgs/fmc/pdf/std204.pdf" TargetMode="External"/><Relationship Id="rId17" Type="http://schemas.openxmlformats.org/officeDocument/2006/relationships/hyperlink" Target="https://www.documents.dgs.ca.gov/dgs/fmc/pdf/std204.pdf" TargetMode="External"/><Relationship Id="rId2" Type="http://schemas.openxmlformats.org/officeDocument/2006/relationships/numbering" Target="numbering.xml"/><Relationship Id="rId16" Type="http://schemas.openxmlformats.org/officeDocument/2006/relationships/hyperlink" Target="mailto:RFP-CFCC-2024-28-SB-COST@jud.ca.gov" TargetMode="External"/><Relationship Id="rId20" Type="http://schemas.openxmlformats.org/officeDocument/2006/relationships/hyperlink" Target="mailto:Solicitations@jud.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olicitations@jud.ca.gov" TargetMode="External"/><Relationship Id="rId23" Type="http://schemas.openxmlformats.org/officeDocument/2006/relationships/fontTable" Target="fontTable.xml"/><Relationship Id="rId10" Type="http://schemas.openxmlformats.org/officeDocument/2006/relationships/hyperlink" Target="https://teams.microsoft.com/l/meetup-join/19%3ameeting_ZTcwOTUxODMtNWI5Zi00NmIyLWEzM2ItNjM3ZDM2OTU1NDM1%40thread.v2/0?context=%7b%22Tid%22%3a%2210cfa08a-5b17-4e8f-a245-139062e839dc%22%2c%22Oid%22%3a%225fc262ae-2cbb-4471-9c96-018698dc20e4%22%7d" TargetMode="External"/><Relationship Id="rId19" Type="http://schemas.openxmlformats.org/officeDocument/2006/relationships/hyperlink" Target="http://www.courts.ca.gov" TargetMode="Externa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hyperlink" Target="https://www.documents.dgs.ca.gov/dgs/fmc/pdf/std205.pdf" TargetMode="External"/><Relationship Id="rId22"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4A39D-12C6-447D-8E9E-92938CA9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4744</Words>
  <Characters>27041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Cheng, Oliver</dc:creator>
  <cp:lastModifiedBy>Blackney, Sam</cp:lastModifiedBy>
  <cp:revision>3</cp:revision>
  <dcterms:created xsi:type="dcterms:W3CDTF">2024-03-28T18:31:00Z</dcterms:created>
  <dcterms:modified xsi:type="dcterms:W3CDTF">2024-03-28T18:48:00Z</dcterms:modified>
</cp:coreProperties>
</file>