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221F2A81" w:rsidR="003B3C0B" w:rsidRPr="009E167D" w:rsidRDefault="009E167D" w:rsidP="009E167D">
      <w:pPr>
        <w:widowControl w:val="0"/>
        <w:ind w:left="-720" w:hanging="4"/>
        <w:jc w:val="center"/>
        <w:rPr>
          <w:rStyle w:val="Emphasis"/>
          <w:i w:val="0"/>
          <w:iCs w:val="0"/>
        </w:rPr>
      </w:pPr>
      <w:r>
        <w:rPr>
          <w:rStyle w:val="Emphasis"/>
          <w:i w:val="0"/>
          <w:iCs w:val="0"/>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636B3CBC"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C745C8">
        <w:rPr>
          <w:sz w:val="20"/>
        </w:rPr>
        <w:t xml:space="preserve">“JCC” or </w:t>
      </w:r>
      <w:r w:rsidRPr="00C314CE">
        <w:rPr>
          <w:sz w:val="20"/>
        </w:rPr>
        <w:t>“</w:t>
      </w:r>
      <w:r w:rsidR="009B5E10">
        <w:rPr>
          <w:sz w:val="20"/>
        </w:rPr>
        <w:t>JBE</w:t>
      </w:r>
      <w:r w:rsidRPr="00C314CE">
        <w:rPr>
          <w:sz w:val="20"/>
        </w:rPr>
        <w:t xml:space="preserve">” refers to the </w:t>
      </w:r>
      <w:r w:rsidR="00C745C8">
        <w:rPr>
          <w:b/>
          <w:sz w:val="20"/>
        </w:rPr>
        <w:t>Judicial Council of California</w:t>
      </w:r>
      <w:r w:rsidRPr="00C314CE">
        <w:rPr>
          <w:sz w:val="20"/>
        </w:rPr>
        <w:t xml:space="preserve">. </w:t>
      </w:r>
    </w:p>
    <w:p w14:paraId="458BA7E3" w14:textId="31E424B7" w:rsidR="003B3C0B" w:rsidRPr="00287443" w:rsidRDefault="003B3C0B" w:rsidP="00A35AD9">
      <w:pPr>
        <w:ind w:left="-450" w:hanging="270"/>
        <w:jc w:val="both"/>
        <w:rPr>
          <w:sz w:val="20"/>
        </w:rPr>
      </w:pPr>
      <w:r w:rsidRPr="00287443">
        <w:rPr>
          <w:sz w:val="20"/>
        </w:rPr>
        <w:t xml:space="preserve">2.  This Agreement is effective as of </w:t>
      </w:r>
      <w:r w:rsidR="00A35AD9" w:rsidRPr="00A35AD9">
        <w:rPr>
          <w:b/>
          <w:bCs/>
          <w:sz w:val="20"/>
          <w:highlight w:val="yellow"/>
        </w:rPr>
        <w:t>[</w:t>
      </w:r>
      <w:r w:rsidR="00A35AD9" w:rsidRPr="00A35AD9">
        <w:rPr>
          <w:b/>
          <w:bCs/>
          <w:i/>
          <w:iCs/>
          <w:sz w:val="20"/>
          <w:highlight w:val="yellow"/>
        </w:rPr>
        <w:t>May 1, 2022 -TBD</w:t>
      </w:r>
      <w:r w:rsidR="00A35AD9" w:rsidRPr="00A35AD9">
        <w:rPr>
          <w:b/>
          <w:bCs/>
          <w:sz w:val="20"/>
          <w:highlight w:val="yellow"/>
        </w:rPr>
        <w:t>]</w:t>
      </w:r>
      <w:r w:rsidR="00A35AD9">
        <w:rPr>
          <w:b/>
          <w:bCs/>
          <w:sz w:val="20"/>
        </w:rPr>
        <w:t xml:space="preserve"> </w:t>
      </w:r>
      <w:r>
        <w:rPr>
          <w:sz w:val="20"/>
        </w:rPr>
        <w:t>(</w:t>
      </w:r>
      <w:r w:rsidRPr="00287443">
        <w:rPr>
          <w:sz w:val="20"/>
        </w:rPr>
        <w:t xml:space="preserve">“Effective Date”) and expires on </w:t>
      </w:r>
      <w:r w:rsidR="00A35AD9">
        <w:rPr>
          <w:sz w:val="20"/>
        </w:rPr>
        <w:t>[</w:t>
      </w:r>
      <w:r w:rsidR="00A35AD9" w:rsidRPr="00A35AD9">
        <w:rPr>
          <w:b/>
          <w:i/>
          <w:iCs/>
          <w:sz w:val="20"/>
          <w:highlight w:val="yellow"/>
        </w:rPr>
        <w:t>June 30</w:t>
      </w:r>
      <w:r w:rsidR="00C745C8" w:rsidRPr="00A35AD9">
        <w:rPr>
          <w:b/>
          <w:i/>
          <w:iCs/>
          <w:sz w:val="20"/>
          <w:highlight w:val="yellow"/>
        </w:rPr>
        <w:t>, 202</w:t>
      </w:r>
      <w:r w:rsidR="00A35AD9" w:rsidRPr="00A35AD9">
        <w:rPr>
          <w:b/>
          <w:i/>
          <w:iCs/>
          <w:sz w:val="20"/>
          <w:highlight w:val="yellow"/>
        </w:rPr>
        <w:t>3 -TBD</w:t>
      </w:r>
      <w:r w:rsidR="00A35AD9">
        <w:rPr>
          <w:b/>
          <w:sz w:val="20"/>
        </w:rPr>
        <w:t>]</w:t>
      </w:r>
      <w:r w:rsidR="00C745C8" w:rsidRPr="00C745C8">
        <w:rPr>
          <w:b/>
          <w:sz w:val="20"/>
        </w:rPr>
        <w:t xml:space="preserve"> </w:t>
      </w:r>
      <w:r w:rsidRPr="00287443">
        <w:rPr>
          <w:sz w:val="20"/>
        </w:rPr>
        <w:t xml:space="preserve">(“Expiration Date”).  </w:t>
      </w:r>
    </w:p>
    <w:p w14:paraId="19B484F6" w14:textId="2ACA4CF4" w:rsidR="003B3C0B" w:rsidRDefault="003B3C0B" w:rsidP="003B3C0B">
      <w:pPr>
        <w:ind w:left="-450" w:hanging="270"/>
        <w:rPr>
          <w:sz w:val="20"/>
        </w:rPr>
      </w:pPr>
      <w:r>
        <w:rPr>
          <w:sz w:val="20"/>
        </w:rPr>
        <w:t xml:space="preserve">  </w:t>
      </w:r>
      <w:r>
        <w:rPr>
          <w:sz w:val="20"/>
        </w:rPr>
        <w:tab/>
      </w:r>
      <w:r w:rsidRPr="00287443">
        <w:rPr>
          <w:sz w:val="20"/>
        </w:rPr>
        <w:t>This Agreement includes one</w:t>
      </w:r>
      <w:r w:rsidR="00C745C8">
        <w:rPr>
          <w:sz w:val="20"/>
        </w:rPr>
        <w:t xml:space="preserve"> 1-year</w:t>
      </w:r>
      <w:r w:rsidRPr="00287443">
        <w:rPr>
          <w:sz w:val="20"/>
        </w:rPr>
        <w:t xml:space="preserve"> option to extend through </w:t>
      </w:r>
      <w:r w:rsidR="00C745C8" w:rsidRPr="00C745C8">
        <w:rPr>
          <w:b/>
          <w:sz w:val="20"/>
        </w:rPr>
        <w:t>May 9, 2025</w:t>
      </w:r>
      <w:r w:rsidR="00C745C8">
        <w:rPr>
          <w:b/>
          <w:sz w:val="20"/>
        </w:rPr>
        <w:t>.</w:t>
      </w:r>
      <w:r>
        <w:rPr>
          <w:sz w:val="20"/>
        </w:rPr>
        <w:tab/>
      </w:r>
    </w:p>
    <w:p w14:paraId="3D5D8E82" w14:textId="121D4BF4"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5763676D"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A35AD9">
        <w:rPr>
          <w:b/>
          <w:sz w:val="20"/>
        </w:rPr>
        <w:t>Data Collection and Analysis Project for the Federally Funded Dependency Representation Program (FFDRP)</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045350FA"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CE0BFD5"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sidRPr="00A35AD9">
              <w:rPr>
                <w:b/>
                <w:sz w:val="20"/>
                <w:highlight w:val="yellow"/>
              </w:rPr>
              <w:t>[</w:t>
            </w:r>
            <w:r w:rsidR="00FA63E8" w:rsidRPr="00A35AD9">
              <w:rPr>
                <w:b/>
                <w:sz w:val="20"/>
                <w:highlight w:val="yellow"/>
              </w:rPr>
              <w:t>JBE name</w:t>
            </w:r>
            <w:r w:rsidRPr="00A35AD9">
              <w:rPr>
                <w:b/>
                <w:sz w:val="20"/>
                <w:highlight w:val="yellow"/>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4CEC68B3"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24796BE1" w:rsidR="003B3C0B" w:rsidRPr="00114412" w:rsidRDefault="00A35AD9" w:rsidP="00D662AB">
            <w:pPr>
              <w:tabs>
                <w:tab w:val="left" w:pos="3600"/>
              </w:tabs>
              <w:rPr>
                <w:sz w:val="18"/>
              </w:rPr>
            </w:pPr>
            <w:r w:rsidRPr="00F64D60">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6403E23E" wp14:editId="6E149DDA">
                      <wp:simplePos x="0" y="0"/>
                      <wp:positionH relativeFrom="column">
                        <wp:posOffset>381907</wp:posOffset>
                      </wp:positionH>
                      <wp:positionV relativeFrom="paragraph">
                        <wp:posOffset>128361</wp:posOffset>
                      </wp:positionV>
                      <wp:extent cx="5500370" cy="1059543"/>
                      <wp:effectExtent l="0" t="0" r="43180" b="647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0370" cy="1059543"/>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5B53128" w14:textId="77777777" w:rsidR="00383817" w:rsidRPr="00FB4888" w:rsidRDefault="00383817" w:rsidP="00C745C8">
                                  <w:pPr>
                                    <w:spacing w:before="360"/>
                                    <w:jc w:val="center"/>
                                    <w:rPr>
                                      <w:b/>
                                      <w:smallCaps/>
                                      <w:sz w:val="48"/>
                                    </w:rPr>
                                  </w:pPr>
                                  <w:permStart w:id="2033542070" w:edGrp="everyone"/>
                                  <w:r w:rsidRPr="00FB4888">
                                    <w:rPr>
                                      <w:b/>
                                      <w:smallCaps/>
                                      <w:sz w:val="48"/>
                                    </w:rPr>
                                    <w:t>Sample Only – Do Not Sign</w:t>
                                  </w:r>
                                  <w:permEnd w:id="20335420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E23E" id="Rectangle 2" o:spid="_x0000_s1026" style="position:absolute;margin-left:30.05pt;margin-top:10.1pt;width:433.1pt;height:8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" strokecolor="#fabf8f" strokeweight="1pt">
                      <v:fill color2="#fbd4b4" focus="100%" type="gradient"/>
                      <v:shadow on="t" color="#974706" opacity=".5" offset="1pt"/>
                      <v:textbox>
                        <w:txbxContent>
                          <w:p w14:paraId="45B53128" w14:textId="77777777" w:rsidR="00383817" w:rsidRPr="00FB4888" w:rsidRDefault="00383817" w:rsidP="00C745C8">
                            <w:pPr>
                              <w:spacing w:before="360"/>
                              <w:jc w:val="center"/>
                              <w:rPr>
                                <w:b/>
                                <w:smallCaps/>
                                <w:sz w:val="48"/>
                              </w:rPr>
                            </w:pPr>
                            <w:permStart w:id="2033542070" w:edGrp="everyone"/>
                            <w:r w:rsidRPr="00FB4888">
                              <w:rPr>
                                <w:b/>
                                <w:smallCaps/>
                                <w:sz w:val="48"/>
                              </w:rPr>
                              <w:t>Sample Only – Do Not Sign</w:t>
                            </w:r>
                            <w:permEnd w:id="2033542070"/>
                          </w:p>
                        </w:txbxContent>
                      </v:textbox>
                    </v:rect>
                  </w:pict>
                </mc:Fallback>
              </mc:AlternateContent>
            </w:r>
            <w:r w:rsidR="003B3C0B"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A35AD9">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4C827ADA"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6BE51C66"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w:t>
      </w:r>
    </w:p>
    <w:p w14:paraId="33EFB9EA" w14:textId="77777777" w:rsidR="000445DB" w:rsidRPr="000445DB" w:rsidRDefault="00117B0F" w:rsidP="000445DB">
      <w:pPr>
        <w:pStyle w:val="ListParagraph"/>
        <w:numPr>
          <w:ilvl w:val="1"/>
          <w:numId w:val="30"/>
        </w:numPr>
        <w:spacing w:before="240" w:after="240"/>
      </w:pPr>
      <w:r w:rsidRPr="000445DB">
        <w:rPr>
          <w:sz w:val="20"/>
          <w:u w:val="single"/>
        </w:rPr>
        <w:t>Judicial Council of California.</w:t>
      </w:r>
      <w:r w:rsidR="000445DB" w:rsidRPr="000445DB">
        <w:rPr>
          <w:sz w:val="20"/>
        </w:rPr>
        <w:t xml:space="preserve"> 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w:t>
      </w:r>
      <w:proofErr w:type="gramStart"/>
      <w:r w:rsidR="000445DB" w:rsidRPr="000445DB">
        <w:rPr>
          <w:sz w:val="20"/>
        </w:rPr>
        <w:t>families</w:t>
      </w:r>
      <w:proofErr w:type="gramEnd"/>
      <w:r w:rsidR="000445DB" w:rsidRPr="000445DB">
        <w:rPr>
          <w:sz w:val="20"/>
        </w:rPr>
        <w:t xml:space="preserve"> and other court users.</w:t>
      </w:r>
    </w:p>
    <w:p w14:paraId="26D4536C" w14:textId="1AE1059A" w:rsidR="00117B0F" w:rsidRPr="000445DB" w:rsidRDefault="00117B0F" w:rsidP="000445DB">
      <w:pPr>
        <w:pStyle w:val="ListParagraph"/>
        <w:numPr>
          <w:ilvl w:val="1"/>
          <w:numId w:val="30"/>
        </w:numPr>
        <w:spacing w:before="240" w:after="240"/>
        <w:rPr>
          <w:rFonts w:eastAsia="Times New Roman"/>
          <w:szCs w:val="24"/>
        </w:rPr>
      </w:pPr>
      <w:r w:rsidRPr="000445DB">
        <w:rPr>
          <w:sz w:val="20"/>
        </w:rPr>
        <w:t xml:space="preserve"> </w:t>
      </w:r>
      <w:r w:rsidR="000445DB" w:rsidRPr="000445DB">
        <w:rPr>
          <w:rFonts w:eastAsia="Times New Roman"/>
          <w:sz w:val="20"/>
          <w:u w:val="single"/>
        </w:rPr>
        <w:t>Federally Funded Dependency Representation Program</w:t>
      </w:r>
      <w:r w:rsidR="000445DB" w:rsidRPr="000445DB">
        <w:rPr>
          <w:rFonts w:eastAsia="Times New Roman"/>
          <w:sz w:val="20"/>
        </w:rPr>
        <w:t>. In 2019 the federal Administration for Children &amp; Families issued a notice of revision to the Child Welfare Policy Manual. The revision permits an agency to claim federal foster care dollars (title IV-E funds) for attorneys, hereafter referred to as “dependency providers,” to provide enhanced legal representation to a title IV-E eligible child in foster care and the child’s parents to “ensure that, among other things: reasonable efforts are made to prevent removal and finalize the permanency plan; and parents and children are engaged in the development and implementation of case plans. The funds available through the Federally Funded Dependency Representation Program (FFDRP) are intended to complement a state’s allocation for dependency representation for an overall increase in services. The funds are not intended to reimburse or supplant existing funding</w:t>
      </w:r>
      <w:r w:rsidR="000445DB" w:rsidRPr="000445DB">
        <w:rPr>
          <w:rFonts w:eastAsia="Times New Roman"/>
          <w:szCs w:val="24"/>
        </w:rPr>
        <w:t>.</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5D310FAF" w14:textId="77777777" w:rsidR="000445DB" w:rsidRPr="000445DB" w:rsidRDefault="000445DB" w:rsidP="009E167D">
      <w:pPr>
        <w:pStyle w:val="ListParagraph"/>
        <w:numPr>
          <w:ilvl w:val="0"/>
          <w:numId w:val="34"/>
        </w:numPr>
        <w:spacing w:before="240" w:after="240"/>
        <w:ind w:left="1080" w:hanging="180"/>
        <w:rPr>
          <w:rFonts w:asciiTheme="minorHAnsi" w:hAnsiTheme="minorHAnsi"/>
          <w:sz w:val="20"/>
        </w:rPr>
      </w:pPr>
      <w:r w:rsidRPr="000445DB">
        <w:rPr>
          <w:rFonts w:asciiTheme="minorHAnsi" w:hAnsiTheme="minorHAnsi"/>
          <w:sz w:val="20"/>
        </w:rPr>
        <w:t>Contractor will create a data and evaluation plan that should include how to track change over time beginning with baseline data existing in the JCATS case management system from FY 20-21, optimizes data from monthly data reports submitted by providers, and other data collected at the beginning of the FFDRP program from attorney providers through the Request for Application (RFA) process.</w:t>
      </w:r>
    </w:p>
    <w:p w14:paraId="3E338657" w14:textId="77777777" w:rsidR="000445DB" w:rsidRPr="000445DB" w:rsidRDefault="000445DB" w:rsidP="009E167D">
      <w:pPr>
        <w:pStyle w:val="ListParagraph"/>
        <w:numPr>
          <w:ilvl w:val="0"/>
          <w:numId w:val="34"/>
        </w:numPr>
        <w:spacing w:before="240" w:after="240"/>
        <w:ind w:left="1080" w:hanging="180"/>
        <w:rPr>
          <w:rFonts w:asciiTheme="minorHAnsi" w:hAnsiTheme="minorHAnsi"/>
          <w:sz w:val="20"/>
        </w:rPr>
      </w:pPr>
      <w:r w:rsidRPr="000445DB">
        <w:rPr>
          <w:rFonts w:asciiTheme="minorHAnsi" w:hAnsiTheme="minorHAnsi"/>
          <w:sz w:val="20"/>
        </w:rPr>
        <w:t xml:space="preserve">Contractor will meet with Judicial Council staff to identify needs of the project.  </w:t>
      </w:r>
    </w:p>
    <w:p w14:paraId="59B5824F" w14:textId="77777777" w:rsidR="000445DB" w:rsidRPr="000445DB" w:rsidRDefault="000445DB" w:rsidP="009E167D">
      <w:pPr>
        <w:pStyle w:val="ListParagraph"/>
        <w:numPr>
          <w:ilvl w:val="0"/>
          <w:numId w:val="34"/>
        </w:numPr>
        <w:spacing w:before="240" w:after="240"/>
        <w:ind w:left="1080" w:hanging="180"/>
        <w:rPr>
          <w:rFonts w:asciiTheme="minorHAnsi" w:hAnsiTheme="minorHAnsi"/>
          <w:sz w:val="20"/>
        </w:rPr>
      </w:pPr>
      <w:r w:rsidRPr="000445DB">
        <w:rPr>
          <w:rFonts w:asciiTheme="minorHAnsi" w:hAnsiTheme="minorHAnsi"/>
          <w:sz w:val="20"/>
        </w:rPr>
        <w:t>Contractor will provide an analysis of existing baseline data.</w:t>
      </w:r>
    </w:p>
    <w:p w14:paraId="7BC55545" w14:textId="4E07C1F7" w:rsidR="00F03CC9" w:rsidRPr="003C69FE" w:rsidRDefault="000445DB" w:rsidP="009E167D">
      <w:pPr>
        <w:pStyle w:val="ListParagraph"/>
        <w:numPr>
          <w:ilvl w:val="0"/>
          <w:numId w:val="34"/>
        </w:numPr>
        <w:spacing w:before="240" w:after="240"/>
        <w:ind w:left="1080" w:hanging="180"/>
        <w:rPr>
          <w:rFonts w:asciiTheme="minorHAnsi" w:hAnsiTheme="minorHAnsi"/>
          <w:sz w:val="20"/>
        </w:rPr>
      </w:pPr>
      <w:r w:rsidRPr="000445DB">
        <w:rPr>
          <w:rFonts w:asciiTheme="minorHAnsi" w:hAnsiTheme="minorHAnsi"/>
          <w:sz w:val="20"/>
        </w:rPr>
        <w:t xml:space="preserve">Contractor will develop a draft of the data and evaluation plan, incorporate Judicial Council staff </w:t>
      </w:r>
      <w:proofErr w:type="gramStart"/>
      <w:r w:rsidRPr="000445DB">
        <w:rPr>
          <w:rFonts w:asciiTheme="minorHAnsi" w:hAnsiTheme="minorHAnsi"/>
          <w:sz w:val="20"/>
        </w:rPr>
        <w:t>feedback</w:t>
      </w:r>
      <w:proofErr w:type="gramEnd"/>
      <w:r w:rsidRPr="000445DB">
        <w:rPr>
          <w:rFonts w:asciiTheme="minorHAnsi" w:hAnsiTheme="minorHAnsi"/>
          <w:sz w:val="20"/>
        </w:rPr>
        <w:t xml:space="preserve"> and then submit a final data and evaluation plan of the anticipated outcomes of the FFDRP program. </w:t>
      </w:r>
    </w:p>
    <w:p w14:paraId="307D140A" w14:textId="77E5C49A" w:rsidR="003C69FE" w:rsidRPr="003C69FE" w:rsidRDefault="003C69FE" w:rsidP="003C69FE">
      <w:pPr>
        <w:pStyle w:val="ListParagraph"/>
        <w:numPr>
          <w:ilvl w:val="1"/>
          <w:numId w:val="18"/>
        </w:numPr>
        <w:spacing w:before="120" w:after="120"/>
        <w:rPr>
          <w:rFonts w:asciiTheme="minorHAnsi" w:hAnsiTheme="minorHAnsi" w:cstheme="minorHAnsi"/>
          <w:bCs/>
          <w:sz w:val="20"/>
          <w:u w:val="single"/>
          <w:lang w:bidi="en-US"/>
        </w:rPr>
      </w:pPr>
      <w:r w:rsidRPr="003C69FE">
        <w:rPr>
          <w:rFonts w:asciiTheme="minorHAnsi" w:hAnsiTheme="minorHAnsi" w:cstheme="minorHAnsi"/>
          <w:b/>
          <w:bCs/>
          <w:sz w:val="20"/>
          <w:lang w:bidi="en-US"/>
        </w:rPr>
        <w:t xml:space="preserve">Acceptance Criteria. </w:t>
      </w:r>
      <w:r w:rsidRPr="003C69FE">
        <w:rPr>
          <w:rFonts w:asciiTheme="minorHAnsi" w:hAnsiTheme="minorHAnsi" w:cstheme="minorHAnsi"/>
          <w:bCs/>
          <w:sz w:val="20"/>
          <w:lang w:bidi="en-US"/>
        </w:rPr>
        <w:t xml:space="preserve"> The Services and Deliverables must meet the following acceptance criteria or the JBE may reject the applicable Services or Deliverables. The JBE may use the attached Acceptance and Signoff Form to notify Contractor of the acceptance or rejection of the Services and Deliverables.  Contractor will not be paid for any rejected Services or Deliverables.  </w:t>
      </w:r>
    </w:p>
    <w:p w14:paraId="09E521BB" w14:textId="5818E4A0" w:rsidR="009E167D" w:rsidRPr="000130AC" w:rsidRDefault="009E167D" w:rsidP="009E167D">
      <w:pPr>
        <w:pStyle w:val="ListParagraph"/>
        <w:numPr>
          <w:ilvl w:val="0"/>
          <w:numId w:val="21"/>
        </w:numPr>
        <w:spacing w:before="120" w:after="120"/>
        <w:ind w:left="1260"/>
        <w:rPr>
          <w:rFonts w:asciiTheme="minorHAnsi" w:hAnsiTheme="minorHAnsi" w:cstheme="minorHAnsi"/>
          <w:iCs/>
          <w:sz w:val="20"/>
        </w:rPr>
      </w:pPr>
      <w:r w:rsidRPr="000130AC">
        <w:rPr>
          <w:rFonts w:asciiTheme="minorHAnsi" w:hAnsiTheme="minorHAnsi" w:cstheme="minorHAnsi"/>
          <w:b/>
          <w:bCs/>
          <w:iCs/>
          <w:sz w:val="20"/>
        </w:rPr>
        <w:t>Timeliness</w:t>
      </w:r>
      <w:r w:rsidRPr="000130AC">
        <w:rPr>
          <w:rFonts w:asciiTheme="minorHAnsi" w:hAnsiTheme="minorHAnsi" w:cstheme="minorHAnsi"/>
          <w:iCs/>
          <w:sz w:val="20"/>
        </w:rPr>
        <w:t xml:space="preserve">:  The Services were completed and the Deliverables were delivered on time.  </w:t>
      </w:r>
    </w:p>
    <w:p w14:paraId="364BAAF2" w14:textId="77777777" w:rsidR="009E167D" w:rsidRPr="000130AC" w:rsidRDefault="009E167D" w:rsidP="009E167D">
      <w:pPr>
        <w:pStyle w:val="ListParagraph"/>
        <w:numPr>
          <w:ilvl w:val="0"/>
          <w:numId w:val="21"/>
        </w:numPr>
        <w:spacing w:before="120" w:after="120"/>
        <w:ind w:left="1260"/>
        <w:rPr>
          <w:rFonts w:asciiTheme="minorHAnsi" w:hAnsiTheme="minorHAnsi" w:cstheme="minorHAnsi"/>
          <w:iCs/>
          <w:sz w:val="20"/>
        </w:rPr>
      </w:pPr>
      <w:r w:rsidRPr="000130AC">
        <w:rPr>
          <w:rFonts w:asciiTheme="minorHAnsi" w:hAnsiTheme="minorHAnsi" w:cstheme="minorHAnsi"/>
          <w:b/>
          <w:bCs/>
          <w:iCs/>
          <w:sz w:val="20"/>
        </w:rPr>
        <w:lastRenderedPageBreak/>
        <w:t>Completeness</w:t>
      </w:r>
      <w:r w:rsidRPr="000130AC">
        <w:rPr>
          <w:rFonts w:asciiTheme="minorHAnsi" w:hAnsiTheme="minorHAnsi" w:cstheme="minorHAnsi"/>
          <w:iCs/>
          <w:sz w:val="20"/>
        </w:rPr>
        <w:t>:  The Services and Deliverables contained the materials and features required in the Agreement.</w:t>
      </w:r>
    </w:p>
    <w:p w14:paraId="0FE9DF9B" w14:textId="77777777" w:rsidR="009E167D" w:rsidRPr="000130AC" w:rsidRDefault="009E167D" w:rsidP="009E167D">
      <w:pPr>
        <w:pStyle w:val="ListParagraph"/>
        <w:numPr>
          <w:ilvl w:val="0"/>
          <w:numId w:val="21"/>
        </w:numPr>
        <w:spacing w:before="120" w:after="120"/>
        <w:ind w:left="1260"/>
        <w:rPr>
          <w:rFonts w:asciiTheme="minorHAnsi" w:hAnsiTheme="minorHAnsi" w:cstheme="minorHAnsi"/>
          <w:iCs/>
          <w:sz w:val="20"/>
        </w:rPr>
      </w:pPr>
      <w:r w:rsidRPr="000130AC">
        <w:rPr>
          <w:rFonts w:asciiTheme="minorHAnsi" w:hAnsiTheme="minorHAnsi" w:cstheme="minorHAnsi"/>
          <w:b/>
          <w:bCs/>
          <w:iCs/>
          <w:sz w:val="20"/>
        </w:rPr>
        <w:t>Technical accuracy</w:t>
      </w:r>
      <w:r w:rsidRPr="000130AC">
        <w:rPr>
          <w:rFonts w:asciiTheme="minorHAnsi" w:hAnsiTheme="minorHAnsi" w:cstheme="minorHAnsi"/>
          <w:iCs/>
          <w:sz w:val="20"/>
        </w:rPr>
        <w:t>:  The Services and Deliverables are accurate as measured against commonly accepted standards (for example, a statistical formula, an industry standard, or de facto marketplace standard).</w:t>
      </w:r>
    </w:p>
    <w:p w14:paraId="29CA48D9" w14:textId="1B21A8CA"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sidR="003C69FE">
        <w:rPr>
          <w:rFonts w:asciiTheme="minorHAnsi" w:hAnsiTheme="minorHAnsi" w:cstheme="minorHAnsi"/>
          <w:b/>
          <w:bCs/>
          <w:sz w:val="20"/>
          <w:lang w:bidi="en-US"/>
        </w:rPr>
        <w:t xml:space="preserve">Tasks and </w:t>
      </w:r>
      <w:r>
        <w:rPr>
          <w:rFonts w:asciiTheme="minorHAnsi" w:hAnsiTheme="minorHAnsi" w:cstheme="minorHAnsi"/>
          <w:b/>
          <w:bCs/>
          <w:sz w:val="20"/>
          <w:lang w:bidi="en-US"/>
        </w:rPr>
        <w:t>Deliverables</w:t>
      </w:r>
      <w:r w:rsidRPr="00EC158B">
        <w:rPr>
          <w:rFonts w:asciiTheme="minorHAnsi" w:hAnsiTheme="minorHAnsi" w:cstheme="minorHAnsi"/>
          <w:sz w:val="20"/>
        </w:rPr>
        <w:t>:</w:t>
      </w:r>
    </w:p>
    <w:p w14:paraId="463B0E0F" w14:textId="77777777" w:rsidR="00E457CE" w:rsidRPr="000445DB" w:rsidRDefault="00E457CE" w:rsidP="00E457CE">
      <w:pPr>
        <w:pStyle w:val="ListParagraph"/>
        <w:numPr>
          <w:ilvl w:val="2"/>
          <w:numId w:val="32"/>
        </w:numPr>
        <w:spacing w:before="240" w:after="240"/>
        <w:rPr>
          <w:b/>
          <w:bCs/>
          <w:sz w:val="20"/>
        </w:rPr>
      </w:pPr>
      <w:r w:rsidRPr="000445DB">
        <w:rPr>
          <w:b/>
          <w:bCs/>
          <w:sz w:val="20"/>
        </w:rPr>
        <w:t xml:space="preserve">Tasks and Deliverables. </w:t>
      </w:r>
    </w:p>
    <w:p w14:paraId="753C2533" w14:textId="4CC14FB1" w:rsidR="003C69FE" w:rsidRDefault="00F673E5" w:rsidP="00F673E5">
      <w:pPr>
        <w:ind w:left="2160" w:hanging="630"/>
        <w:rPr>
          <w:rFonts w:eastAsia="Times New Roman"/>
          <w:szCs w:val="24"/>
        </w:rPr>
      </w:pPr>
      <w:bookmarkStart w:id="0" w:name="_Hlk55113720"/>
      <w:r w:rsidRPr="009E167D">
        <w:rPr>
          <w:rFonts w:asciiTheme="minorHAnsi" w:hAnsiTheme="minorHAnsi"/>
          <w:sz w:val="20"/>
        </w:rPr>
        <w:t>2.3.1.1</w:t>
      </w:r>
      <w:r>
        <w:rPr>
          <w:rFonts w:asciiTheme="minorHAnsi" w:hAnsiTheme="minorHAnsi"/>
          <w:b/>
          <w:bCs/>
          <w:sz w:val="20"/>
        </w:rPr>
        <w:t xml:space="preserve"> </w:t>
      </w:r>
      <w:r w:rsidR="00E457CE" w:rsidRPr="003C69FE">
        <w:rPr>
          <w:rFonts w:asciiTheme="minorHAnsi" w:hAnsiTheme="minorHAnsi"/>
          <w:b/>
          <w:bCs/>
          <w:sz w:val="20"/>
        </w:rPr>
        <w:t xml:space="preserve"> </w:t>
      </w:r>
      <w:bookmarkEnd w:id="0"/>
      <w:r w:rsidR="003C69FE" w:rsidRPr="003C69FE">
        <w:rPr>
          <w:rFonts w:eastAsia="Times New Roman"/>
          <w:sz w:val="20"/>
        </w:rPr>
        <w:t xml:space="preserve">The Judicial Council anticipates the following major tasks and specific deliverables in connection with the scope of services described in this Request for Proposal (RFP). Without changing the Deliverables, the Proposer should correct, </w:t>
      </w:r>
      <w:proofErr w:type="gramStart"/>
      <w:r w:rsidR="003C69FE" w:rsidRPr="003C69FE">
        <w:rPr>
          <w:rFonts w:eastAsia="Times New Roman"/>
          <w:sz w:val="20"/>
        </w:rPr>
        <w:t>validate</w:t>
      </w:r>
      <w:proofErr w:type="gramEnd"/>
      <w:r w:rsidR="003C69FE" w:rsidRPr="003C69FE">
        <w:rPr>
          <w:rFonts w:eastAsia="Times New Roman"/>
          <w:sz w:val="20"/>
        </w:rPr>
        <w:t xml:space="preserve"> and expand on the tasks, as deemed necessary or desirable by the Proposer</w:t>
      </w:r>
      <w:r w:rsidR="003C69FE" w:rsidRPr="003C69FE">
        <w:rPr>
          <w:rFonts w:eastAsia="Times New Roman"/>
          <w:szCs w:val="24"/>
        </w:rPr>
        <w:t>.</w:t>
      </w:r>
    </w:p>
    <w:p w14:paraId="3AC5F441" w14:textId="77777777" w:rsidR="00F673E5" w:rsidRPr="00F673E5" w:rsidRDefault="00F673E5" w:rsidP="00F673E5">
      <w:pPr>
        <w:pStyle w:val="ListParagraph"/>
        <w:numPr>
          <w:ilvl w:val="3"/>
          <w:numId w:val="36"/>
        </w:numPr>
        <w:spacing w:before="240" w:after="240"/>
        <w:ind w:left="2970"/>
        <w:rPr>
          <w:rFonts w:asciiTheme="minorHAnsi" w:hAnsiTheme="minorHAnsi"/>
          <w:sz w:val="20"/>
        </w:rPr>
      </w:pPr>
      <w:r w:rsidRPr="00F673E5">
        <w:rPr>
          <w:rFonts w:asciiTheme="minorHAnsi" w:hAnsiTheme="minorHAnsi"/>
          <w:sz w:val="20"/>
        </w:rPr>
        <w:t>Tasks</w:t>
      </w:r>
    </w:p>
    <w:p w14:paraId="57382F2A"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sz w:val="20"/>
        </w:rPr>
        <w:t>Meet with and obtain input from Judicial Council staff and outcomes for this project.</w:t>
      </w:r>
    </w:p>
    <w:p w14:paraId="21763806"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sz w:val="20"/>
        </w:rPr>
        <w:t xml:space="preserve">Evaluate baseline data existing in JCATS beginning with FY 2020-21 to measure change over time. Other baseline data that CFCC collected includes, current caseload numbers as reported by the attorney providers, number of full-time attorneys, social workers, and administrative staff, and the plan and budget the attorney providers provided on how they would spend their FFDRP allocations to improve attorney practice and case outcomes. </w:t>
      </w:r>
    </w:p>
    <w:p w14:paraId="4F5008E2"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sz w:val="20"/>
        </w:rPr>
        <w:t xml:space="preserve">Evaluate and optimize monthly data reports. FFDRP recipients are required to send monthly case reports, including number of open and closed clients in the month to CFCC with their invoice to receive payment. </w:t>
      </w:r>
    </w:p>
    <w:p w14:paraId="4C71A39D"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sz w:val="20"/>
        </w:rPr>
        <w:t xml:space="preserve">Work with JCATS contractor to establish a secure connection with the data in order to build dashboards and other analytics. </w:t>
      </w:r>
    </w:p>
    <w:p w14:paraId="3E9E8BE3"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sz w:val="20"/>
        </w:rPr>
        <w:t>Hold Focus Groups. It is anticipated that to create a data evaluation plan, the consultant may need input from the attorney providers.</w:t>
      </w:r>
    </w:p>
    <w:p w14:paraId="636952BD"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sz w:val="20"/>
        </w:rPr>
        <w:t>Improve JCATS data quality, design data dashboards and visualizations that help the courts and providers see their numbers in real time.</w:t>
      </w:r>
    </w:p>
    <w:p w14:paraId="5A97FD3E"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sz w:val="20"/>
        </w:rPr>
        <w:t>Deliver data evaluation plan that will optimize JCATS data collection to measure change over time.</w:t>
      </w:r>
    </w:p>
    <w:p w14:paraId="13DB1289"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b/>
          <w:sz w:val="20"/>
          <w:u w:val="single"/>
        </w:rPr>
        <w:t>Deliverable 1:</w:t>
      </w:r>
      <w:r w:rsidRPr="00F673E5">
        <w:rPr>
          <w:rFonts w:asciiTheme="minorHAnsi" w:hAnsiTheme="minorHAnsi"/>
          <w:sz w:val="20"/>
        </w:rPr>
        <w:t xml:space="preserve"> Meet with Judicial Council staff about the project. </w:t>
      </w:r>
      <w:r w:rsidRPr="00F673E5">
        <w:rPr>
          <w:rFonts w:asciiTheme="minorHAnsi" w:hAnsiTheme="minorHAnsi"/>
          <w:b/>
          <w:bCs/>
          <w:sz w:val="20"/>
          <w:u w:val="single"/>
        </w:rPr>
        <w:t>Estimated Due Date: June 30, 2022</w:t>
      </w:r>
    </w:p>
    <w:p w14:paraId="5662D188"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u w:val="single"/>
        </w:rPr>
      </w:pPr>
      <w:r w:rsidRPr="00F673E5">
        <w:rPr>
          <w:rFonts w:asciiTheme="minorHAnsi" w:hAnsiTheme="minorHAnsi"/>
          <w:b/>
          <w:sz w:val="20"/>
          <w:u w:val="single"/>
        </w:rPr>
        <w:t xml:space="preserve">Deliverable 2: </w:t>
      </w:r>
      <w:r w:rsidRPr="00F673E5">
        <w:rPr>
          <w:rFonts w:asciiTheme="minorHAnsi" w:hAnsiTheme="minorHAnsi"/>
          <w:sz w:val="20"/>
        </w:rPr>
        <w:t xml:space="preserve">Evaluate baseline data existing in JCATS beginning with FY 2020-21 to measure change over time. Other baseline data that CFCC collected includes, current caseload numbers as reported by the attorney providers, number of full-time attorneys, social workers, and administrative staff, and the plan and budget the </w:t>
      </w:r>
      <w:r w:rsidRPr="00F673E5">
        <w:rPr>
          <w:rFonts w:asciiTheme="minorHAnsi" w:hAnsiTheme="minorHAnsi"/>
          <w:sz w:val="20"/>
        </w:rPr>
        <w:lastRenderedPageBreak/>
        <w:t xml:space="preserve">attorney providers provided on how they would spend their FFDRP allocations to improve attorney practice and case outcomes. </w:t>
      </w:r>
      <w:r w:rsidRPr="00F673E5">
        <w:rPr>
          <w:rFonts w:asciiTheme="minorHAnsi" w:hAnsiTheme="minorHAnsi"/>
          <w:b/>
          <w:sz w:val="20"/>
          <w:u w:val="single"/>
        </w:rPr>
        <w:t>Estimated Due Date: September 30, 2022.</w:t>
      </w:r>
    </w:p>
    <w:p w14:paraId="280D3E5A"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b/>
          <w:sz w:val="20"/>
          <w:u w:val="single"/>
        </w:rPr>
        <w:t xml:space="preserve">Deliverable 3: </w:t>
      </w:r>
      <w:r w:rsidRPr="00F673E5">
        <w:rPr>
          <w:rFonts w:asciiTheme="minorHAnsi" w:hAnsiTheme="minorHAnsi"/>
          <w:sz w:val="20"/>
        </w:rPr>
        <w:t xml:space="preserve">Evaluate and optimize monthly data reports. FFDRP recipients are required to send monthly case reports, including number of open and closed clients in the month to CFCC with their invoice to receive payment. </w:t>
      </w:r>
      <w:r w:rsidRPr="00F673E5">
        <w:rPr>
          <w:rFonts w:asciiTheme="minorHAnsi" w:hAnsiTheme="minorHAnsi"/>
          <w:b/>
          <w:bCs/>
          <w:sz w:val="20"/>
          <w:u w:val="single"/>
        </w:rPr>
        <w:t xml:space="preserve">Estimated Due Date: September 30, 2022. </w:t>
      </w:r>
    </w:p>
    <w:p w14:paraId="1F1DC469"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b/>
          <w:bCs/>
          <w:sz w:val="20"/>
          <w:u w:val="single"/>
        </w:rPr>
        <w:t xml:space="preserve">Deliverable 4: </w:t>
      </w:r>
      <w:r w:rsidRPr="00F673E5">
        <w:rPr>
          <w:rFonts w:asciiTheme="minorHAnsi" w:hAnsiTheme="minorHAnsi"/>
          <w:sz w:val="20"/>
        </w:rPr>
        <w:t xml:space="preserve">Work with the JCATS vendor. Some FFDRP recipients track their cases in the JCATS case management system. That system contains data that can be run in different reports.  </w:t>
      </w:r>
      <w:r w:rsidRPr="00F673E5">
        <w:rPr>
          <w:rFonts w:asciiTheme="minorHAnsi" w:hAnsiTheme="minorHAnsi"/>
          <w:b/>
          <w:bCs/>
          <w:sz w:val="20"/>
          <w:u w:val="single"/>
        </w:rPr>
        <w:t xml:space="preserve">Estimated Due Date: November 30, 2022. </w:t>
      </w:r>
    </w:p>
    <w:p w14:paraId="5404AF15"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b/>
          <w:bCs/>
          <w:sz w:val="20"/>
          <w:u w:val="single"/>
        </w:rPr>
        <w:t xml:space="preserve">Deliverable 5: </w:t>
      </w:r>
      <w:r w:rsidRPr="00F673E5">
        <w:rPr>
          <w:rFonts w:asciiTheme="minorHAnsi" w:hAnsiTheme="minorHAnsi"/>
          <w:sz w:val="20"/>
        </w:rPr>
        <w:t xml:space="preserve">Hold Focus Groups. It is anticipated that to create a data evaluation plan, the consultant may need input from the attorney providers. </w:t>
      </w:r>
      <w:r w:rsidRPr="00F673E5">
        <w:rPr>
          <w:rFonts w:asciiTheme="minorHAnsi" w:hAnsiTheme="minorHAnsi"/>
          <w:b/>
          <w:bCs/>
          <w:sz w:val="20"/>
          <w:u w:val="single"/>
        </w:rPr>
        <w:t xml:space="preserve">Estimated Due Date: January 31, 2023. </w:t>
      </w:r>
    </w:p>
    <w:p w14:paraId="52BDA8A5"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b/>
          <w:bCs/>
          <w:sz w:val="20"/>
          <w:u w:val="single"/>
        </w:rPr>
        <w:t>Deliverable 6:</w:t>
      </w:r>
      <w:r w:rsidRPr="00F673E5">
        <w:rPr>
          <w:rFonts w:asciiTheme="minorHAnsi" w:hAnsiTheme="minorHAnsi"/>
          <w:b/>
          <w:bCs/>
          <w:sz w:val="20"/>
        </w:rPr>
        <w:t xml:space="preserve"> </w:t>
      </w:r>
      <w:r w:rsidRPr="00F673E5">
        <w:rPr>
          <w:rFonts w:asciiTheme="minorHAnsi" w:hAnsiTheme="minorHAnsi"/>
          <w:sz w:val="20"/>
        </w:rPr>
        <w:t>Improve JCATS data quality, design data dashboards and visualizations that help the courts and providers see their numbers in real time.</w:t>
      </w:r>
      <w:r w:rsidRPr="00F673E5">
        <w:rPr>
          <w:rFonts w:asciiTheme="minorHAnsi" w:hAnsiTheme="minorHAnsi"/>
          <w:b/>
          <w:bCs/>
          <w:sz w:val="20"/>
          <w:u w:val="single"/>
        </w:rPr>
        <w:t xml:space="preserve"> Estimated Due Date: March 1, 2023. </w:t>
      </w:r>
    </w:p>
    <w:p w14:paraId="50FBB0FC" w14:textId="77777777" w:rsidR="00F673E5" w:rsidRPr="00F673E5" w:rsidRDefault="00F673E5" w:rsidP="00F673E5">
      <w:pPr>
        <w:pStyle w:val="ListParagraph"/>
        <w:numPr>
          <w:ilvl w:val="4"/>
          <w:numId w:val="36"/>
        </w:numPr>
        <w:spacing w:before="240" w:after="240"/>
        <w:ind w:left="3870" w:hanging="1170"/>
        <w:rPr>
          <w:rFonts w:asciiTheme="minorHAnsi" w:hAnsiTheme="minorHAnsi"/>
          <w:sz w:val="20"/>
        </w:rPr>
      </w:pPr>
      <w:r w:rsidRPr="00F673E5">
        <w:rPr>
          <w:rFonts w:asciiTheme="minorHAnsi" w:hAnsiTheme="minorHAnsi"/>
          <w:b/>
          <w:bCs/>
          <w:sz w:val="20"/>
          <w:u w:val="single"/>
        </w:rPr>
        <w:t xml:space="preserve">Deliverable 7: </w:t>
      </w:r>
      <w:r w:rsidRPr="00F673E5">
        <w:rPr>
          <w:rFonts w:asciiTheme="minorHAnsi" w:hAnsiTheme="minorHAnsi"/>
          <w:sz w:val="20"/>
        </w:rPr>
        <w:t xml:space="preserve">Deliver data evaluation plan that will optimize JCATS data collection to measure change over time. </w:t>
      </w:r>
      <w:r w:rsidRPr="00F673E5">
        <w:rPr>
          <w:rFonts w:asciiTheme="minorHAnsi" w:hAnsiTheme="minorHAnsi"/>
          <w:b/>
          <w:bCs/>
          <w:sz w:val="20"/>
          <w:u w:val="single"/>
        </w:rPr>
        <w:t xml:space="preserve">Estimated Due Date: June 15, 2023. </w:t>
      </w:r>
    </w:p>
    <w:p w14:paraId="2F1B061B" w14:textId="77777777" w:rsidR="00F673E5" w:rsidRDefault="00F673E5" w:rsidP="00F673E5">
      <w:pPr>
        <w:ind w:left="2160" w:hanging="630"/>
        <w:rPr>
          <w:rFonts w:eastAsia="Times New Roman"/>
          <w:szCs w:val="24"/>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32765209" w14:textId="5AC20CC7" w:rsidR="00301E52" w:rsidRPr="00301E52" w:rsidRDefault="00570210" w:rsidP="00301E52">
      <w:pPr>
        <w:pStyle w:val="ListParagraph"/>
        <w:numPr>
          <w:ilvl w:val="0"/>
          <w:numId w:val="21"/>
        </w:numPr>
        <w:spacing w:before="120"/>
        <w:ind w:left="1267"/>
        <w:rPr>
          <w:rFonts w:asciiTheme="minorHAnsi" w:hAnsiTheme="minorHAnsi" w:cstheme="minorHAnsi"/>
          <w:b/>
          <w:bCs/>
          <w:iCs/>
          <w:sz w:val="20"/>
        </w:rPr>
      </w:pPr>
      <w:r>
        <w:rPr>
          <w:rFonts w:asciiTheme="minorHAnsi" w:hAnsiTheme="minorHAnsi" w:cstheme="minorHAnsi"/>
          <w:i/>
          <w:sz w:val="20"/>
        </w:rPr>
        <w:t xml:space="preserve">  </w:t>
      </w:r>
      <w:r w:rsidR="00115DD0" w:rsidRPr="00115DD0">
        <w:t xml:space="preserve"> </w:t>
      </w:r>
      <w:r w:rsidR="00115DD0" w:rsidRPr="00301E52">
        <w:rPr>
          <w:rFonts w:asciiTheme="minorHAnsi" w:hAnsiTheme="minorHAnsi" w:cstheme="minorHAnsi"/>
          <w:b/>
          <w:bCs/>
          <w:iCs/>
          <w:sz w:val="20"/>
        </w:rPr>
        <w:t>Table 1 Deliverable Milestones</w:t>
      </w:r>
      <w:r w:rsidR="00301E52" w:rsidRPr="00301E52">
        <w:rPr>
          <w:rFonts w:asciiTheme="minorHAnsi" w:hAnsiTheme="minorHAnsi" w:cstheme="minorHAnsi"/>
          <w:b/>
          <w:bCs/>
          <w:iCs/>
          <w:sz w:val="20"/>
        </w:rPr>
        <w:t>:</w:t>
      </w:r>
    </w:p>
    <w:tbl>
      <w:tblPr>
        <w:tblpPr w:leftFromText="180" w:rightFromText="180" w:vertAnchor="text" w:horzAnchor="margin" w:tblpXSpec="center" w:tblpY="379"/>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gridCol w:w="2342"/>
      </w:tblGrid>
      <w:tr w:rsidR="00301E52" w:rsidRPr="00301E52" w14:paraId="5D63C8CE" w14:textId="77777777" w:rsidTr="00CC67BA">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2CB3B7" w14:textId="0B2BE801" w:rsidR="00301E52" w:rsidRPr="00301E52" w:rsidRDefault="00301E52" w:rsidP="00301E52">
            <w:pPr>
              <w:keepNext/>
              <w:jc w:val="center"/>
              <w:rPr>
                <w:rFonts w:eastAsia="Times New Roman"/>
                <w:b/>
                <w:bCs/>
                <w:szCs w:val="24"/>
              </w:rPr>
            </w:pPr>
            <w:bookmarkStart w:id="1" w:name="_Hlk98827401"/>
            <w:r w:rsidRPr="00301E52">
              <w:rPr>
                <w:rFonts w:eastAsia="Times New Roman"/>
                <w:b/>
                <w:bCs/>
                <w:szCs w:val="24"/>
              </w:rPr>
              <w:t>Milestone(s)</w:t>
            </w:r>
          </w:p>
          <w:p w14:paraId="78F74021" w14:textId="77777777" w:rsidR="00301E52" w:rsidRPr="00301E52" w:rsidRDefault="00301E52" w:rsidP="00301E52">
            <w:pPr>
              <w:keepNext/>
              <w:jc w:val="center"/>
              <w:rPr>
                <w:rFonts w:eastAsia="Times New Roman"/>
                <w:b/>
                <w:bCs/>
                <w:szCs w:val="24"/>
                <w:u w:val="single"/>
              </w:rPr>
            </w:pPr>
            <w:r w:rsidRPr="00301E52">
              <w:rPr>
                <w:rFonts w:eastAsia="Times New Roman"/>
                <w:b/>
                <w:bCs/>
                <w:szCs w:val="24"/>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40642B39" w14:textId="77777777" w:rsidR="00301E52" w:rsidRPr="00301E52" w:rsidRDefault="00301E52" w:rsidP="00301E52">
            <w:pPr>
              <w:keepNext/>
              <w:rPr>
                <w:rFonts w:eastAsia="Times New Roman"/>
                <w:b/>
                <w:bCs/>
                <w:szCs w:val="24"/>
                <w:u w:val="single"/>
              </w:rPr>
            </w:pPr>
            <w:r w:rsidRPr="00301E52">
              <w:rPr>
                <w:rFonts w:eastAsia="Times New Roman"/>
                <w:b/>
                <w:bCs/>
                <w:i/>
                <w:szCs w:val="24"/>
                <w:u w:val="single"/>
              </w:rPr>
              <w:t xml:space="preserve">Estimated </w:t>
            </w:r>
            <w:r w:rsidRPr="00301E52">
              <w:rPr>
                <w:rFonts w:eastAsia="Times New Roman"/>
                <w:b/>
                <w:bCs/>
                <w:szCs w:val="24"/>
                <w:u w:val="single"/>
              </w:rPr>
              <w:t>Completion Date</w:t>
            </w:r>
          </w:p>
        </w:tc>
        <w:tc>
          <w:tcPr>
            <w:tcW w:w="2342" w:type="dxa"/>
            <w:tcBorders>
              <w:top w:val="single" w:sz="4" w:space="0" w:color="auto"/>
              <w:left w:val="single" w:sz="4" w:space="0" w:color="auto"/>
              <w:bottom w:val="single" w:sz="4" w:space="0" w:color="auto"/>
              <w:right w:val="single" w:sz="4" w:space="0" w:color="auto"/>
            </w:tcBorders>
            <w:shd w:val="clear" w:color="auto" w:fill="F3F3F3"/>
            <w:vAlign w:val="center"/>
          </w:tcPr>
          <w:p w14:paraId="5DDAFFA6" w14:textId="77777777" w:rsidR="00301E52" w:rsidRPr="00301E52" w:rsidRDefault="00301E52" w:rsidP="00301E52">
            <w:pPr>
              <w:keepNext/>
              <w:numPr>
                <w:ilvl w:val="0"/>
                <w:numId w:val="37"/>
              </w:numPr>
              <w:ind w:left="0" w:firstLine="0"/>
              <w:jc w:val="center"/>
              <w:rPr>
                <w:rFonts w:eastAsia="Times New Roman"/>
                <w:b/>
                <w:bCs/>
                <w:sz w:val="4"/>
                <w:szCs w:val="4"/>
              </w:rPr>
            </w:pPr>
          </w:p>
          <w:p w14:paraId="358E6A42" w14:textId="77777777" w:rsidR="00301E52" w:rsidRPr="00301E52" w:rsidRDefault="00301E52" w:rsidP="00301E52">
            <w:pPr>
              <w:keepNext/>
              <w:rPr>
                <w:rFonts w:eastAsia="Times New Roman"/>
                <w:b/>
                <w:bCs/>
                <w:i/>
                <w:szCs w:val="24"/>
                <w:u w:val="single"/>
              </w:rPr>
            </w:pPr>
            <w:r w:rsidRPr="00301E52">
              <w:rPr>
                <w:rFonts w:eastAsia="Times New Roman"/>
                <w:b/>
                <w:bCs/>
                <w:i/>
                <w:szCs w:val="24"/>
                <w:u w:val="single"/>
              </w:rPr>
              <w:t xml:space="preserve">Estimated </w:t>
            </w:r>
          </w:p>
          <w:p w14:paraId="338F2F7B" w14:textId="77777777" w:rsidR="00301E52" w:rsidRPr="00301E52" w:rsidRDefault="00301E52" w:rsidP="00301E52">
            <w:pPr>
              <w:keepNext/>
              <w:rPr>
                <w:rFonts w:eastAsia="Times New Roman"/>
                <w:b/>
                <w:bCs/>
                <w:i/>
                <w:szCs w:val="24"/>
                <w:u w:val="single"/>
              </w:rPr>
            </w:pPr>
            <w:r w:rsidRPr="00301E52">
              <w:rPr>
                <w:rFonts w:eastAsia="Times New Roman"/>
                <w:b/>
                <w:bCs/>
                <w:i/>
                <w:szCs w:val="24"/>
                <w:u w:val="single"/>
              </w:rPr>
              <w:t>Maximum</w:t>
            </w:r>
          </w:p>
          <w:p w14:paraId="171D62CB" w14:textId="77777777" w:rsidR="00301E52" w:rsidRPr="00301E52" w:rsidRDefault="00301E52" w:rsidP="00301E52">
            <w:pPr>
              <w:keepNext/>
              <w:rPr>
                <w:rFonts w:eastAsia="Times New Roman"/>
                <w:b/>
                <w:bCs/>
                <w:szCs w:val="24"/>
              </w:rPr>
            </w:pPr>
            <w:r w:rsidRPr="00301E52">
              <w:rPr>
                <w:rFonts w:eastAsia="Times New Roman"/>
                <w:b/>
                <w:bCs/>
                <w:i/>
                <w:szCs w:val="24"/>
                <w:u w:val="single"/>
              </w:rPr>
              <w:t>Firm Fixed Amount</w:t>
            </w:r>
          </w:p>
        </w:tc>
      </w:tr>
      <w:tr w:rsidR="00301E52" w:rsidRPr="00301E52" w14:paraId="3831208A" w14:textId="77777777" w:rsidTr="00CC67BA">
        <w:trPr>
          <w:cantSplit/>
          <w:trHeight w:val="1180"/>
        </w:trPr>
        <w:tc>
          <w:tcPr>
            <w:tcW w:w="6205" w:type="dxa"/>
            <w:tcBorders>
              <w:top w:val="single" w:sz="4" w:space="0" w:color="auto"/>
              <w:left w:val="single" w:sz="4" w:space="0" w:color="auto"/>
              <w:bottom w:val="single" w:sz="4" w:space="0" w:color="auto"/>
              <w:right w:val="single" w:sz="4" w:space="0" w:color="auto"/>
            </w:tcBorders>
          </w:tcPr>
          <w:p w14:paraId="581B767A" w14:textId="77777777" w:rsidR="00301E52" w:rsidRPr="00301E52" w:rsidRDefault="00301E52" w:rsidP="00301E52">
            <w:pPr>
              <w:rPr>
                <w:rFonts w:eastAsia="Times New Roman"/>
                <w:b/>
                <w:szCs w:val="24"/>
              </w:rPr>
            </w:pPr>
            <w:r w:rsidRPr="00301E52">
              <w:rPr>
                <w:rFonts w:eastAsia="Times New Roman"/>
                <w:b/>
                <w:szCs w:val="24"/>
              </w:rPr>
              <w:t>First Milestone:</w:t>
            </w:r>
          </w:p>
          <w:p w14:paraId="309D18E3" w14:textId="77777777" w:rsidR="00301E52" w:rsidRPr="00301E52" w:rsidRDefault="00301E52" w:rsidP="00301E52">
            <w:pPr>
              <w:spacing w:before="240" w:after="240"/>
              <w:rPr>
                <w:rFonts w:asciiTheme="minorHAnsi" w:eastAsia="Times New Roman" w:hAnsiTheme="minorHAnsi"/>
                <w:szCs w:val="24"/>
              </w:rPr>
            </w:pPr>
            <w:r w:rsidRPr="00301E52">
              <w:rPr>
                <w:rFonts w:asciiTheme="minorHAnsi" w:eastAsia="Times New Roman" w:hAnsiTheme="minorHAnsi"/>
                <w:szCs w:val="24"/>
              </w:rPr>
              <w:t>Meet with and obtain input from Judicial Council staff and outcomes for this project.</w:t>
            </w:r>
          </w:p>
        </w:tc>
        <w:tc>
          <w:tcPr>
            <w:tcW w:w="2250" w:type="dxa"/>
            <w:tcBorders>
              <w:top w:val="single" w:sz="4" w:space="0" w:color="auto"/>
              <w:left w:val="single" w:sz="4" w:space="0" w:color="auto"/>
              <w:bottom w:val="single" w:sz="4" w:space="0" w:color="auto"/>
              <w:right w:val="single" w:sz="4" w:space="0" w:color="auto"/>
            </w:tcBorders>
          </w:tcPr>
          <w:p w14:paraId="15D08BE4" w14:textId="77777777" w:rsidR="00301E52" w:rsidRPr="00301E52" w:rsidRDefault="00301E52" w:rsidP="00301E52">
            <w:pPr>
              <w:jc w:val="center"/>
              <w:rPr>
                <w:rFonts w:eastAsia="Times New Roman"/>
                <w:i/>
                <w:szCs w:val="24"/>
              </w:rPr>
            </w:pPr>
          </w:p>
          <w:p w14:paraId="7C9371FB" w14:textId="77777777" w:rsidR="00301E52" w:rsidRPr="00301E52" w:rsidRDefault="00301E52" w:rsidP="00301E52">
            <w:pPr>
              <w:jc w:val="center"/>
              <w:rPr>
                <w:rFonts w:eastAsia="Times New Roman"/>
                <w:i/>
                <w:szCs w:val="24"/>
              </w:rPr>
            </w:pPr>
          </w:p>
          <w:p w14:paraId="3F88A750" w14:textId="77777777" w:rsidR="00301E52" w:rsidRPr="00301E52" w:rsidRDefault="00301E52" w:rsidP="00301E52">
            <w:pPr>
              <w:jc w:val="center"/>
              <w:rPr>
                <w:rFonts w:eastAsia="Times New Roman"/>
                <w:i/>
                <w:szCs w:val="24"/>
              </w:rPr>
            </w:pPr>
            <w:r w:rsidRPr="00301E52">
              <w:rPr>
                <w:rFonts w:eastAsia="Times New Roman"/>
                <w:i/>
                <w:szCs w:val="24"/>
              </w:rPr>
              <w:t>June 30, 2022</w:t>
            </w:r>
          </w:p>
        </w:tc>
        <w:tc>
          <w:tcPr>
            <w:tcW w:w="2342" w:type="dxa"/>
            <w:tcBorders>
              <w:top w:val="single" w:sz="4" w:space="0" w:color="auto"/>
              <w:left w:val="single" w:sz="4" w:space="0" w:color="auto"/>
              <w:bottom w:val="single" w:sz="4" w:space="0" w:color="auto"/>
              <w:right w:val="single" w:sz="4" w:space="0" w:color="auto"/>
            </w:tcBorders>
          </w:tcPr>
          <w:p w14:paraId="78878F16" w14:textId="77777777" w:rsidR="00301E52" w:rsidRPr="00301E52" w:rsidRDefault="00301E52" w:rsidP="00301E52">
            <w:pPr>
              <w:jc w:val="center"/>
              <w:rPr>
                <w:rFonts w:eastAsia="Times New Roman"/>
                <w:i/>
                <w:szCs w:val="24"/>
              </w:rPr>
            </w:pPr>
          </w:p>
          <w:p w14:paraId="038935D5" w14:textId="77777777" w:rsidR="00301E52" w:rsidRPr="00301E52" w:rsidRDefault="00301E52" w:rsidP="00301E52">
            <w:pPr>
              <w:jc w:val="center"/>
              <w:rPr>
                <w:rFonts w:eastAsia="Times New Roman"/>
                <w:i/>
                <w:szCs w:val="24"/>
              </w:rPr>
            </w:pPr>
          </w:p>
          <w:p w14:paraId="41E2E327" w14:textId="77777777" w:rsidR="00301E52" w:rsidRPr="00301E52" w:rsidRDefault="00301E52" w:rsidP="00301E52">
            <w:pPr>
              <w:jc w:val="center"/>
              <w:rPr>
                <w:rFonts w:eastAsia="Times New Roman"/>
                <w:i/>
                <w:szCs w:val="24"/>
              </w:rPr>
            </w:pPr>
            <w:r w:rsidRPr="00301E52">
              <w:rPr>
                <w:rFonts w:eastAsia="Times New Roman"/>
                <w:i/>
                <w:szCs w:val="24"/>
              </w:rPr>
              <w:t>$5000</w:t>
            </w:r>
          </w:p>
        </w:tc>
      </w:tr>
      <w:tr w:rsidR="00301E52" w:rsidRPr="00301E52" w14:paraId="710948EE" w14:textId="77777777" w:rsidTr="00CC67BA">
        <w:trPr>
          <w:cantSplit/>
          <w:trHeight w:val="1837"/>
        </w:trPr>
        <w:tc>
          <w:tcPr>
            <w:tcW w:w="6205" w:type="dxa"/>
            <w:tcBorders>
              <w:top w:val="single" w:sz="4" w:space="0" w:color="auto"/>
              <w:left w:val="single" w:sz="4" w:space="0" w:color="auto"/>
              <w:bottom w:val="single" w:sz="4" w:space="0" w:color="auto"/>
              <w:right w:val="single" w:sz="4" w:space="0" w:color="auto"/>
            </w:tcBorders>
          </w:tcPr>
          <w:p w14:paraId="4FBA3203" w14:textId="77777777" w:rsidR="00301E52" w:rsidRPr="00301E52" w:rsidRDefault="00301E52" w:rsidP="00301E52">
            <w:pPr>
              <w:rPr>
                <w:rFonts w:eastAsia="Times New Roman"/>
                <w:b/>
                <w:szCs w:val="24"/>
              </w:rPr>
            </w:pPr>
            <w:r w:rsidRPr="00301E52">
              <w:rPr>
                <w:rFonts w:eastAsia="Times New Roman"/>
                <w:b/>
                <w:szCs w:val="24"/>
              </w:rPr>
              <w:t>Second Milestone:</w:t>
            </w:r>
          </w:p>
          <w:p w14:paraId="351D7BCD" w14:textId="77777777" w:rsidR="00301E52" w:rsidRPr="00301E52" w:rsidRDefault="00301E52" w:rsidP="00301E52">
            <w:pPr>
              <w:spacing w:before="240" w:after="240"/>
              <w:rPr>
                <w:rFonts w:asciiTheme="minorHAnsi" w:eastAsia="Times New Roman" w:hAnsiTheme="minorHAnsi"/>
                <w:szCs w:val="24"/>
                <w:u w:val="single"/>
              </w:rPr>
            </w:pPr>
            <w:r w:rsidRPr="00301E52">
              <w:rPr>
                <w:rFonts w:asciiTheme="minorHAnsi" w:eastAsia="Times New Roman" w:hAnsiTheme="minorHAnsi"/>
                <w:szCs w:val="24"/>
              </w:rPr>
              <w:t xml:space="preserve">Evaluate baseline data existing in JCATS beginning with FY 2020-21 to measure change over time. Other baseline data that CFCC collected includes, current caseload numbers as reported by the attorney providers, number of full-time attorneys, social workers, and administrative staff, and the plan and budget the attorney providers provided on how they </w:t>
            </w:r>
            <w:r w:rsidRPr="00301E52">
              <w:rPr>
                <w:rFonts w:asciiTheme="minorHAnsi" w:eastAsia="Times New Roman" w:hAnsiTheme="minorHAnsi"/>
                <w:szCs w:val="24"/>
              </w:rPr>
              <w:lastRenderedPageBreak/>
              <w:t>would spend their FFDRP allocations to improve attorney practice and case outcomes</w:t>
            </w:r>
            <w:r w:rsidRPr="00301E52">
              <w:rPr>
                <w:rFonts w:asciiTheme="minorHAnsi" w:eastAsia="Times New Roman" w:hAnsiTheme="minorHAnsi"/>
                <w:szCs w:val="24"/>
                <w:u w:val="single"/>
              </w:rPr>
              <w:t>.</w:t>
            </w:r>
          </w:p>
        </w:tc>
        <w:tc>
          <w:tcPr>
            <w:tcW w:w="2250" w:type="dxa"/>
            <w:tcBorders>
              <w:top w:val="single" w:sz="4" w:space="0" w:color="auto"/>
              <w:left w:val="single" w:sz="4" w:space="0" w:color="auto"/>
              <w:bottom w:val="single" w:sz="4" w:space="0" w:color="auto"/>
              <w:right w:val="single" w:sz="4" w:space="0" w:color="auto"/>
            </w:tcBorders>
          </w:tcPr>
          <w:p w14:paraId="472331BA" w14:textId="77777777" w:rsidR="00301E52" w:rsidRPr="00301E52" w:rsidRDefault="00301E52" w:rsidP="00301E52">
            <w:pPr>
              <w:jc w:val="center"/>
              <w:rPr>
                <w:rFonts w:eastAsia="Times New Roman"/>
                <w:i/>
                <w:szCs w:val="24"/>
              </w:rPr>
            </w:pPr>
          </w:p>
          <w:p w14:paraId="2C3786A3" w14:textId="77777777" w:rsidR="00301E52" w:rsidRPr="00301E52" w:rsidRDefault="00301E52" w:rsidP="00301E52">
            <w:pPr>
              <w:jc w:val="center"/>
              <w:rPr>
                <w:rFonts w:eastAsia="Times New Roman"/>
                <w:i/>
                <w:szCs w:val="24"/>
              </w:rPr>
            </w:pPr>
          </w:p>
          <w:p w14:paraId="6934DB6D" w14:textId="77777777" w:rsidR="00301E52" w:rsidRPr="00301E52" w:rsidRDefault="00301E52" w:rsidP="00301E52">
            <w:pPr>
              <w:jc w:val="center"/>
              <w:rPr>
                <w:rFonts w:eastAsia="Times New Roman"/>
                <w:i/>
                <w:szCs w:val="24"/>
              </w:rPr>
            </w:pPr>
            <w:r w:rsidRPr="00301E52">
              <w:rPr>
                <w:rFonts w:eastAsia="Times New Roman"/>
                <w:i/>
                <w:szCs w:val="24"/>
              </w:rPr>
              <w:t>September 30, 2022</w:t>
            </w:r>
          </w:p>
        </w:tc>
        <w:tc>
          <w:tcPr>
            <w:tcW w:w="2342" w:type="dxa"/>
            <w:tcBorders>
              <w:top w:val="single" w:sz="4" w:space="0" w:color="auto"/>
              <w:left w:val="single" w:sz="4" w:space="0" w:color="auto"/>
              <w:bottom w:val="single" w:sz="4" w:space="0" w:color="auto"/>
              <w:right w:val="single" w:sz="4" w:space="0" w:color="auto"/>
            </w:tcBorders>
          </w:tcPr>
          <w:p w14:paraId="2BD2D7FD" w14:textId="77777777" w:rsidR="00301E52" w:rsidRPr="00301E52" w:rsidRDefault="00301E52" w:rsidP="00301E52">
            <w:pPr>
              <w:jc w:val="center"/>
              <w:rPr>
                <w:rFonts w:eastAsia="Times New Roman"/>
                <w:i/>
                <w:szCs w:val="24"/>
              </w:rPr>
            </w:pPr>
          </w:p>
          <w:p w14:paraId="52B4D442" w14:textId="77777777" w:rsidR="00301E52" w:rsidRPr="00301E52" w:rsidRDefault="00301E52" w:rsidP="00301E52">
            <w:pPr>
              <w:jc w:val="center"/>
              <w:rPr>
                <w:rFonts w:eastAsia="Times New Roman"/>
                <w:i/>
                <w:szCs w:val="24"/>
              </w:rPr>
            </w:pPr>
          </w:p>
          <w:p w14:paraId="7E3FCF86" w14:textId="77777777" w:rsidR="00301E52" w:rsidRPr="00301E52" w:rsidRDefault="00301E52" w:rsidP="00301E52">
            <w:pPr>
              <w:jc w:val="center"/>
              <w:rPr>
                <w:rFonts w:eastAsia="Times New Roman"/>
                <w:i/>
                <w:szCs w:val="24"/>
              </w:rPr>
            </w:pPr>
            <w:r w:rsidRPr="00301E52">
              <w:rPr>
                <w:rFonts w:eastAsia="Times New Roman"/>
                <w:i/>
                <w:szCs w:val="24"/>
              </w:rPr>
              <w:t>$10,000</w:t>
            </w:r>
          </w:p>
        </w:tc>
      </w:tr>
      <w:tr w:rsidR="00301E52" w:rsidRPr="00301E52" w14:paraId="25E7BCC3" w14:textId="77777777" w:rsidTr="00CC67BA">
        <w:trPr>
          <w:cantSplit/>
          <w:trHeight w:val="1405"/>
        </w:trPr>
        <w:tc>
          <w:tcPr>
            <w:tcW w:w="6205" w:type="dxa"/>
            <w:tcBorders>
              <w:top w:val="single" w:sz="4" w:space="0" w:color="auto"/>
              <w:left w:val="single" w:sz="4" w:space="0" w:color="auto"/>
              <w:bottom w:val="single" w:sz="4" w:space="0" w:color="auto"/>
              <w:right w:val="single" w:sz="4" w:space="0" w:color="auto"/>
            </w:tcBorders>
          </w:tcPr>
          <w:p w14:paraId="0C3FB90B" w14:textId="77777777" w:rsidR="00301E52" w:rsidRPr="00301E52" w:rsidRDefault="00301E52" w:rsidP="00301E52">
            <w:pPr>
              <w:rPr>
                <w:rFonts w:eastAsia="Times New Roman"/>
                <w:b/>
                <w:szCs w:val="24"/>
              </w:rPr>
            </w:pPr>
            <w:r w:rsidRPr="00301E52">
              <w:rPr>
                <w:rFonts w:eastAsia="Times New Roman"/>
                <w:b/>
                <w:szCs w:val="24"/>
              </w:rPr>
              <w:t>Third Milestone:</w:t>
            </w:r>
          </w:p>
          <w:p w14:paraId="03AA81BD" w14:textId="77777777" w:rsidR="00301E52" w:rsidRPr="00301E52" w:rsidRDefault="00301E52" w:rsidP="00301E52">
            <w:pPr>
              <w:spacing w:line="300" w:lineRule="atLeast"/>
              <w:contextualSpacing/>
              <w:rPr>
                <w:rFonts w:asciiTheme="minorHAnsi" w:eastAsia="Times New Roman" w:hAnsiTheme="minorHAnsi"/>
                <w:b/>
                <w:szCs w:val="24"/>
                <w:u w:val="single"/>
              </w:rPr>
            </w:pPr>
          </w:p>
          <w:p w14:paraId="3F3FDF9D" w14:textId="77777777" w:rsidR="00301E52" w:rsidRPr="00301E52" w:rsidRDefault="00301E52" w:rsidP="00301E52">
            <w:pPr>
              <w:spacing w:line="300" w:lineRule="atLeast"/>
              <w:contextualSpacing/>
              <w:rPr>
                <w:rFonts w:eastAsia="Times New Roman"/>
                <w:szCs w:val="24"/>
              </w:rPr>
            </w:pPr>
            <w:r w:rsidRPr="00301E52">
              <w:rPr>
                <w:rFonts w:eastAsia="Times New Roman"/>
                <w:szCs w:val="24"/>
              </w:rPr>
              <w:t>Evaluate and optimize monthly data reports. FFDRP recipients are required to send monthly case reports, including number of open and closed clients in the month to CFCC with their invoice to receive payment.</w:t>
            </w:r>
          </w:p>
        </w:tc>
        <w:tc>
          <w:tcPr>
            <w:tcW w:w="2250" w:type="dxa"/>
            <w:tcBorders>
              <w:top w:val="single" w:sz="4" w:space="0" w:color="auto"/>
              <w:left w:val="single" w:sz="4" w:space="0" w:color="auto"/>
              <w:bottom w:val="single" w:sz="4" w:space="0" w:color="auto"/>
              <w:right w:val="single" w:sz="4" w:space="0" w:color="auto"/>
            </w:tcBorders>
          </w:tcPr>
          <w:p w14:paraId="10726D78" w14:textId="77777777" w:rsidR="00301E52" w:rsidRPr="00301E52" w:rsidRDefault="00301E52" w:rsidP="00301E52">
            <w:pPr>
              <w:jc w:val="center"/>
              <w:rPr>
                <w:rFonts w:eastAsia="Times New Roman"/>
                <w:i/>
                <w:szCs w:val="24"/>
              </w:rPr>
            </w:pPr>
          </w:p>
          <w:p w14:paraId="10DE497F" w14:textId="77777777" w:rsidR="00301E52" w:rsidRPr="00301E52" w:rsidRDefault="00301E52" w:rsidP="00301E52">
            <w:pPr>
              <w:jc w:val="center"/>
              <w:rPr>
                <w:rFonts w:eastAsia="Times New Roman"/>
                <w:i/>
                <w:szCs w:val="24"/>
              </w:rPr>
            </w:pPr>
          </w:p>
          <w:p w14:paraId="3AB649C1" w14:textId="77777777" w:rsidR="00301E52" w:rsidRPr="00301E52" w:rsidRDefault="00301E52" w:rsidP="00301E52">
            <w:pPr>
              <w:jc w:val="center"/>
              <w:rPr>
                <w:rFonts w:eastAsia="Times New Roman"/>
                <w:i/>
                <w:szCs w:val="24"/>
              </w:rPr>
            </w:pPr>
            <w:r w:rsidRPr="00301E52">
              <w:rPr>
                <w:rFonts w:eastAsia="Times New Roman"/>
                <w:i/>
                <w:szCs w:val="24"/>
              </w:rPr>
              <w:t>September 30, 2022</w:t>
            </w:r>
          </w:p>
        </w:tc>
        <w:tc>
          <w:tcPr>
            <w:tcW w:w="2342" w:type="dxa"/>
            <w:tcBorders>
              <w:top w:val="single" w:sz="4" w:space="0" w:color="auto"/>
              <w:left w:val="single" w:sz="4" w:space="0" w:color="auto"/>
              <w:bottom w:val="single" w:sz="4" w:space="0" w:color="auto"/>
              <w:right w:val="single" w:sz="4" w:space="0" w:color="auto"/>
            </w:tcBorders>
          </w:tcPr>
          <w:p w14:paraId="7E3848ED" w14:textId="77777777" w:rsidR="00301E52" w:rsidRPr="00301E52" w:rsidRDefault="00301E52" w:rsidP="00301E52">
            <w:pPr>
              <w:jc w:val="center"/>
              <w:rPr>
                <w:rFonts w:eastAsia="Times New Roman"/>
                <w:i/>
                <w:szCs w:val="24"/>
              </w:rPr>
            </w:pPr>
          </w:p>
          <w:p w14:paraId="5052A7CE" w14:textId="77777777" w:rsidR="00301E52" w:rsidRPr="00301E52" w:rsidRDefault="00301E52" w:rsidP="00301E52">
            <w:pPr>
              <w:jc w:val="center"/>
              <w:rPr>
                <w:rFonts w:eastAsia="Times New Roman"/>
                <w:i/>
                <w:szCs w:val="24"/>
              </w:rPr>
            </w:pPr>
          </w:p>
          <w:p w14:paraId="0DFC5F7B" w14:textId="77777777" w:rsidR="00301E52" w:rsidRPr="00301E52" w:rsidRDefault="00301E52" w:rsidP="00301E52">
            <w:pPr>
              <w:jc w:val="center"/>
              <w:rPr>
                <w:rFonts w:eastAsia="Times New Roman"/>
                <w:i/>
                <w:szCs w:val="24"/>
              </w:rPr>
            </w:pPr>
            <w:r w:rsidRPr="00301E52">
              <w:rPr>
                <w:rFonts w:eastAsia="Times New Roman"/>
                <w:i/>
                <w:szCs w:val="24"/>
              </w:rPr>
              <w:t>$15,000</w:t>
            </w:r>
          </w:p>
        </w:tc>
      </w:tr>
      <w:tr w:rsidR="00301E52" w:rsidRPr="00301E52" w14:paraId="758E52A7" w14:textId="77777777" w:rsidTr="00CC67BA">
        <w:trPr>
          <w:cantSplit/>
          <w:trHeight w:val="1558"/>
        </w:trPr>
        <w:tc>
          <w:tcPr>
            <w:tcW w:w="6205" w:type="dxa"/>
            <w:tcBorders>
              <w:top w:val="single" w:sz="4" w:space="0" w:color="auto"/>
              <w:left w:val="single" w:sz="4" w:space="0" w:color="auto"/>
              <w:bottom w:val="single" w:sz="4" w:space="0" w:color="auto"/>
              <w:right w:val="single" w:sz="4" w:space="0" w:color="auto"/>
            </w:tcBorders>
          </w:tcPr>
          <w:p w14:paraId="46415ED4" w14:textId="77777777" w:rsidR="00301E52" w:rsidRPr="00301E52" w:rsidRDefault="00301E52" w:rsidP="00301E52">
            <w:pPr>
              <w:rPr>
                <w:rFonts w:eastAsia="Times New Roman"/>
                <w:b/>
                <w:szCs w:val="24"/>
              </w:rPr>
            </w:pPr>
            <w:r w:rsidRPr="00301E52">
              <w:rPr>
                <w:rFonts w:eastAsia="Times New Roman"/>
                <w:b/>
                <w:szCs w:val="24"/>
              </w:rPr>
              <w:t>Fourth Milestone:</w:t>
            </w:r>
          </w:p>
          <w:p w14:paraId="54DFCAA0" w14:textId="77777777" w:rsidR="00301E52" w:rsidRPr="00301E52" w:rsidRDefault="00301E52" w:rsidP="00301E52">
            <w:pPr>
              <w:spacing w:before="240" w:after="240"/>
              <w:rPr>
                <w:rFonts w:eastAsia="Times New Roman"/>
                <w:bCs/>
                <w:szCs w:val="24"/>
              </w:rPr>
            </w:pPr>
            <w:r w:rsidRPr="00301E52">
              <w:rPr>
                <w:rFonts w:eastAsia="Times New Roman"/>
                <w:bCs/>
                <w:szCs w:val="24"/>
              </w:rPr>
              <w:t>Work with JCATS contractor to establish a secure connection with the data in order to build dashboards and other analytics.</w:t>
            </w:r>
          </w:p>
        </w:tc>
        <w:tc>
          <w:tcPr>
            <w:tcW w:w="2250" w:type="dxa"/>
            <w:tcBorders>
              <w:top w:val="single" w:sz="4" w:space="0" w:color="auto"/>
              <w:left w:val="single" w:sz="4" w:space="0" w:color="auto"/>
              <w:bottom w:val="single" w:sz="4" w:space="0" w:color="auto"/>
              <w:right w:val="single" w:sz="4" w:space="0" w:color="auto"/>
            </w:tcBorders>
          </w:tcPr>
          <w:p w14:paraId="286D2D46" w14:textId="77777777" w:rsidR="00301E52" w:rsidRPr="00301E52" w:rsidRDefault="00301E52" w:rsidP="00301E52">
            <w:pPr>
              <w:jc w:val="center"/>
              <w:rPr>
                <w:rFonts w:eastAsia="Times New Roman"/>
                <w:i/>
                <w:szCs w:val="24"/>
              </w:rPr>
            </w:pPr>
          </w:p>
          <w:p w14:paraId="7F6EA567" w14:textId="77777777" w:rsidR="00301E52" w:rsidRPr="00301E52" w:rsidRDefault="00301E52" w:rsidP="00301E52">
            <w:pPr>
              <w:jc w:val="center"/>
              <w:rPr>
                <w:rFonts w:eastAsia="Times New Roman"/>
                <w:i/>
                <w:szCs w:val="24"/>
              </w:rPr>
            </w:pPr>
          </w:p>
          <w:p w14:paraId="52CC4B7D" w14:textId="77777777" w:rsidR="00301E52" w:rsidRPr="00301E52" w:rsidRDefault="00301E52" w:rsidP="00301E52">
            <w:pPr>
              <w:jc w:val="center"/>
              <w:rPr>
                <w:rFonts w:eastAsia="Times New Roman"/>
                <w:i/>
                <w:szCs w:val="24"/>
              </w:rPr>
            </w:pPr>
            <w:r w:rsidRPr="00301E52">
              <w:rPr>
                <w:rFonts w:eastAsia="Times New Roman"/>
                <w:i/>
                <w:szCs w:val="24"/>
              </w:rPr>
              <w:t>November 30, 2022</w:t>
            </w:r>
          </w:p>
        </w:tc>
        <w:tc>
          <w:tcPr>
            <w:tcW w:w="2342" w:type="dxa"/>
            <w:tcBorders>
              <w:top w:val="single" w:sz="4" w:space="0" w:color="auto"/>
              <w:left w:val="single" w:sz="4" w:space="0" w:color="auto"/>
              <w:bottom w:val="single" w:sz="4" w:space="0" w:color="auto"/>
              <w:right w:val="single" w:sz="4" w:space="0" w:color="auto"/>
            </w:tcBorders>
          </w:tcPr>
          <w:p w14:paraId="0278E9FC" w14:textId="77777777" w:rsidR="00301E52" w:rsidRPr="00301E52" w:rsidRDefault="00301E52" w:rsidP="00301E52">
            <w:pPr>
              <w:jc w:val="center"/>
              <w:rPr>
                <w:rFonts w:eastAsia="Times New Roman"/>
                <w:i/>
                <w:szCs w:val="24"/>
              </w:rPr>
            </w:pPr>
          </w:p>
          <w:p w14:paraId="73B5076A" w14:textId="77777777" w:rsidR="00301E52" w:rsidRPr="00301E52" w:rsidRDefault="00301E52" w:rsidP="00301E52">
            <w:pPr>
              <w:jc w:val="center"/>
              <w:rPr>
                <w:rFonts w:eastAsia="Times New Roman"/>
                <w:i/>
                <w:szCs w:val="24"/>
              </w:rPr>
            </w:pPr>
          </w:p>
          <w:p w14:paraId="02EA676C" w14:textId="77777777" w:rsidR="00301E52" w:rsidRPr="00301E52" w:rsidRDefault="00301E52" w:rsidP="00301E52">
            <w:pPr>
              <w:jc w:val="center"/>
              <w:rPr>
                <w:rFonts w:eastAsia="Times New Roman"/>
                <w:i/>
                <w:szCs w:val="24"/>
              </w:rPr>
            </w:pPr>
            <w:r w:rsidRPr="00301E52">
              <w:rPr>
                <w:rFonts w:eastAsia="Times New Roman"/>
                <w:i/>
                <w:szCs w:val="24"/>
              </w:rPr>
              <w:t>$80,000</w:t>
            </w:r>
          </w:p>
        </w:tc>
      </w:tr>
      <w:tr w:rsidR="00301E52" w:rsidRPr="00301E52" w14:paraId="1BE6058C" w14:textId="77777777" w:rsidTr="00CC67BA">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7005C841" w14:textId="77777777" w:rsidR="00301E52" w:rsidRPr="00301E52" w:rsidRDefault="00301E52" w:rsidP="00301E52">
            <w:pPr>
              <w:rPr>
                <w:rFonts w:eastAsia="Times New Roman"/>
                <w:b/>
                <w:szCs w:val="24"/>
              </w:rPr>
            </w:pPr>
            <w:r w:rsidRPr="00301E52">
              <w:rPr>
                <w:rFonts w:eastAsia="Times New Roman"/>
                <w:b/>
                <w:szCs w:val="24"/>
              </w:rPr>
              <w:t>Fifth Milestone:</w:t>
            </w:r>
          </w:p>
          <w:p w14:paraId="28E052A3" w14:textId="77777777" w:rsidR="00301E52" w:rsidRPr="00301E52" w:rsidRDefault="00301E52" w:rsidP="00301E52">
            <w:pPr>
              <w:rPr>
                <w:rFonts w:eastAsia="Times New Roman"/>
                <w:b/>
                <w:szCs w:val="24"/>
              </w:rPr>
            </w:pPr>
          </w:p>
          <w:p w14:paraId="40CEF5C8" w14:textId="77777777" w:rsidR="00301E52" w:rsidRPr="00301E52" w:rsidRDefault="00301E52" w:rsidP="00301E52">
            <w:pPr>
              <w:rPr>
                <w:rFonts w:eastAsia="Times New Roman"/>
                <w:bCs/>
                <w:szCs w:val="24"/>
              </w:rPr>
            </w:pPr>
            <w:r w:rsidRPr="00301E52">
              <w:rPr>
                <w:rFonts w:eastAsia="Times New Roman"/>
                <w:bCs/>
                <w:szCs w:val="24"/>
              </w:rPr>
              <w:t>Hold Focus Groups. It is anticipated that to create a data evaluation plan, the consultant may need input from the attorney providers.</w:t>
            </w:r>
          </w:p>
          <w:p w14:paraId="5EB7C6D5" w14:textId="77777777" w:rsidR="00301E52" w:rsidRPr="00301E52" w:rsidRDefault="00301E52" w:rsidP="00301E52">
            <w:pPr>
              <w:contextualSpacing/>
              <w:rPr>
                <w:rFonts w:eastAsia="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4B53B6AA" w14:textId="77777777" w:rsidR="00301E52" w:rsidRPr="00301E52" w:rsidRDefault="00301E52" w:rsidP="00301E52">
            <w:pPr>
              <w:jc w:val="center"/>
              <w:rPr>
                <w:rFonts w:eastAsia="Times New Roman"/>
                <w:i/>
                <w:szCs w:val="24"/>
              </w:rPr>
            </w:pPr>
          </w:p>
          <w:p w14:paraId="65937711" w14:textId="77777777" w:rsidR="00301E52" w:rsidRPr="00301E52" w:rsidRDefault="00301E52" w:rsidP="00301E52">
            <w:pPr>
              <w:jc w:val="center"/>
              <w:rPr>
                <w:rFonts w:eastAsia="Times New Roman"/>
                <w:i/>
                <w:szCs w:val="24"/>
              </w:rPr>
            </w:pPr>
            <w:r w:rsidRPr="00301E52">
              <w:rPr>
                <w:rFonts w:eastAsia="Times New Roman"/>
                <w:i/>
                <w:szCs w:val="24"/>
              </w:rPr>
              <w:t>January 31, 2023</w:t>
            </w:r>
          </w:p>
        </w:tc>
        <w:tc>
          <w:tcPr>
            <w:tcW w:w="2342" w:type="dxa"/>
            <w:tcBorders>
              <w:top w:val="single" w:sz="4" w:space="0" w:color="auto"/>
              <w:left w:val="single" w:sz="4" w:space="0" w:color="auto"/>
              <w:bottom w:val="single" w:sz="4" w:space="0" w:color="auto"/>
              <w:right w:val="single" w:sz="4" w:space="0" w:color="auto"/>
            </w:tcBorders>
          </w:tcPr>
          <w:p w14:paraId="654BA2D0" w14:textId="77777777" w:rsidR="00301E52" w:rsidRPr="00301E52" w:rsidRDefault="00301E52" w:rsidP="00301E52">
            <w:pPr>
              <w:jc w:val="center"/>
              <w:rPr>
                <w:rFonts w:eastAsia="Times New Roman"/>
                <w:i/>
                <w:szCs w:val="24"/>
              </w:rPr>
            </w:pPr>
          </w:p>
          <w:p w14:paraId="21B1E506" w14:textId="77777777" w:rsidR="00301E52" w:rsidRPr="00301E52" w:rsidRDefault="00301E52" w:rsidP="00301E52">
            <w:pPr>
              <w:jc w:val="center"/>
              <w:rPr>
                <w:rFonts w:eastAsia="Times New Roman"/>
                <w:i/>
                <w:szCs w:val="24"/>
              </w:rPr>
            </w:pPr>
          </w:p>
          <w:p w14:paraId="40ABDA64" w14:textId="77777777" w:rsidR="00301E52" w:rsidRPr="00301E52" w:rsidRDefault="00301E52" w:rsidP="00301E52">
            <w:pPr>
              <w:jc w:val="center"/>
              <w:rPr>
                <w:rFonts w:eastAsia="Times New Roman"/>
                <w:i/>
                <w:szCs w:val="24"/>
              </w:rPr>
            </w:pPr>
            <w:r w:rsidRPr="00301E52">
              <w:rPr>
                <w:rFonts w:eastAsia="Times New Roman"/>
                <w:i/>
                <w:szCs w:val="24"/>
              </w:rPr>
              <w:t>$5,000</w:t>
            </w:r>
          </w:p>
        </w:tc>
      </w:tr>
      <w:tr w:rsidR="00301E52" w:rsidRPr="00301E52" w14:paraId="50BC27F0" w14:textId="77777777" w:rsidTr="00CC67BA">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626F8FD1" w14:textId="77777777" w:rsidR="00301E52" w:rsidRPr="00301E52" w:rsidRDefault="00301E52" w:rsidP="00301E52">
            <w:pPr>
              <w:rPr>
                <w:rFonts w:eastAsia="Times New Roman"/>
                <w:b/>
                <w:szCs w:val="24"/>
              </w:rPr>
            </w:pPr>
            <w:r w:rsidRPr="00301E52">
              <w:rPr>
                <w:rFonts w:eastAsia="Times New Roman"/>
                <w:b/>
                <w:szCs w:val="24"/>
              </w:rPr>
              <w:t>Sixth Milestone:</w:t>
            </w:r>
          </w:p>
          <w:p w14:paraId="6CED3B76" w14:textId="77777777" w:rsidR="00301E52" w:rsidRPr="00301E52" w:rsidRDefault="00301E52" w:rsidP="00301E52">
            <w:pPr>
              <w:rPr>
                <w:rFonts w:eastAsia="Times New Roman"/>
                <w:b/>
                <w:szCs w:val="24"/>
              </w:rPr>
            </w:pPr>
          </w:p>
          <w:p w14:paraId="640F0557" w14:textId="77777777" w:rsidR="00301E52" w:rsidRPr="00301E52" w:rsidRDefault="00301E52" w:rsidP="00301E52">
            <w:pPr>
              <w:rPr>
                <w:rFonts w:eastAsia="Times New Roman"/>
                <w:bCs/>
                <w:szCs w:val="24"/>
              </w:rPr>
            </w:pPr>
            <w:r w:rsidRPr="00301E52">
              <w:rPr>
                <w:rFonts w:eastAsia="Times New Roman"/>
                <w:bCs/>
                <w:szCs w:val="24"/>
              </w:rPr>
              <w:t>Improve JCATS data quality, design data dashboards and visualizations that help the courts and providers see their numbers in real time.</w:t>
            </w:r>
          </w:p>
          <w:p w14:paraId="2F4CD4F7" w14:textId="77777777" w:rsidR="00301E52" w:rsidRPr="00301E52" w:rsidRDefault="00301E52" w:rsidP="00301E52">
            <w:pPr>
              <w:rPr>
                <w:rFonts w:eastAsia="Times New Roman"/>
                <w:bCs/>
                <w:szCs w:val="24"/>
              </w:rPr>
            </w:pPr>
          </w:p>
        </w:tc>
        <w:tc>
          <w:tcPr>
            <w:tcW w:w="2250" w:type="dxa"/>
            <w:tcBorders>
              <w:top w:val="single" w:sz="4" w:space="0" w:color="auto"/>
              <w:left w:val="single" w:sz="4" w:space="0" w:color="auto"/>
              <w:bottom w:val="single" w:sz="4" w:space="0" w:color="auto"/>
              <w:right w:val="single" w:sz="4" w:space="0" w:color="auto"/>
            </w:tcBorders>
          </w:tcPr>
          <w:p w14:paraId="3192D2F6" w14:textId="77777777" w:rsidR="00301E52" w:rsidRPr="00301E52" w:rsidRDefault="00301E52" w:rsidP="00301E52">
            <w:pPr>
              <w:jc w:val="center"/>
              <w:rPr>
                <w:rFonts w:eastAsia="Times New Roman"/>
                <w:i/>
                <w:szCs w:val="24"/>
              </w:rPr>
            </w:pPr>
          </w:p>
          <w:p w14:paraId="68B3E8ED" w14:textId="77777777" w:rsidR="00301E52" w:rsidRPr="00301E52" w:rsidRDefault="00301E52" w:rsidP="00301E52">
            <w:pPr>
              <w:jc w:val="center"/>
              <w:rPr>
                <w:rFonts w:eastAsia="Times New Roman"/>
                <w:i/>
                <w:szCs w:val="24"/>
              </w:rPr>
            </w:pPr>
            <w:r w:rsidRPr="00301E52">
              <w:rPr>
                <w:rFonts w:eastAsia="Times New Roman"/>
                <w:i/>
                <w:szCs w:val="24"/>
              </w:rPr>
              <w:t>March 1, 2023</w:t>
            </w:r>
          </w:p>
        </w:tc>
        <w:tc>
          <w:tcPr>
            <w:tcW w:w="2342" w:type="dxa"/>
            <w:tcBorders>
              <w:top w:val="single" w:sz="4" w:space="0" w:color="auto"/>
              <w:left w:val="single" w:sz="4" w:space="0" w:color="auto"/>
              <w:bottom w:val="single" w:sz="4" w:space="0" w:color="auto"/>
              <w:right w:val="single" w:sz="4" w:space="0" w:color="auto"/>
            </w:tcBorders>
          </w:tcPr>
          <w:p w14:paraId="58FBC9D3" w14:textId="77777777" w:rsidR="00301E52" w:rsidRPr="00301E52" w:rsidRDefault="00301E52" w:rsidP="00301E52">
            <w:pPr>
              <w:jc w:val="center"/>
              <w:rPr>
                <w:rFonts w:eastAsia="Times New Roman"/>
                <w:i/>
                <w:szCs w:val="24"/>
              </w:rPr>
            </w:pPr>
          </w:p>
          <w:p w14:paraId="4E7A9BE9" w14:textId="77777777" w:rsidR="00301E52" w:rsidRPr="00301E52" w:rsidRDefault="00301E52" w:rsidP="00301E52">
            <w:pPr>
              <w:jc w:val="center"/>
              <w:rPr>
                <w:rFonts w:eastAsia="Times New Roman"/>
                <w:i/>
                <w:szCs w:val="24"/>
              </w:rPr>
            </w:pPr>
            <w:r w:rsidRPr="00301E52">
              <w:rPr>
                <w:rFonts w:eastAsia="Times New Roman"/>
                <w:i/>
                <w:szCs w:val="24"/>
              </w:rPr>
              <w:t>$80,000</w:t>
            </w:r>
          </w:p>
        </w:tc>
      </w:tr>
      <w:tr w:rsidR="00301E52" w:rsidRPr="00301E52" w14:paraId="29F0B438" w14:textId="77777777" w:rsidTr="00CC67BA">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5D550A69" w14:textId="77777777" w:rsidR="00301E52" w:rsidRPr="00301E52" w:rsidRDefault="00301E52" w:rsidP="00301E52">
            <w:pPr>
              <w:rPr>
                <w:rFonts w:eastAsia="Times New Roman"/>
                <w:b/>
                <w:szCs w:val="24"/>
              </w:rPr>
            </w:pPr>
            <w:r w:rsidRPr="00301E52">
              <w:rPr>
                <w:rFonts w:eastAsia="Times New Roman"/>
                <w:b/>
                <w:szCs w:val="24"/>
              </w:rPr>
              <w:t>Seventh Milestone:</w:t>
            </w:r>
          </w:p>
          <w:p w14:paraId="227D5163" w14:textId="77777777" w:rsidR="00301E52" w:rsidRPr="00301E52" w:rsidRDefault="00301E52" w:rsidP="00301E52">
            <w:pPr>
              <w:rPr>
                <w:rFonts w:eastAsia="Times New Roman"/>
                <w:b/>
                <w:szCs w:val="24"/>
              </w:rPr>
            </w:pPr>
          </w:p>
          <w:p w14:paraId="3CA80461" w14:textId="77777777" w:rsidR="00301E52" w:rsidRPr="00301E52" w:rsidRDefault="00301E52" w:rsidP="00301E52">
            <w:pPr>
              <w:rPr>
                <w:rFonts w:eastAsia="Times New Roman"/>
                <w:bCs/>
                <w:szCs w:val="24"/>
              </w:rPr>
            </w:pPr>
            <w:r w:rsidRPr="00301E52">
              <w:rPr>
                <w:rFonts w:eastAsia="Times New Roman"/>
                <w:bCs/>
                <w:szCs w:val="24"/>
              </w:rPr>
              <w:t>Deliver data evaluation plan that will optimize JCATS data collection to measure change over time.</w:t>
            </w:r>
          </w:p>
        </w:tc>
        <w:tc>
          <w:tcPr>
            <w:tcW w:w="2250" w:type="dxa"/>
            <w:tcBorders>
              <w:top w:val="single" w:sz="4" w:space="0" w:color="auto"/>
              <w:left w:val="single" w:sz="4" w:space="0" w:color="auto"/>
              <w:bottom w:val="single" w:sz="4" w:space="0" w:color="auto"/>
              <w:right w:val="single" w:sz="4" w:space="0" w:color="auto"/>
            </w:tcBorders>
          </w:tcPr>
          <w:p w14:paraId="14BCC6AC" w14:textId="77777777" w:rsidR="00301E52" w:rsidRPr="00301E52" w:rsidRDefault="00301E52" w:rsidP="00301E52">
            <w:pPr>
              <w:jc w:val="center"/>
              <w:rPr>
                <w:rFonts w:eastAsia="Times New Roman"/>
                <w:i/>
                <w:szCs w:val="24"/>
              </w:rPr>
            </w:pPr>
          </w:p>
          <w:p w14:paraId="291E6843" w14:textId="77777777" w:rsidR="00301E52" w:rsidRPr="00301E52" w:rsidRDefault="00301E52" w:rsidP="00301E52">
            <w:pPr>
              <w:jc w:val="center"/>
              <w:rPr>
                <w:rFonts w:eastAsia="Times New Roman"/>
                <w:i/>
                <w:szCs w:val="24"/>
              </w:rPr>
            </w:pPr>
            <w:r w:rsidRPr="00301E52">
              <w:rPr>
                <w:rFonts w:eastAsia="Times New Roman"/>
                <w:i/>
                <w:szCs w:val="24"/>
              </w:rPr>
              <w:t>June 15, 2023</w:t>
            </w:r>
          </w:p>
        </w:tc>
        <w:tc>
          <w:tcPr>
            <w:tcW w:w="2342" w:type="dxa"/>
            <w:tcBorders>
              <w:top w:val="single" w:sz="4" w:space="0" w:color="auto"/>
              <w:left w:val="single" w:sz="4" w:space="0" w:color="auto"/>
              <w:bottom w:val="single" w:sz="4" w:space="0" w:color="auto"/>
              <w:right w:val="single" w:sz="4" w:space="0" w:color="auto"/>
            </w:tcBorders>
          </w:tcPr>
          <w:p w14:paraId="0E929986" w14:textId="77777777" w:rsidR="00301E52" w:rsidRPr="00301E52" w:rsidRDefault="00301E52" w:rsidP="00301E52">
            <w:pPr>
              <w:rPr>
                <w:rFonts w:eastAsia="Times New Roman"/>
                <w:i/>
                <w:szCs w:val="24"/>
              </w:rPr>
            </w:pPr>
          </w:p>
          <w:p w14:paraId="29187296" w14:textId="77777777" w:rsidR="00301E52" w:rsidRPr="00301E52" w:rsidRDefault="00301E52" w:rsidP="00301E52">
            <w:pPr>
              <w:jc w:val="center"/>
              <w:rPr>
                <w:rFonts w:eastAsia="Times New Roman"/>
                <w:i/>
                <w:szCs w:val="24"/>
              </w:rPr>
            </w:pPr>
            <w:r w:rsidRPr="00301E52">
              <w:rPr>
                <w:rFonts w:eastAsia="Times New Roman"/>
                <w:i/>
                <w:szCs w:val="24"/>
              </w:rPr>
              <w:t>$50,000</w:t>
            </w:r>
          </w:p>
        </w:tc>
      </w:tr>
      <w:bookmarkEnd w:id="1"/>
    </w:tbl>
    <w:p w14:paraId="4EC8ECBF" w14:textId="3EB982E2" w:rsidR="00115DD0" w:rsidRPr="00301E52" w:rsidRDefault="00115DD0" w:rsidP="00115DD0">
      <w:pPr>
        <w:pStyle w:val="ListParagraph"/>
        <w:spacing w:before="120" w:after="120"/>
        <w:ind w:left="1260"/>
        <w:rPr>
          <w:rFonts w:asciiTheme="minorHAnsi" w:hAnsiTheme="minorHAnsi" w:cstheme="minorHAnsi"/>
          <w:iCs/>
          <w:sz w:val="20"/>
        </w:rPr>
      </w:pPr>
    </w:p>
    <w:p w14:paraId="6DDEED71" w14:textId="1C4803FC" w:rsidR="00115DD0" w:rsidRDefault="00115DD0" w:rsidP="00115DD0">
      <w:pPr>
        <w:pStyle w:val="ListParagraph"/>
        <w:spacing w:before="120" w:after="120"/>
        <w:ind w:left="1260"/>
        <w:rPr>
          <w:rFonts w:asciiTheme="minorHAnsi" w:hAnsiTheme="minorHAnsi" w:cstheme="minorHAnsi"/>
          <w:i/>
          <w:sz w:val="20"/>
        </w:rPr>
      </w:pPr>
    </w:p>
    <w:p w14:paraId="11CD9ECF" w14:textId="185230E3" w:rsidR="00115DD0" w:rsidRDefault="00115DD0" w:rsidP="00115DD0">
      <w:pPr>
        <w:pStyle w:val="ListParagraph"/>
        <w:spacing w:before="120" w:after="120"/>
        <w:ind w:left="1260"/>
        <w:rPr>
          <w:rFonts w:asciiTheme="minorHAnsi" w:hAnsiTheme="minorHAnsi" w:cstheme="minorHAnsi"/>
          <w:i/>
          <w:sz w:val="20"/>
        </w:rPr>
      </w:pPr>
    </w:p>
    <w:p w14:paraId="242A2518" w14:textId="7FDDDF22" w:rsidR="00115DD0" w:rsidRDefault="00115DD0" w:rsidP="00115DD0">
      <w:pPr>
        <w:pStyle w:val="ListParagraph"/>
        <w:spacing w:before="120" w:after="120"/>
        <w:ind w:left="1260"/>
        <w:rPr>
          <w:rFonts w:asciiTheme="minorHAnsi" w:hAnsiTheme="minorHAnsi" w:cstheme="minorHAnsi"/>
          <w:i/>
          <w:sz w:val="20"/>
        </w:rPr>
      </w:pPr>
    </w:p>
    <w:p w14:paraId="7DC61E3F" w14:textId="348363AE" w:rsidR="00115DD0" w:rsidRDefault="00115DD0" w:rsidP="00115DD0">
      <w:pPr>
        <w:pStyle w:val="ListParagraph"/>
        <w:spacing w:before="120" w:after="120"/>
        <w:ind w:left="1260"/>
        <w:rPr>
          <w:rFonts w:asciiTheme="minorHAnsi" w:hAnsiTheme="minorHAnsi" w:cstheme="minorHAnsi"/>
          <w:i/>
          <w:sz w:val="20"/>
        </w:rPr>
      </w:pPr>
    </w:p>
    <w:p w14:paraId="2F93C960" w14:textId="53A1466F" w:rsidR="00115DD0" w:rsidRDefault="00115DD0" w:rsidP="00115DD0">
      <w:pPr>
        <w:pStyle w:val="ListParagraph"/>
        <w:spacing w:before="120" w:after="120"/>
        <w:ind w:left="1260"/>
        <w:rPr>
          <w:rFonts w:asciiTheme="minorHAnsi" w:hAnsiTheme="minorHAnsi" w:cstheme="minorHAnsi"/>
          <w:i/>
          <w:sz w:val="20"/>
        </w:rPr>
      </w:pPr>
    </w:p>
    <w:p w14:paraId="6D17F301" w14:textId="4AD24FAB" w:rsidR="00115DD0" w:rsidRDefault="00115DD0" w:rsidP="00115DD0">
      <w:pPr>
        <w:pStyle w:val="ListParagraph"/>
        <w:spacing w:before="120" w:after="120"/>
        <w:ind w:left="1260"/>
        <w:rPr>
          <w:rFonts w:asciiTheme="minorHAnsi" w:hAnsiTheme="minorHAnsi" w:cstheme="minorHAnsi"/>
          <w:i/>
          <w:sz w:val="20"/>
        </w:rPr>
      </w:pPr>
    </w:p>
    <w:p w14:paraId="014738F4" w14:textId="24609659" w:rsidR="00115DD0" w:rsidRDefault="00115DD0" w:rsidP="00115DD0">
      <w:pPr>
        <w:pStyle w:val="ListParagraph"/>
        <w:spacing w:before="120" w:after="120"/>
        <w:ind w:left="1260"/>
        <w:rPr>
          <w:rFonts w:asciiTheme="minorHAnsi" w:hAnsiTheme="minorHAnsi" w:cstheme="minorHAnsi"/>
          <w:i/>
          <w:sz w:val="20"/>
        </w:rPr>
      </w:pPr>
    </w:p>
    <w:p w14:paraId="2874A688" w14:textId="1E25785A" w:rsidR="00115DD0" w:rsidRDefault="00115DD0" w:rsidP="00115DD0">
      <w:pPr>
        <w:pStyle w:val="ListParagraph"/>
        <w:spacing w:before="120" w:after="120"/>
        <w:ind w:left="1260"/>
        <w:rPr>
          <w:rFonts w:asciiTheme="minorHAnsi" w:hAnsiTheme="minorHAnsi" w:cstheme="minorHAnsi"/>
          <w:i/>
          <w:sz w:val="20"/>
        </w:rPr>
      </w:pPr>
    </w:p>
    <w:p w14:paraId="3D1478BE" w14:textId="5568D61B" w:rsidR="00115DD0" w:rsidRDefault="00115DD0" w:rsidP="00115DD0">
      <w:pPr>
        <w:pStyle w:val="ListParagraph"/>
        <w:rPr>
          <w:rFonts w:asciiTheme="minorHAnsi" w:hAnsiTheme="minorHAnsi" w:cstheme="minorHAnsi"/>
          <w:i/>
          <w:sz w:val="20"/>
        </w:rPr>
      </w:pPr>
    </w:p>
    <w:p w14:paraId="31EAB5C8" w14:textId="77777777" w:rsidR="00115DD0" w:rsidRPr="00115DD0" w:rsidRDefault="00115DD0" w:rsidP="00115DD0">
      <w:pPr>
        <w:pStyle w:val="ListParagraph"/>
        <w:rPr>
          <w:rFonts w:asciiTheme="minorHAnsi" w:hAnsiTheme="minorHAnsi" w:cstheme="minorHAnsi"/>
          <w:i/>
          <w:sz w:val="20"/>
        </w:rPr>
      </w:pPr>
    </w:p>
    <w:p w14:paraId="73EBDFF8" w14:textId="77777777" w:rsidR="00927DC6" w:rsidRPr="00927DC6" w:rsidRDefault="00927DC6" w:rsidP="00115DD0">
      <w:pPr>
        <w:pStyle w:val="ListParagraph"/>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w:t>
      </w:r>
      <w:proofErr w:type="gramStart"/>
      <w:r w:rsidRPr="007A0CA1">
        <w:rPr>
          <w:sz w:val="20"/>
        </w:rPr>
        <w:t>materials</w:t>
      </w:r>
      <w:proofErr w:type="gramEnd"/>
      <w:r w:rsidRPr="007A0CA1">
        <w:rPr>
          <w:sz w:val="20"/>
        </w:rPr>
        <w:t xml:space="preserve">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0E4A7529"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w:t>
      </w:r>
      <w:proofErr w:type="gramStart"/>
      <w:r w:rsidR="00492684" w:rsidRPr="00303BCF">
        <w:rPr>
          <w:sz w:val="20"/>
        </w:rPr>
        <w:t>taxes</w:t>
      </w:r>
      <w:proofErr w:type="gramEnd"/>
      <w:r w:rsidR="00492684" w:rsidRPr="00303BCF">
        <w:rPr>
          <w:sz w:val="20"/>
        </w:rPr>
        <w:t xml:space="preserve"> or expenses of any nature which Contractor incurs.</w:t>
      </w:r>
    </w:p>
    <w:p w14:paraId="68AAA2DB" w14:textId="60A3A75D" w:rsidR="00383817" w:rsidRPr="00383817" w:rsidRDefault="00383817" w:rsidP="00383817">
      <w:pPr>
        <w:pStyle w:val="ListParagraph"/>
        <w:numPr>
          <w:ilvl w:val="0"/>
          <w:numId w:val="33"/>
        </w:numPr>
        <w:spacing w:before="120" w:after="120"/>
        <w:rPr>
          <w:rFonts w:asciiTheme="minorHAnsi" w:hAnsiTheme="minorHAnsi" w:cstheme="minorHAnsi"/>
          <w:bCs/>
          <w:iCs/>
          <w:sz w:val="20"/>
          <w:lang w:bidi="en-US"/>
        </w:rPr>
      </w:pPr>
      <w:r w:rsidRPr="00383817">
        <w:rPr>
          <w:rFonts w:asciiTheme="minorHAnsi" w:hAnsiTheme="minorHAnsi" w:cstheme="minorHAnsi"/>
          <w:bCs/>
          <w:iCs/>
          <w:sz w:val="20"/>
          <w:lang w:bidi="en-US"/>
        </w:rPr>
        <w:t>The resulting contract will be comprised of firm fixed pricing for satisfactory completion of each deliverable/Milestone listed below. Completion Dates and Firm Fixed Amounts listed in the below table are estimated.  The actual completion dates and firm fixed amounts will be based on the awarded proposal.</w:t>
      </w:r>
    </w:p>
    <w:p w14:paraId="75369042" w14:textId="77777777" w:rsidR="00383817" w:rsidRPr="00383817" w:rsidRDefault="00383817" w:rsidP="00383817">
      <w:pPr>
        <w:pStyle w:val="ListParagraph"/>
        <w:numPr>
          <w:ilvl w:val="0"/>
          <w:numId w:val="33"/>
        </w:numPr>
        <w:spacing w:before="120" w:after="120"/>
        <w:rPr>
          <w:rFonts w:asciiTheme="minorHAnsi" w:hAnsiTheme="minorHAnsi" w:cstheme="minorHAnsi"/>
          <w:bCs/>
          <w:iCs/>
          <w:sz w:val="20"/>
          <w:lang w:bidi="en-US"/>
        </w:rPr>
      </w:pPr>
      <w:r w:rsidRPr="00383817">
        <w:rPr>
          <w:rFonts w:asciiTheme="minorHAnsi" w:hAnsiTheme="minorHAnsi" w:cstheme="minorHAnsi"/>
          <w:bCs/>
          <w:iCs/>
          <w:sz w:val="20"/>
          <w:lang w:bidi="en-US"/>
        </w:rPr>
        <w:t xml:space="preserve">Contractor shall submit invoices upon satisfactory completion of services; </w:t>
      </w:r>
    </w:p>
    <w:p w14:paraId="191B922F" w14:textId="01589213" w:rsidR="00383817" w:rsidRPr="00383817" w:rsidRDefault="00383817" w:rsidP="00383817">
      <w:pPr>
        <w:pStyle w:val="ListParagraph"/>
        <w:numPr>
          <w:ilvl w:val="0"/>
          <w:numId w:val="33"/>
        </w:numPr>
        <w:spacing w:before="120" w:after="120"/>
        <w:rPr>
          <w:rFonts w:asciiTheme="minorHAnsi" w:hAnsiTheme="minorHAnsi" w:cstheme="minorHAnsi"/>
          <w:bCs/>
          <w:iCs/>
          <w:sz w:val="20"/>
          <w:lang w:bidi="en-US"/>
        </w:rPr>
      </w:pPr>
      <w:r w:rsidRPr="00383817">
        <w:rPr>
          <w:rFonts w:asciiTheme="minorHAnsi" w:hAnsiTheme="minorHAnsi" w:cstheme="minorHAnsi"/>
          <w:bCs/>
          <w:iCs/>
          <w:sz w:val="20"/>
          <w:lang w:bidi="en-US"/>
        </w:rPr>
        <w:t xml:space="preserve">No other expenses including travel expenses will be reimbursed by the Judicial Council. </w:t>
      </w:r>
    </w:p>
    <w:p w14:paraId="38D98B24" w14:textId="55E11037" w:rsidR="00C36343" w:rsidRPr="00383817" w:rsidRDefault="00383817" w:rsidP="00383817">
      <w:pPr>
        <w:pStyle w:val="ListParagraph"/>
        <w:numPr>
          <w:ilvl w:val="0"/>
          <w:numId w:val="33"/>
        </w:numPr>
        <w:spacing w:before="120" w:after="120"/>
        <w:rPr>
          <w:rFonts w:asciiTheme="minorHAnsi" w:hAnsiTheme="minorHAnsi" w:cstheme="minorHAnsi"/>
          <w:bCs/>
          <w:iCs/>
          <w:sz w:val="20"/>
          <w:lang w:bidi="en-US"/>
        </w:rPr>
      </w:pPr>
      <w:r w:rsidRPr="00383817">
        <w:rPr>
          <w:rFonts w:asciiTheme="minorHAnsi" w:hAnsiTheme="minorHAnsi" w:cstheme="minorHAnsi"/>
          <w:bCs/>
          <w:iCs/>
          <w:sz w:val="20"/>
          <w:lang w:bidi="en-US"/>
        </w:rPr>
        <w:t>The payment term is Net 60 from date or receipt of acceptance of Deliverable(s).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149C2468" w:rsidR="00E165F5" w:rsidRPr="001B671E" w:rsidRDefault="00E165F5" w:rsidP="00846E22">
      <w:pPr>
        <w:numPr>
          <w:ilvl w:val="0"/>
          <w:numId w:val="17"/>
        </w:numPr>
        <w:spacing w:before="120" w:after="120"/>
        <w:ind w:left="720" w:firstLine="0"/>
        <w:rPr>
          <w:rFonts w:asciiTheme="minorHAnsi" w:hAnsiTheme="minorHAnsi" w:cstheme="minorHAnsi"/>
          <w:b/>
          <w:i/>
          <w:sz w:val="20"/>
          <w:lang w:bidi="en-US"/>
        </w:rPr>
      </w:pPr>
      <w:r w:rsidRPr="001B671E">
        <w:rPr>
          <w:rFonts w:asciiTheme="minorHAnsi" w:hAnsiTheme="minorHAnsi" w:cstheme="minorHAnsi"/>
          <w:b/>
          <w:i/>
          <w:sz w:val="20"/>
          <w:lang w:bidi="en-US"/>
        </w:rPr>
        <w:t xml:space="preserve"> </w:t>
      </w:r>
      <w:r w:rsidR="001B671E" w:rsidRPr="001B671E">
        <w:rPr>
          <w:rFonts w:asciiTheme="minorHAnsi" w:hAnsiTheme="minorHAnsi" w:cstheme="minorHAnsi"/>
          <w:b/>
          <w:iCs/>
          <w:sz w:val="20"/>
          <w:lang w:bidi="en-US"/>
        </w:rPr>
        <w:t>Table 1 Milestones:</w:t>
      </w:r>
    </w:p>
    <w:tbl>
      <w:tblPr>
        <w:tblpPr w:leftFromText="180" w:rightFromText="180" w:vertAnchor="text" w:horzAnchor="margin" w:tblpXSpec="center" w:tblpY="379"/>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gridCol w:w="2342"/>
      </w:tblGrid>
      <w:tr w:rsidR="001B671E" w:rsidRPr="001B671E" w14:paraId="4EB1B8A5" w14:textId="77777777" w:rsidTr="00CC67BA">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DCCFF9" w14:textId="77777777" w:rsidR="001B671E" w:rsidRPr="001B671E" w:rsidRDefault="001B671E" w:rsidP="001B671E">
            <w:pPr>
              <w:keepNext/>
              <w:jc w:val="center"/>
              <w:rPr>
                <w:rFonts w:eastAsia="Times New Roman"/>
                <w:b/>
                <w:bCs/>
                <w:szCs w:val="24"/>
              </w:rPr>
            </w:pPr>
            <w:r w:rsidRPr="001B671E">
              <w:rPr>
                <w:rFonts w:eastAsia="Times New Roman"/>
                <w:b/>
                <w:bCs/>
                <w:szCs w:val="24"/>
              </w:rPr>
              <w:t xml:space="preserve">Milestone(s) </w:t>
            </w:r>
          </w:p>
          <w:p w14:paraId="05237D4B" w14:textId="77777777" w:rsidR="001B671E" w:rsidRPr="001B671E" w:rsidRDefault="001B671E" w:rsidP="001B671E">
            <w:pPr>
              <w:keepNext/>
              <w:jc w:val="center"/>
              <w:rPr>
                <w:rFonts w:eastAsia="Times New Roman"/>
                <w:b/>
                <w:bCs/>
                <w:szCs w:val="24"/>
              </w:rPr>
            </w:pPr>
            <w:r w:rsidRPr="001B671E">
              <w:rPr>
                <w:rFonts w:eastAsia="Times New Roman"/>
                <w:b/>
                <w:bCs/>
                <w:szCs w:val="24"/>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3D8A6736" w14:textId="77777777" w:rsidR="001B671E" w:rsidRPr="001B671E" w:rsidRDefault="001B671E" w:rsidP="001B671E">
            <w:pPr>
              <w:keepNext/>
              <w:jc w:val="center"/>
              <w:rPr>
                <w:rFonts w:eastAsia="Times New Roman"/>
                <w:b/>
                <w:bCs/>
                <w:szCs w:val="24"/>
              </w:rPr>
            </w:pPr>
            <w:r w:rsidRPr="001B671E">
              <w:rPr>
                <w:rFonts w:eastAsia="Times New Roman"/>
                <w:b/>
                <w:bCs/>
                <w:i/>
                <w:szCs w:val="24"/>
              </w:rPr>
              <w:t xml:space="preserve">Estimated </w:t>
            </w:r>
            <w:r w:rsidRPr="001B671E">
              <w:rPr>
                <w:rFonts w:eastAsia="Times New Roman"/>
                <w:b/>
                <w:bCs/>
                <w:szCs w:val="24"/>
              </w:rPr>
              <w:t>Completion Date</w:t>
            </w:r>
          </w:p>
        </w:tc>
        <w:tc>
          <w:tcPr>
            <w:tcW w:w="2342" w:type="dxa"/>
            <w:tcBorders>
              <w:top w:val="single" w:sz="4" w:space="0" w:color="auto"/>
              <w:left w:val="single" w:sz="4" w:space="0" w:color="auto"/>
              <w:bottom w:val="single" w:sz="4" w:space="0" w:color="auto"/>
              <w:right w:val="single" w:sz="4" w:space="0" w:color="auto"/>
            </w:tcBorders>
            <w:shd w:val="clear" w:color="auto" w:fill="F3F3F3"/>
            <w:vAlign w:val="center"/>
          </w:tcPr>
          <w:p w14:paraId="01A6489B" w14:textId="77777777" w:rsidR="001B671E" w:rsidRPr="001B671E" w:rsidRDefault="001B671E" w:rsidP="001B671E">
            <w:pPr>
              <w:keepNext/>
              <w:jc w:val="center"/>
              <w:rPr>
                <w:rFonts w:eastAsia="Times New Roman"/>
                <w:b/>
                <w:bCs/>
                <w:sz w:val="4"/>
                <w:szCs w:val="4"/>
              </w:rPr>
            </w:pPr>
          </w:p>
          <w:p w14:paraId="633C0872" w14:textId="77777777" w:rsidR="001B671E" w:rsidRPr="001B671E" w:rsidRDefault="001B671E" w:rsidP="001B671E">
            <w:pPr>
              <w:keepNext/>
              <w:jc w:val="center"/>
              <w:rPr>
                <w:rFonts w:eastAsia="Times New Roman"/>
                <w:b/>
                <w:bCs/>
                <w:szCs w:val="24"/>
              </w:rPr>
            </w:pPr>
            <w:r w:rsidRPr="001B671E">
              <w:rPr>
                <w:rFonts w:eastAsia="Times New Roman"/>
                <w:b/>
                <w:bCs/>
                <w:i/>
                <w:szCs w:val="24"/>
              </w:rPr>
              <w:t>Estimated</w:t>
            </w:r>
            <w:r w:rsidRPr="001B671E">
              <w:rPr>
                <w:rFonts w:eastAsia="Times New Roman"/>
                <w:b/>
                <w:bCs/>
                <w:szCs w:val="24"/>
              </w:rPr>
              <w:t xml:space="preserve"> </w:t>
            </w:r>
          </w:p>
          <w:p w14:paraId="111CE8B7" w14:textId="77777777" w:rsidR="001B671E" w:rsidRPr="001B671E" w:rsidRDefault="001B671E" w:rsidP="001B671E">
            <w:pPr>
              <w:keepNext/>
              <w:jc w:val="center"/>
              <w:rPr>
                <w:rFonts w:eastAsia="Times New Roman"/>
                <w:b/>
                <w:bCs/>
                <w:i/>
                <w:szCs w:val="24"/>
                <w:u w:val="thick"/>
              </w:rPr>
            </w:pPr>
            <w:r w:rsidRPr="001B671E">
              <w:rPr>
                <w:rFonts w:eastAsia="Times New Roman"/>
                <w:b/>
                <w:bCs/>
                <w:i/>
                <w:szCs w:val="24"/>
                <w:u w:val="thick"/>
              </w:rPr>
              <w:t>Maximum</w:t>
            </w:r>
          </w:p>
          <w:p w14:paraId="1D18779E" w14:textId="77777777" w:rsidR="001B671E" w:rsidRPr="001B671E" w:rsidRDefault="001B671E" w:rsidP="001B671E">
            <w:pPr>
              <w:keepNext/>
              <w:jc w:val="center"/>
              <w:rPr>
                <w:rFonts w:eastAsia="Times New Roman"/>
                <w:b/>
                <w:bCs/>
                <w:szCs w:val="24"/>
              </w:rPr>
            </w:pPr>
            <w:r w:rsidRPr="001B671E">
              <w:rPr>
                <w:rFonts w:eastAsia="Times New Roman"/>
                <w:b/>
                <w:bCs/>
                <w:szCs w:val="24"/>
              </w:rPr>
              <w:t>Firm Fixed Amount</w:t>
            </w:r>
          </w:p>
        </w:tc>
      </w:tr>
      <w:tr w:rsidR="001B671E" w:rsidRPr="001B671E" w14:paraId="53B7279C" w14:textId="77777777" w:rsidTr="00CC67BA">
        <w:trPr>
          <w:cantSplit/>
          <w:trHeight w:val="1180"/>
        </w:trPr>
        <w:tc>
          <w:tcPr>
            <w:tcW w:w="6205" w:type="dxa"/>
            <w:tcBorders>
              <w:top w:val="single" w:sz="4" w:space="0" w:color="auto"/>
              <w:left w:val="single" w:sz="4" w:space="0" w:color="auto"/>
              <w:bottom w:val="single" w:sz="4" w:space="0" w:color="auto"/>
              <w:right w:val="single" w:sz="4" w:space="0" w:color="auto"/>
            </w:tcBorders>
          </w:tcPr>
          <w:p w14:paraId="13058064" w14:textId="77777777" w:rsidR="001B671E" w:rsidRPr="001B671E" w:rsidRDefault="001B671E" w:rsidP="001B671E">
            <w:pPr>
              <w:rPr>
                <w:rFonts w:eastAsia="Times New Roman"/>
                <w:b/>
                <w:szCs w:val="24"/>
              </w:rPr>
            </w:pPr>
            <w:r w:rsidRPr="001B671E">
              <w:rPr>
                <w:rFonts w:eastAsia="Times New Roman"/>
                <w:b/>
                <w:szCs w:val="24"/>
              </w:rPr>
              <w:t>First Milestone:</w:t>
            </w:r>
          </w:p>
          <w:p w14:paraId="551B25C3" w14:textId="77777777" w:rsidR="001B671E" w:rsidRPr="001B671E" w:rsidRDefault="001B671E" w:rsidP="001B671E">
            <w:pPr>
              <w:spacing w:before="240" w:after="240"/>
              <w:rPr>
                <w:rFonts w:asciiTheme="minorHAnsi" w:eastAsia="Times New Roman" w:hAnsiTheme="minorHAnsi"/>
                <w:szCs w:val="24"/>
              </w:rPr>
            </w:pPr>
            <w:r w:rsidRPr="001B671E">
              <w:rPr>
                <w:rFonts w:asciiTheme="minorHAnsi" w:eastAsia="Times New Roman" w:hAnsiTheme="minorHAnsi"/>
                <w:szCs w:val="24"/>
              </w:rPr>
              <w:t>Meet with and obtain input from Judicial Council staff and outcomes for this project.</w:t>
            </w:r>
          </w:p>
        </w:tc>
        <w:tc>
          <w:tcPr>
            <w:tcW w:w="2250" w:type="dxa"/>
            <w:tcBorders>
              <w:top w:val="single" w:sz="4" w:space="0" w:color="auto"/>
              <w:left w:val="single" w:sz="4" w:space="0" w:color="auto"/>
              <w:bottom w:val="single" w:sz="4" w:space="0" w:color="auto"/>
              <w:right w:val="single" w:sz="4" w:space="0" w:color="auto"/>
            </w:tcBorders>
          </w:tcPr>
          <w:p w14:paraId="0D8494D7" w14:textId="77777777" w:rsidR="001B671E" w:rsidRPr="001B671E" w:rsidRDefault="001B671E" w:rsidP="001B671E">
            <w:pPr>
              <w:jc w:val="center"/>
              <w:rPr>
                <w:rFonts w:eastAsia="Times New Roman"/>
                <w:i/>
                <w:szCs w:val="24"/>
              </w:rPr>
            </w:pPr>
          </w:p>
          <w:p w14:paraId="324EBE45" w14:textId="77777777" w:rsidR="001B671E" w:rsidRPr="001B671E" w:rsidRDefault="001B671E" w:rsidP="001B671E">
            <w:pPr>
              <w:jc w:val="center"/>
              <w:rPr>
                <w:rFonts w:eastAsia="Times New Roman"/>
                <w:i/>
                <w:szCs w:val="24"/>
              </w:rPr>
            </w:pPr>
          </w:p>
          <w:p w14:paraId="11E61F75" w14:textId="77777777" w:rsidR="001B671E" w:rsidRPr="001B671E" w:rsidRDefault="001B671E" w:rsidP="001B671E">
            <w:pPr>
              <w:jc w:val="center"/>
              <w:rPr>
                <w:rFonts w:eastAsia="Times New Roman"/>
                <w:i/>
                <w:szCs w:val="24"/>
              </w:rPr>
            </w:pPr>
            <w:r w:rsidRPr="001B671E">
              <w:rPr>
                <w:rFonts w:eastAsia="Times New Roman"/>
                <w:i/>
                <w:szCs w:val="24"/>
              </w:rPr>
              <w:t>June 30, 2022</w:t>
            </w:r>
          </w:p>
        </w:tc>
        <w:tc>
          <w:tcPr>
            <w:tcW w:w="2342" w:type="dxa"/>
            <w:tcBorders>
              <w:top w:val="single" w:sz="4" w:space="0" w:color="auto"/>
              <w:left w:val="single" w:sz="4" w:space="0" w:color="auto"/>
              <w:bottom w:val="single" w:sz="4" w:space="0" w:color="auto"/>
              <w:right w:val="single" w:sz="4" w:space="0" w:color="auto"/>
            </w:tcBorders>
          </w:tcPr>
          <w:p w14:paraId="44517C6F" w14:textId="77777777" w:rsidR="001B671E" w:rsidRPr="001B671E" w:rsidRDefault="001B671E" w:rsidP="001B671E">
            <w:pPr>
              <w:jc w:val="center"/>
              <w:rPr>
                <w:rFonts w:eastAsia="Times New Roman"/>
                <w:i/>
                <w:szCs w:val="24"/>
              </w:rPr>
            </w:pPr>
          </w:p>
          <w:p w14:paraId="051F7942" w14:textId="77777777" w:rsidR="001B671E" w:rsidRPr="001B671E" w:rsidRDefault="001B671E" w:rsidP="001B671E">
            <w:pPr>
              <w:jc w:val="center"/>
              <w:rPr>
                <w:rFonts w:eastAsia="Times New Roman"/>
                <w:i/>
                <w:szCs w:val="24"/>
              </w:rPr>
            </w:pPr>
          </w:p>
          <w:p w14:paraId="237B7EAB" w14:textId="77777777" w:rsidR="001B671E" w:rsidRPr="001B671E" w:rsidRDefault="001B671E" w:rsidP="001B671E">
            <w:pPr>
              <w:jc w:val="center"/>
              <w:rPr>
                <w:rFonts w:eastAsia="Times New Roman"/>
                <w:i/>
                <w:szCs w:val="24"/>
              </w:rPr>
            </w:pPr>
            <w:r w:rsidRPr="001B671E">
              <w:rPr>
                <w:rFonts w:eastAsia="Times New Roman"/>
                <w:i/>
                <w:szCs w:val="24"/>
              </w:rPr>
              <w:t>$5000</w:t>
            </w:r>
          </w:p>
        </w:tc>
      </w:tr>
      <w:tr w:rsidR="001B671E" w:rsidRPr="001B671E" w14:paraId="549A0949" w14:textId="77777777" w:rsidTr="00CC67BA">
        <w:trPr>
          <w:cantSplit/>
          <w:trHeight w:val="1837"/>
        </w:trPr>
        <w:tc>
          <w:tcPr>
            <w:tcW w:w="6205" w:type="dxa"/>
            <w:tcBorders>
              <w:top w:val="single" w:sz="4" w:space="0" w:color="auto"/>
              <w:left w:val="single" w:sz="4" w:space="0" w:color="auto"/>
              <w:bottom w:val="single" w:sz="4" w:space="0" w:color="auto"/>
              <w:right w:val="single" w:sz="4" w:space="0" w:color="auto"/>
            </w:tcBorders>
          </w:tcPr>
          <w:p w14:paraId="34775C12" w14:textId="77777777" w:rsidR="001B671E" w:rsidRPr="001B671E" w:rsidRDefault="001B671E" w:rsidP="001B671E">
            <w:pPr>
              <w:rPr>
                <w:rFonts w:eastAsia="Times New Roman"/>
                <w:b/>
                <w:szCs w:val="24"/>
              </w:rPr>
            </w:pPr>
            <w:r w:rsidRPr="001B671E">
              <w:rPr>
                <w:rFonts w:eastAsia="Times New Roman"/>
                <w:b/>
                <w:szCs w:val="24"/>
              </w:rPr>
              <w:t>Second Milestone:</w:t>
            </w:r>
          </w:p>
          <w:p w14:paraId="6213F48E" w14:textId="77777777" w:rsidR="001B671E" w:rsidRPr="001B671E" w:rsidRDefault="001B671E" w:rsidP="001B671E">
            <w:pPr>
              <w:spacing w:before="240" w:after="240"/>
              <w:rPr>
                <w:rFonts w:asciiTheme="minorHAnsi" w:eastAsia="Times New Roman" w:hAnsiTheme="minorHAnsi"/>
                <w:szCs w:val="24"/>
                <w:u w:val="single"/>
              </w:rPr>
            </w:pPr>
            <w:r w:rsidRPr="001B671E">
              <w:rPr>
                <w:rFonts w:asciiTheme="minorHAnsi" w:eastAsia="Times New Roman" w:hAnsiTheme="minorHAnsi"/>
                <w:szCs w:val="24"/>
              </w:rPr>
              <w:t>Evaluate baseline data existing in JCATS beginning with FY 2020-21 to measure change over time. Other baseline data that CFCC collected includes, current caseload numbers as reported by the attorney providers, number of full-time attorneys, social workers, and administrative staff, and the plan and budget the attorney providers provided on how they would spend their FFDRP allocations to improve attorney practice and case outcomes</w:t>
            </w:r>
            <w:r w:rsidRPr="001B671E">
              <w:rPr>
                <w:rFonts w:asciiTheme="minorHAnsi" w:eastAsia="Times New Roman" w:hAnsiTheme="minorHAnsi"/>
                <w:szCs w:val="24"/>
                <w:u w:val="single"/>
              </w:rPr>
              <w:t>.</w:t>
            </w:r>
          </w:p>
        </w:tc>
        <w:tc>
          <w:tcPr>
            <w:tcW w:w="2250" w:type="dxa"/>
            <w:tcBorders>
              <w:top w:val="single" w:sz="4" w:space="0" w:color="auto"/>
              <w:left w:val="single" w:sz="4" w:space="0" w:color="auto"/>
              <w:bottom w:val="single" w:sz="4" w:space="0" w:color="auto"/>
              <w:right w:val="single" w:sz="4" w:space="0" w:color="auto"/>
            </w:tcBorders>
          </w:tcPr>
          <w:p w14:paraId="3299D982" w14:textId="77777777" w:rsidR="001B671E" w:rsidRPr="001B671E" w:rsidRDefault="001B671E" w:rsidP="001B671E">
            <w:pPr>
              <w:jc w:val="center"/>
              <w:rPr>
                <w:rFonts w:eastAsia="Times New Roman"/>
                <w:i/>
                <w:szCs w:val="24"/>
              </w:rPr>
            </w:pPr>
          </w:p>
          <w:p w14:paraId="533A159C" w14:textId="77777777" w:rsidR="001B671E" w:rsidRPr="001B671E" w:rsidRDefault="001B671E" w:rsidP="001B671E">
            <w:pPr>
              <w:jc w:val="center"/>
              <w:rPr>
                <w:rFonts w:eastAsia="Times New Roman"/>
                <w:i/>
                <w:szCs w:val="24"/>
              </w:rPr>
            </w:pPr>
          </w:p>
          <w:p w14:paraId="765BE327" w14:textId="77777777" w:rsidR="001B671E" w:rsidRPr="001B671E" w:rsidRDefault="001B671E" w:rsidP="001B671E">
            <w:pPr>
              <w:jc w:val="center"/>
              <w:rPr>
                <w:rFonts w:eastAsia="Times New Roman"/>
                <w:i/>
                <w:szCs w:val="24"/>
              </w:rPr>
            </w:pPr>
            <w:r w:rsidRPr="001B671E">
              <w:rPr>
                <w:rFonts w:eastAsia="Times New Roman"/>
                <w:i/>
                <w:szCs w:val="24"/>
              </w:rPr>
              <w:t>September 30, 2022</w:t>
            </w:r>
          </w:p>
        </w:tc>
        <w:tc>
          <w:tcPr>
            <w:tcW w:w="2342" w:type="dxa"/>
            <w:tcBorders>
              <w:top w:val="single" w:sz="4" w:space="0" w:color="auto"/>
              <w:left w:val="single" w:sz="4" w:space="0" w:color="auto"/>
              <w:bottom w:val="single" w:sz="4" w:space="0" w:color="auto"/>
              <w:right w:val="single" w:sz="4" w:space="0" w:color="auto"/>
            </w:tcBorders>
          </w:tcPr>
          <w:p w14:paraId="3E263512" w14:textId="77777777" w:rsidR="001B671E" w:rsidRPr="001B671E" w:rsidRDefault="001B671E" w:rsidP="001B671E">
            <w:pPr>
              <w:jc w:val="center"/>
              <w:rPr>
                <w:rFonts w:eastAsia="Times New Roman"/>
                <w:i/>
                <w:szCs w:val="24"/>
              </w:rPr>
            </w:pPr>
          </w:p>
          <w:p w14:paraId="5ACECE93" w14:textId="77777777" w:rsidR="001B671E" w:rsidRPr="001B671E" w:rsidRDefault="001B671E" w:rsidP="001B671E">
            <w:pPr>
              <w:jc w:val="center"/>
              <w:rPr>
                <w:rFonts w:eastAsia="Times New Roman"/>
                <w:i/>
                <w:szCs w:val="24"/>
              </w:rPr>
            </w:pPr>
          </w:p>
          <w:p w14:paraId="4AD7D1D7" w14:textId="77777777" w:rsidR="001B671E" w:rsidRPr="001B671E" w:rsidRDefault="001B671E" w:rsidP="001B671E">
            <w:pPr>
              <w:jc w:val="center"/>
              <w:rPr>
                <w:rFonts w:eastAsia="Times New Roman"/>
                <w:i/>
                <w:szCs w:val="24"/>
              </w:rPr>
            </w:pPr>
            <w:r w:rsidRPr="001B671E">
              <w:rPr>
                <w:rFonts w:eastAsia="Times New Roman"/>
                <w:i/>
                <w:szCs w:val="24"/>
              </w:rPr>
              <w:t>$10,000</w:t>
            </w:r>
          </w:p>
        </w:tc>
      </w:tr>
      <w:tr w:rsidR="001B671E" w:rsidRPr="001B671E" w14:paraId="3C2AA3F2" w14:textId="77777777" w:rsidTr="00CC67BA">
        <w:trPr>
          <w:cantSplit/>
          <w:trHeight w:val="1405"/>
        </w:trPr>
        <w:tc>
          <w:tcPr>
            <w:tcW w:w="6205" w:type="dxa"/>
            <w:tcBorders>
              <w:top w:val="single" w:sz="4" w:space="0" w:color="auto"/>
              <w:left w:val="single" w:sz="4" w:space="0" w:color="auto"/>
              <w:bottom w:val="single" w:sz="4" w:space="0" w:color="auto"/>
              <w:right w:val="single" w:sz="4" w:space="0" w:color="auto"/>
            </w:tcBorders>
          </w:tcPr>
          <w:p w14:paraId="346309BD" w14:textId="77777777" w:rsidR="001B671E" w:rsidRPr="001B671E" w:rsidRDefault="001B671E" w:rsidP="001B671E">
            <w:pPr>
              <w:rPr>
                <w:rFonts w:eastAsia="Times New Roman"/>
                <w:b/>
                <w:szCs w:val="24"/>
              </w:rPr>
            </w:pPr>
            <w:r w:rsidRPr="001B671E">
              <w:rPr>
                <w:rFonts w:eastAsia="Times New Roman"/>
                <w:b/>
                <w:szCs w:val="24"/>
              </w:rPr>
              <w:lastRenderedPageBreak/>
              <w:t>Third Milestone:</w:t>
            </w:r>
          </w:p>
          <w:p w14:paraId="567977CB" w14:textId="77777777" w:rsidR="001B671E" w:rsidRPr="001B671E" w:rsidRDefault="001B671E" w:rsidP="001B671E">
            <w:pPr>
              <w:spacing w:line="300" w:lineRule="atLeast"/>
              <w:contextualSpacing/>
              <w:rPr>
                <w:rFonts w:asciiTheme="minorHAnsi" w:eastAsia="Times New Roman" w:hAnsiTheme="minorHAnsi"/>
                <w:b/>
                <w:szCs w:val="24"/>
                <w:u w:val="single"/>
              </w:rPr>
            </w:pPr>
          </w:p>
          <w:p w14:paraId="0CF58250" w14:textId="77777777" w:rsidR="001B671E" w:rsidRPr="001B671E" w:rsidRDefault="001B671E" w:rsidP="001B671E">
            <w:pPr>
              <w:spacing w:line="300" w:lineRule="atLeast"/>
              <w:contextualSpacing/>
              <w:rPr>
                <w:rFonts w:eastAsia="Times New Roman"/>
                <w:szCs w:val="24"/>
              </w:rPr>
            </w:pPr>
            <w:r w:rsidRPr="001B671E">
              <w:rPr>
                <w:rFonts w:eastAsia="Times New Roman"/>
                <w:szCs w:val="24"/>
              </w:rPr>
              <w:t>Evaluate and optimize monthly data reports. FFDRP recipients are required to send monthly case reports, including number of open and closed clients in the month to CFCC with their invoice to receive payment.</w:t>
            </w:r>
          </w:p>
        </w:tc>
        <w:tc>
          <w:tcPr>
            <w:tcW w:w="2250" w:type="dxa"/>
            <w:tcBorders>
              <w:top w:val="single" w:sz="4" w:space="0" w:color="auto"/>
              <w:left w:val="single" w:sz="4" w:space="0" w:color="auto"/>
              <w:bottom w:val="single" w:sz="4" w:space="0" w:color="auto"/>
              <w:right w:val="single" w:sz="4" w:space="0" w:color="auto"/>
            </w:tcBorders>
          </w:tcPr>
          <w:p w14:paraId="4194E931" w14:textId="77777777" w:rsidR="001B671E" w:rsidRPr="001B671E" w:rsidRDefault="001B671E" w:rsidP="001B671E">
            <w:pPr>
              <w:jc w:val="center"/>
              <w:rPr>
                <w:rFonts w:eastAsia="Times New Roman"/>
                <w:i/>
                <w:szCs w:val="24"/>
              </w:rPr>
            </w:pPr>
          </w:p>
          <w:p w14:paraId="08C2C423" w14:textId="77777777" w:rsidR="001B671E" w:rsidRPr="001B671E" w:rsidRDefault="001B671E" w:rsidP="001B671E">
            <w:pPr>
              <w:jc w:val="center"/>
              <w:rPr>
                <w:rFonts w:eastAsia="Times New Roman"/>
                <w:i/>
                <w:szCs w:val="24"/>
              </w:rPr>
            </w:pPr>
          </w:p>
          <w:p w14:paraId="32EB2332" w14:textId="77777777" w:rsidR="001B671E" w:rsidRPr="001B671E" w:rsidRDefault="001B671E" w:rsidP="001B671E">
            <w:pPr>
              <w:jc w:val="center"/>
              <w:rPr>
                <w:rFonts w:eastAsia="Times New Roman"/>
                <w:i/>
                <w:szCs w:val="24"/>
              </w:rPr>
            </w:pPr>
            <w:r w:rsidRPr="001B671E">
              <w:rPr>
                <w:rFonts w:eastAsia="Times New Roman"/>
                <w:i/>
                <w:szCs w:val="24"/>
              </w:rPr>
              <w:t>September 30, 2022</w:t>
            </w:r>
          </w:p>
        </w:tc>
        <w:tc>
          <w:tcPr>
            <w:tcW w:w="2342" w:type="dxa"/>
            <w:tcBorders>
              <w:top w:val="single" w:sz="4" w:space="0" w:color="auto"/>
              <w:left w:val="single" w:sz="4" w:space="0" w:color="auto"/>
              <w:bottom w:val="single" w:sz="4" w:space="0" w:color="auto"/>
              <w:right w:val="single" w:sz="4" w:space="0" w:color="auto"/>
            </w:tcBorders>
          </w:tcPr>
          <w:p w14:paraId="01B1FCA6" w14:textId="77777777" w:rsidR="001B671E" w:rsidRPr="001B671E" w:rsidRDefault="001B671E" w:rsidP="001B671E">
            <w:pPr>
              <w:jc w:val="center"/>
              <w:rPr>
                <w:rFonts w:eastAsia="Times New Roman"/>
                <w:i/>
                <w:szCs w:val="24"/>
              </w:rPr>
            </w:pPr>
          </w:p>
          <w:p w14:paraId="24362AB9" w14:textId="77777777" w:rsidR="001B671E" w:rsidRPr="001B671E" w:rsidRDefault="001B671E" w:rsidP="001B671E">
            <w:pPr>
              <w:jc w:val="center"/>
              <w:rPr>
                <w:rFonts w:eastAsia="Times New Roman"/>
                <w:i/>
                <w:szCs w:val="24"/>
              </w:rPr>
            </w:pPr>
          </w:p>
          <w:p w14:paraId="4D11BA73" w14:textId="77777777" w:rsidR="001B671E" w:rsidRPr="001B671E" w:rsidRDefault="001B671E" w:rsidP="001B671E">
            <w:pPr>
              <w:jc w:val="center"/>
              <w:rPr>
                <w:rFonts w:eastAsia="Times New Roman"/>
                <w:i/>
                <w:szCs w:val="24"/>
              </w:rPr>
            </w:pPr>
            <w:r w:rsidRPr="001B671E">
              <w:rPr>
                <w:rFonts w:eastAsia="Times New Roman"/>
                <w:i/>
                <w:szCs w:val="24"/>
              </w:rPr>
              <w:t>$15,000</w:t>
            </w:r>
          </w:p>
        </w:tc>
      </w:tr>
      <w:tr w:rsidR="001B671E" w:rsidRPr="001B671E" w14:paraId="1DAFD988" w14:textId="77777777" w:rsidTr="00CC67BA">
        <w:trPr>
          <w:cantSplit/>
          <w:trHeight w:val="1558"/>
        </w:trPr>
        <w:tc>
          <w:tcPr>
            <w:tcW w:w="6205" w:type="dxa"/>
            <w:tcBorders>
              <w:top w:val="single" w:sz="4" w:space="0" w:color="auto"/>
              <w:left w:val="single" w:sz="4" w:space="0" w:color="auto"/>
              <w:bottom w:val="single" w:sz="4" w:space="0" w:color="auto"/>
              <w:right w:val="single" w:sz="4" w:space="0" w:color="auto"/>
            </w:tcBorders>
          </w:tcPr>
          <w:p w14:paraId="4AE05068" w14:textId="77777777" w:rsidR="001B671E" w:rsidRPr="001B671E" w:rsidRDefault="001B671E" w:rsidP="001B671E">
            <w:pPr>
              <w:rPr>
                <w:rFonts w:eastAsia="Times New Roman"/>
                <w:b/>
                <w:szCs w:val="24"/>
              </w:rPr>
            </w:pPr>
            <w:r w:rsidRPr="001B671E">
              <w:rPr>
                <w:rFonts w:eastAsia="Times New Roman"/>
                <w:b/>
                <w:szCs w:val="24"/>
              </w:rPr>
              <w:t>Fourth Milestone:</w:t>
            </w:r>
          </w:p>
          <w:p w14:paraId="1A79894A" w14:textId="77777777" w:rsidR="001B671E" w:rsidRPr="001B671E" w:rsidRDefault="001B671E" w:rsidP="001B671E">
            <w:pPr>
              <w:spacing w:before="240" w:after="240"/>
              <w:rPr>
                <w:rFonts w:eastAsia="Times New Roman"/>
                <w:bCs/>
                <w:szCs w:val="24"/>
              </w:rPr>
            </w:pPr>
            <w:r w:rsidRPr="001B671E">
              <w:rPr>
                <w:rFonts w:eastAsia="Times New Roman"/>
                <w:bCs/>
                <w:szCs w:val="24"/>
              </w:rPr>
              <w:t>Work with JCATS contractor to establish a secure connection with the data in order to build dashboards and other analytics.</w:t>
            </w:r>
          </w:p>
        </w:tc>
        <w:tc>
          <w:tcPr>
            <w:tcW w:w="2250" w:type="dxa"/>
            <w:tcBorders>
              <w:top w:val="single" w:sz="4" w:space="0" w:color="auto"/>
              <w:left w:val="single" w:sz="4" w:space="0" w:color="auto"/>
              <w:bottom w:val="single" w:sz="4" w:space="0" w:color="auto"/>
              <w:right w:val="single" w:sz="4" w:space="0" w:color="auto"/>
            </w:tcBorders>
          </w:tcPr>
          <w:p w14:paraId="439497C0" w14:textId="77777777" w:rsidR="001B671E" w:rsidRPr="001B671E" w:rsidRDefault="001B671E" w:rsidP="001B671E">
            <w:pPr>
              <w:jc w:val="center"/>
              <w:rPr>
                <w:rFonts w:eastAsia="Times New Roman"/>
                <w:i/>
                <w:szCs w:val="24"/>
              </w:rPr>
            </w:pPr>
          </w:p>
          <w:p w14:paraId="368E7F9C" w14:textId="77777777" w:rsidR="001B671E" w:rsidRPr="001B671E" w:rsidRDefault="001B671E" w:rsidP="001B671E">
            <w:pPr>
              <w:jc w:val="center"/>
              <w:rPr>
                <w:rFonts w:eastAsia="Times New Roman"/>
                <w:i/>
                <w:szCs w:val="24"/>
              </w:rPr>
            </w:pPr>
          </w:p>
          <w:p w14:paraId="13C25BDE" w14:textId="77777777" w:rsidR="001B671E" w:rsidRPr="001B671E" w:rsidRDefault="001B671E" w:rsidP="001B671E">
            <w:pPr>
              <w:jc w:val="center"/>
              <w:rPr>
                <w:rFonts w:eastAsia="Times New Roman"/>
                <w:i/>
                <w:szCs w:val="24"/>
              </w:rPr>
            </w:pPr>
            <w:r w:rsidRPr="001B671E">
              <w:rPr>
                <w:rFonts w:eastAsia="Times New Roman"/>
                <w:i/>
                <w:szCs w:val="24"/>
              </w:rPr>
              <w:t>November 30, 2022</w:t>
            </w:r>
          </w:p>
        </w:tc>
        <w:tc>
          <w:tcPr>
            <w:tcW w:w="2342" w:type="dxa"/>
            <w:tcBorders>
              <w:top w:val="single" w:sz="4" w:space="0" w:color="auto"/>
              <w:left w:val="single" w:sz="4" w:space="0" w:color="auto"/>
              <w:bottom w:val="single" w:sz="4" w:space="0" w:color="auto"/>
              <w:right w:val="single" w:sz="4" w:space="0" w:color="auto"/>
            </w:tcBorders>
          </w:tcPr>
          <w:p w14:paraId="224AFF1C" w14:textId="77777777" w:rsidR="001B671E" w:rsidRPr="001B671E" w:rsidRDefault="001B671E" w:rsidP="001B671E">
            <w:pPr>
              <w:jc w:val="center"/>
              <w:rPr>
                <w:rFonts w:eastAsia="Times New Roman"/>
                <w:i/>
                <w:szCs w:val="24"/>
              </w:rPr>
            </w:pPr>
          </w:p>
          <w:p w14:paraId="32299623" w14:textId="77777777" w:rsidR="001B671E" w:rsidRPr="001B671E" w:rsidRDefault="001B671E" w:rsidP="001B671E">
            <w:pPr>
              <w:jc w:val="center"/>
              <w:rPr>
                <w:rFonts w:eastAsia="Times New Roman"/>
                <w:i/>
                <w:szCs w:val="24"/>
              </w:rPr>
            </w:pPr>
          </w:p>
          <w:p w14:paraId="007182B4" w14:textId="77777777" w:rsidR="001B671E" w:rsidRPr="001B671E" w:rsidRDefault="001B671E" w:rsidP="001B671E">
            <w:pPr>
              <w:jc w:val="center"/>
              <w:rPr>
                <w:rFonts w:eastAsia="Times New Roman"/>
                <w:i/>
                <w:szCs w:val="24"/>
              </w:rPr>
            </w:pPr>
            <w:r w:rsidRPr="001B671E">
              <w:rPr>
                <w:rFonts w:eastAsia="Times New Roman"/>
                <w:i/>
                <w:szCs w:val="24"/>
              </w:rPr>
              <w:t>$80,000</w:t>
            </w:r>
          </w:p>
        </w:tc>
      </w:tr>
      <w:tr w:rsidR="001B671E" w:rsidRPr="001B671E" w14:paraId="4D69E074" w14:textId="77777777" w:rsidTr="00CC67BA">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7E38FB57" w14:textId="77777777" w:rsidR="001B671E" w:rsidRPr="001B671E" w:rsidRDefault="001B671E" w:rsidP="001B671E">
            <w:pPr>
              <w:rPr>
                <w:rFonts w:eastAsia="Times New Roman"/>
                <w:b/>
                <w:szCs w:val="24"/>
              </w:rPr>
            </w:pPr>
            <w:r w:rsidRPr="001B671E">
              <w:rPr>
                <w:rFonts w:eastAsia="Times New Roman"/>
                <w:b/>
                <w:szCs w:val="24"/>
              </w:rPr>
              <w:t>Fifth Milestone:</w:t>
            </w:r>
          </w:p>
          <w:p w14:paraId="6B0F2224" w14:textId="77777777" w:rsidR="001B671E" w:rsidRPr="001B671E" w:rsidRDefault="001B671E" w:rsidP="001B671E">
            <w:pPr>
              <w:rPr>
                <w:rFonts w:eastAsia="Times New Roman"/>
                <w:b/>
                <w:szCs w:val="24"/>
              </w:rPr>
            </w:pPr>
          </w:p>
          <w:p w14:paraId="3E9DA61B" w14:textId="77777777" w:rsidR="001B671E" w:rsidRPr="001B671E" w:rsidRDefault="001B671E" w:rsidP="001B671E">
            <w:pPr>
              <w:rPr>
                <w:rFonts w:eastAsia="Times New Roman"/>
                <w:bCs/>
                <w:szCs w:val="24"/>
              </w:rPr>
            </w:pPr>
            <w:r w:rsidRPr="001B671E">
              <w:rPr>
                <w:rFonts w:eastAsia="Times New Roman"/>
                <w:bCs/>
                <w:szCs w:val="24"/>
              </w:rPr>
              <w:t>Hold Focus Groups. It is anticipated that to create a data evaluation plan, the consultant may need input from the attorney providers.</w:t>
            </w:r>
          </w:p>
          <w:p w14:paraId="40FA2A5B" w14:textId="77777777" w:rsidR="001B671E" w:rsidRPr="001B671E" w:rsidRDefault="001B671E" w:rsidP="001B671E">
            <w:pPr>
              <w:contextualSpacing/>
              <w:rPr>
                <w:rFonts w:eastAsia="Times New Roman"/>
                <w:szCs w:val="24"/>
              </w:rPr>
            </w:pPr>
          </w:p>
        </w:tc>
        <w:tc>
          <w:tcPr>
            <w:tcW w:w="2250" w:type="dxa"/>
            <w:tcBorders>
              <w:top w:val="single" w:sz="4" w:space="0" w:color="auto"/>
              <w:left w:val="single" w:sz="4" w:space="0" w:color="auto"/>
              <w:bottom w:val="single" w:sz="4" w:space="0" w:color="auto"/>
              <w:right w:val="single" w:sz="4" w:space="0" w:color="auto"/>
            </w:tcBorders>
          </w:tcPr>
          <w:p w14:paraId="5837C903" w14:textId="77777777" w:rsidR="001B671E" w:rsidRPr="001B671E" w:rsidRDefault="001B671E" w:rsidP="001B671E">
            <w:pPr>
              <w:jc w:val="center"/>
              <w:rPr>
                <w:rFonts w:eastAsia="Times New Roman"/>
                <w:i/>
                <w:szCs w:val="24"/>
              </w:rPr>
            </w:pPr>
          </w:p>
          <w:p w14:paraId="6F275DC4" w14:textId="77777777" w:rsidR="001B671E" w:rsidRPr="001B671E" w:rsidRDefault="001B671E" w:rsidP="001B671E">
            <w:pPr>
              <w:jc w:val="center"/>
              <w:rPr>
                <w:rFonts w:eastAsia="Times New Roman"/>
                <w:i/>
                <w:szCs w:val="24"/>
              </w:rPr>
            </w:pPr>
            <w:r w:rsidRPr="001B671E">
              <w:rPr>
                <w:rFonts w:eastAsia="Times New Roman"/>
                <w:i/>
                <w:szCs w:val="24"/>
              </w:rPr>
              <w:t>January 31, 2023</w:t>
            </w:r>
          </w:p>
        </w:tc>
        <w:tc>
          <w:tcPr>
            <w:tcW w:w="2342" w:type="dxa"/>
            <w:tcBorders>
              <w:top w:val="single" w:sz="4" w:space="0" w:color="auto"/>
              <w:left w:val="single" w:sz="4" w:space="0" w:color="auto"/>
              <w:bottom w:val="single" w:sz="4" w:space="0" w:color="auto"/>
              <w:right w:val="single" w:sz="4" w:space="0" w:color="auto"/>
            </w:tcBorders>
          </w:tcPr>
          <w:p w14:paraId="544514B3" w14:textId="77777777" w:rsidR="001B671E" w:rsidRPr="001B671E" w:rsidRDefault="001B671E" w:rsidP="001B671E">
            <w:pPr>
              <w:jc w:val="center"/>
              <w:rPr>
                <w:rFonts w:eastAsia="Times New Roman"/>
                <w:i/>
                <w:szCs w:val="24"/>
              </w:rPr>
            </w:pPr>
          </w:p>
          <w:p w14:paraId="7937F176" w14:textId="77777777" w:rsidR="001B671E" w:rsidRPr="001B671E" w:rsidRDefault="001B671E" w:rsidP="001B671E">
            <w:pPr>
              <w:jc w:val="center"/>
              <w:rPr>
                <w:rFonts w:eastAsia="Times New Roman"/>
                <w:i/>
                <w:szCs w:val="24"/>
              </w:rPr>
            </w:pPr>
          </w:p>
          <w:p w14:paraId="72374548" w14:textId="77777777" w:rsidR="001B671E" w:rsidRPr="001B671E" w:rsidRDefault="001B671E" w:rsidP="001B671E">
            <w:pPr>
              <w:jc w:val="center"/>
              <w:rPr>
                <w:rFonts w:eastAsia="Times New Roman"/>
                <w:i/>
                <w:szCs w:val="24"/>
              </w:rPr>
            </w:pPr>
            <w:r w:rsidRPr="001B671E">
              <w:rPr>
                <w:rFonts w:eastAsia="Times New Roman"/>
                <w:i/>
                <w:szCs w:val="24"/>
              </w:rPr>
              <w:t>$5,000</w:t>
            </w:r>
          </w:p>
        </w:tc>
      </w:tr>
      <w:tr w:rsidR="001B671E" w:rsidRPr="001B671E" w14:paraId="652B75C5" w14:textId="77777777" w:rsidTr="00CC67BA">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71D4A15F" w14:textId="77777777" w:rsidR="001B671E" w:rsidRPr="001B671E" w:rsidRDefault="001B671E" w:rsidP="001B671E">
            <w:pPr>
              <w:rPr>
                <w:rFonts w:eastAsia="Times New Roman"/>
                <w:b/>
                <w:szCs w:val="24"/>
              </w:rPr>
            </w:pPr>
            <w:r w:rsidRPr="001B671E">
              <w:rPr>
                <w:rFonts w:eastAsia="Times New Roman"/>
                <w:b/>
                <w:szCs w:val="24"/>
              </w:rPr>
              <w:t>Sixth Milestone:</w:t>
            </w:r>
          </w:p>
          <w:p w14:paraId="053FB48C" w14:textId="77777777" w:rsidR="001B671E" w:rsidRPr="001B671E" w:rsidRDefault="001B671E" w:rsidP="001B671E">
            <w:pPr>
              <w:rPr>
                <w:rFonts w:eastAsia="Times New Roman"/>
                <w:b/>
                <w:szCs w:val="24"/>
              </w:rPr>
            </w:pPr>
          </w:p>
          <w:p w14:paraId="77FE1C39" w14:textId="77777777" w:rsidR="001B671E" w:rsidRPr="001B671E" w:rsidRDefault="001B671E" w:rsidP="001B671E">
            <w:pPr>
              <w:rPr>
                <w:rFonts w:eastAsia="Times New Roman"/>
                <w:bCs/>
                <w:szCs w:val="24"/>
              </w:rPr>
            </w:pPr>
            <w:r w:rsidRPr="001B671E">
              <w:rPr>
                <w:rFonts w:eastAsia="Times New Roman"/>
                <w:bCs/>
                <w:szCs w:val="24"/>
              </w:rPr>
              <w:t>Improve JCATS data quality, design data dashboards and visualizations that help the courts and providers see their numbers in real time.</w:t>
            </w:r>
          </w:p>
          <w:p w14:paraId="6A8DADD7" w14:textId="77777777" w:rsidR="001B671E" w:rsidRPr="001B671E" w:rsidRDefault="001B671E" w:rsidP="001B671E">
            <w:pPr>
              <w:rPr>
                <w:rFonts w:eastAsia="Times New Roman"/>
                <w:bCs/>
                <w:szCs w:val="24"/>
              </w:rPr>
            </w:pPr>
          </w:p>
        </w:tc>
        <w:tc>
          <w:tcPr>
            <w:tcW w:w="2250" w:type="dxa"/>
            <w:tcBorders>
              <w:top w:val="single" w:sz="4" w:space="0" w:color="auto"/>
              <w:left w:val="single" w:sz="4" w:space="0" w:color="auto"/>
              <w:bottom w:val="single" w:sz="4" w:space="0" w:color="auto"/>
              <w:right w:val="single" w:sz="4" w:space="0" w:color="auto"/>
            </w:tcBorders>
          </w:tcPr>
          <w:p w14:paraId="58530A1D" w14:textId="77777777" w:rsidR="001B671E" w:rsidRPr="001B671E" w:rsidRDefault="001B671E" w:rsidP="001B671E">
            <w:pPr>
              <w:jc w:val="center"/>
              <w:rPr>
                <w:rFonts w:eastAsia="Times New Roman"/>
                <w:i/>
                <w:szCs w:val="24"/>
              </w:rPr>
            </w:pPr>
          </w:p>
          <w:p w14:paraId="04B7E1CA" w14:textId="77777777" w:rsidR="001B671E" w:rsidRPr="001B671E" w:rsidRDefault="001B671E" w:rsidP="001B671E">
            <w:pPr>
              <w:jc w:val="center"/>
              <w:rPr>
                <w:rFonts w:eastAsia="Times New Roman"/>
                <w:i/>
                <w:szCs w:val="24"/>
              </w:rPr>
            </w:pPr>
            <w:r w:rsidRPr="001B671E">
              <w:rPr>
                <w:rFonts w:eastAsia="Times New Roman"/>
                <w:i/>
                <w:szCs w:val="24"/>
              </w:rPr>
              <w:t>March 1, 2023</w:t>
            </w:r>
          </w:p>
        </w:tc>
        <w:tc>
          <w:tcPr>
            <w:tcW w:w="2342" w:type="dxa"/>
            <w:tcBorders>
              <w:top w:val="single" w:sz="4" w:space="0" w:color="auto"/>
              <w:left w:val="single" w:sz="4" w:space="0" w:color="auto"/>
              <w:bottom w:val="single" w:sz="4" w:space="0" w:color="auto"/>
              <w:right w:val="single" w:sz="4" w:space="0" w:color="auto"/>
            </w:tcBorders>
          </w:tcPr>
          <w:p w14:paraId="1D5DC166" w14:textId="77777777" w:rsidR="001B671E" w:rsidRPr="001B671E" w:rsidRDefault="001B671E" w:rsidP="001B671E">
            <w:pPr>
              <w:jc w:val="center"/>
              <w:rPr>
                <w:rFonts w:eastAsia="Times New Roman"/>
                <w:i/>
                <w:szCs w:val="24"/>
              </w:rPr>
            </w:pPr>
          </w:p>
          <w:p w14:paraId="30D136AE" w14:textId="77777777" w:rsidR="001B671E" w:rsidRPr="001B671E" w:rsidRDefault="001B671E" w:rsidP="001B671E">
            <w:pPr>
              <w:jc w:val="center"/>
              <w:rPr>
                <w:rFonts w:eastAsia="Times New Roman"/>
                <w:i/>
                <w:szCs w:val="24"/>
              </w:rPr>
            </w:pPr>
            <w:r w:rsidRPr="001B671E">
              <w:rPr>
                <w:rFonts w:eastAsia="Times New Roman"/>
                <w:i/>
                <w:szCs w:val="24"/>
              </w:rPr>
              <w:t>$80,000</w:t>
            </w:r>
          </w:p>
        </w:tc>
      </w:tr>
      <w:tr w:rsidR="001B671E" w:rsidRPr="001B671E" w14:paraId="2F3920F7" w14:textId="77777777" w:rsidTr="00CC67BA">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4F51E81F" w14:textId="77777777" w:rsidR="001B671E" w:rsidRPr="001B671E" w:rsidRDefault="001B671E" w:rsidP="001B671E">
            <w:pPr>
              <w:rPr>
                <w:rFonts w:eastAsia="Times New Roman"/>
                <w:b/>
                <w:szCs w:val="24"/>
              </w:rPr>
            </w:pPr>
            <w:r w:rsidRPr="001B671E">
              <w:rPr>
                <w:rFonts w:eastAsia="Times New Roman"/>
                <w:b/>
                <w:szCs w:val="24"/>
              </w:rPr>
              <w:t>Seventh Milestone:</w:t>
            </w:r>
          </w:p>
          <w:p w14:paraId="1442DA23" w14:textId="77777777" w:rsidR="001B671E" w:rsidRPr="001B671E" w:rsidRDefault="001B671E" w:rsidP="001B671E">
            <w:pPr>
              <w:rPr>
                <w:rFonts w:eastAsia="Times New Roman"/>
                <w:b/>
                <w:szCs w:val="24"/>
              </w:rPr>
            </w:pPr>
          </w:p>
          <w:p w14:paraId="63B72144" w14:textId="77777777" w:rsidR="001B671E" w:rsidRPr="001B671E" w:rsidRDefault="001B671E" w:rsidP="001B671E">
            <w:pPr>
              <w:rPr>
                <w:rFonts w:eastAsia="Times New Roman"/>
                <w:bCs/>
                <w:szCs w:val="24"/>
              </w:rPr>
            </w:pPr>
            <w:r w:rsidRPr="001B671E">
              <w:rPr>
                <w:rFonts w:eastAsia="Times New Roman"/>
                <w:bCs/>
                <w:szCs w:val="24"/>
              </w:rPr>
              <w:t>Deliver data evaluation plan that will optimize JCATS data collection to measure change over time.</w:t>
            </w:r>
          </w:p>
        </w:tc>
        <w:tc>
          <w:tcPr>
            <w:tcW w:w="2250" w:type="dxa"/>
            <w:tcBorders>
              <w:top w:val="single" w:sz="4" w:space="0" w:color="auto"/>
              <w:left w:val="single" w:sz="4" w:space="0" w:color="auto"/>
              <w:bottom w:val="single" w:sz="4" w:space="0" w:color="auto"/>
              <w:right w:val="single" w:sz="4" w:space="0" w:color="auto"/>
            </w:tcBorders>
          </w:tcPr>
          <w:p w14:paraId="03842285" w14:textId="77777777" w:rsidR="001B671E" w:rsidRPr="001B671E" w:rsidRDefault="001B671E" w:rsidP="001B671E">
            <w:pPr>
              <w:jc w:val="center"/>
              <w:rPr>
                <w:rFonts w:eastAsia="Times New Roman"/>
                <w:i/>
                <w:szCs w:val="24"/>
              </w:rPr>
            </w:pPr>
          </w:p>
          <w:p w14:paraId="7F2D029B" w14:textId="77777777" w:rsidR="001B671E" w:rsidRPr="001B671E" w:rsidRDefault="001B671E" w:rsidP="001B671E">
            <w:pPr>
              <w:jc w:val="center"/>
              <w:rPr>
                <w:rFonts w:eastAsia="Times New Roman"/>
                <w:i/>
                <w:szCs w:val="24"/>
              </w:rPr>
            </w:pPr>
            <w:r w:rsidRPr="001B671E">
              <w:rPr>
                <w:rFonts w:eastAsia="Times New Roman"/>
                <w:i/>
                <w:szCs w:val="24"/>
              </w:rPr>
              <w:t>June 15, 2023</w:t>
            </w:r>
          </w:p>
        </w:tc>
        <w:tc>
          <w:tcPr>
            <w:tcW w:w="2342" w:type="dxa"/>
            <w:tcBorders>
              <w:top w:val="single" w:sz="4" w:space="0" w:color="auto"/>
              <w:left w:val="single" w:sz="4" w:space="0" w:color="auto"/>
              <w:bottom w:val="single" w:sz="4" w:space="0" w:color="auto"/>
              <w:right w:val="single" w:sz="4" w:space="0" w:color="auto"/>
            </w:tcBorders>
          </w:tcPr>
          <w:p w14:paraId="7CCA00A5" w14:textId="77777777" w:rsidR="001B671E" w:rsidRPr="001B671E" w:rsidRDefault="001B671E" w:rsidP="001B671E">
            <w:pPr>
              <w:rPr>
                <w:rFonts w:eastAsia="Times New Roman"/>
                <w:i/>
                <w:szCs w:val="24"/>
              </w:rPr>
            </w:pPr>
          </w:p>
          <w:p w14:paraId="6C87C262" w14:textId="77777777" w:rsidR="001B671E" w:rsidRPr="001B671E" w:rsidRDefault="001B671E" w:rsidP="001B671E">
            <w:pPr>
              <w:jc w:val="center"/>
              <w:rPr>
                <w:rFonts w:eastAsia="Times New Roman"/>
                <w:i/>
                <w:szCs w:val="24"/>
              </w:rPr>
            </w:pPr>
            <w:r w:rsidRPr="001B671E">
              <w:rPr>
                <w:rFonts w:eastAsia="Times New Roman"/>
                <w:i/>
                <w:szCs w:val="24"/>
              </w:rPr>
              <w:t>$50,000</w:t>
            </w:r>
          </w:p>
        </w:tc>
      </w:tr>
    </w:tbl>
    <w:p w14:paraId="575362E4" w14:textId="77777777" w:rsidR="00115DD0" w:rsidRDefault="00115DD0" w:rsidP="00115DD0">
      <w:pPr>
        <w:spacing w:before="120" w:after="120"/>
        <w:ind w:left="72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52BC5652" w14:textId="707A737C"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66520A">
        <w:rPr>
          <w:rFonts w:asciiTheme="minorHAnsi" w:hAnsiTheme="minorHAnsi" w:cstheme="minorHAnsi"/>
          <w:bCs/>
          <w:i/>
          <w:sz w:val="20"/>
          <w:lang w:bidi="en-US"/>
        </w:rPr>
        <w:t>N/A</w:t>
      </w:r>
    </w:p>
    <w:p w14:paraId="1E485904" w14:textId="77777777" w:rsidR="00405381" w:rsidRPr="00EC158B" w:rsidRDefault="00405381" w:rsidP="0066520A">
      <w:pPr>
        <w:spacing w:before="120" w:after="120"/>
        <w:ind w:left="720"/>
        <w:rPr>
          <w:rFonts w:asciiTheme="minorHAnsi" w:hAnsiTheme="minorHAnsi" w:cstheme="minorHAnsi"/>
          <w:bCs/>
          <w:i/>
          <w:sz w:val="20"/>
          <w:lang w:bidi="en-US"/>
        </w:rPr>
      </w:pPr>
    </w:p>
    <w:p w14:paraId="588B9E08" w14:textId="77777777" w:rsidR="00C36343" w:rsidRPr="00EC158B"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2D71126A" w:rsidR="00C36343" w:rsidRPr="00563734"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lastRenderedPageBreak/>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66520A">
        <w:rPr>
          <w:b/>
          <w:sz w:val="20"/>
        </w:rPr>
        <w:t>N/A</w:t>
      </w:r>
      <w:r w:rsidR="00C34EDA" w:rsidRPr="0066520A">
        <w:rPr>
          <w:b/>
          <w:color w:val="EEECE1" w:themeColor="background2"/>
          <w:sz w:val="20"/>
        </w:rPr>
        <w:t>Dollar amount]</w:t>
      </w:r>
      <w:r w:rsidR="00055BF3" w:rsidRPr="0066520A">
        <w:rPr>
          <w:rFonts w:asciiTheme="minorHAnsi" w:hAnsiTheme="minorHAnsi" w:cstheme="minorHAnsi"/>
          <w:bCs/>
          <w:color w:val="EEECE1" w:themeColor="background2"/>
          <w:sz w:val="20"/>
        </w:rPr>
        <w:t xml:space="preserve"> </w:t>
      </w:r>
      <w:r w:rsidR="00C34EDA">
        <w:rPr>
          <w:rFonts w:asciiTheme="minorHAnsi" w:hAnsiTheme="minorHAnsi" w:cstheme="minorHAnsi"/>
          <w:bCs/>
          <w:sz w:val="20"/>
        </w:rPr>
        <w:t xml:space="preserve">for the Initial Term </w:t>
      </w:r>
    </w:p>
    <w:p w14:paraId="0247E46E" w14:textId="77777777" w:rsidR="00C36343" w:rsidRPr="00EC158B" w:rsidRDefault="00C36343" w:rsidP="00846E22">
      <w:pPr>
        <w:pStyle w:val="ListParagraph"/>
        <w:numPr>
          <w:ilvl w:val="1"/>
          <w:numId w:val="14"/>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6"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w:t>
      </w:r>
      <w:proofErr w:type="gramStart"/>
      <w:r w:rsidRPr="00D62092">
        <w:rPr>
          <w:sz w:val="20"/>
        </w:rPr>
        <w:t>misappropriation</w:t>
      </w:r>
      <w:proofErr w:type="gramEnd"/>
      <w:r w:rsidRPr="00D62092">
        <w:rPr>
          <w:sz w:val="20"/>
        </w:rPr>
        <w:t xml:space="preserve"> or violation of, any </w:t>
      </w:r>
      <w:r>
        <w:rPr>
          <w:sz w:val="20"/>
        </w:rPr>
        <w:t>third party’s intellectual property r</w:t>
      </w:r>
      <w:r w:rsidRPr="00D62092">
        <w:rPr>
          <w:sz w:val="20"/>
        </w:rPr>
        <w:t>ight.</w:t>
      </w:r>
      <w:bookmarkEnd w:id="6"/>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This policy must cover dishonest acts including loss due to theft of money, securities, and property; forgery, and alteration of documents</w:t>
      </w:r>
      <w:r w:rsidR="00D662AB" w:rsidRPr="0066520A">
        <w:rPr>
          <w:rFonts w:asciiTheme="minorHAnsi" w:hAnsiTheme="minorHAnsi" w:cstheme="minorHAnsi"/>
          <w:sz w:val="20"/>
        </w:rPr>
        <w:t xml:space="preserve">; and fraudulent transfer of money, securities, and property.  </w:t>
      </w:r>
      <w:r w:rsidR="000F46CB" w:rsidRPr="0066520A">
        <w:rPr>
          <w:rFonts w:asciiTheme="minorHAnsi" w:hAnsiTheme="minorHAnsi" w:cstheme="minorHAnsi"/>
          <w:sz w:val="20"/>
        </w:rPr>
        <w:t xml:space="preserve">The minimum liability limit must be </w:t>
      </w:r>
      <w:r w:rsidR="00D662AB" w:rsidRPr="0066520A">
        <w:rPr>
          <w:rFonts w:asciiTheme="minorHAnsi" w:hAnsiTheme="minorHAnsi" w:cstheme="minorHAnsi"/>
          <w:sz w:val="20"/>
        </w:rPr>
        <w:t>$</w:t>
      </w:r>
      <w:r w:rsidR="00FB7A75" w:rsidRPr="0066520A">
        <w:rPr>
          <w:b/>
          <w:sz w:val="20"/>
        </w:rPr>
        <w:t>[Dollar amount]</w:t>
      </w:r>
      <w:r w:rsidR="00D662AB" w:rsidRPr="0066520A">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w:t>
      </w:r>
      <w:r w:rsidRPr="005C554B">
        <w:rPr>
          <w:sz w:val="20"/>
        </w:rPr>
        <w:lastRenderedPageBreak/>
        <w:t>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w:t>
      </w:r>
      <w:proofErr w:type="gramStart"/>
      <w:r w:rsidR="00B52602" w:rsidRPr="00B52602">
        <w:rPr>
          <w:rFonts w:asciiTheme="minorHAnsi" w:hAnsiTheme="minorHAnsi" w:cstheme="minorHAnsi"/>
          <w:bCs/>
          <w:sz w:val="20"/>
        </w:rPr>
        <w:t>reduced</w:t>
      </w:r>
      <w:proofErr w:type="gramEnd"/>
      <w:r w:rsidR="00B52602" w:rsidRPr="00B52602">
        <w:rPr>
          <w:rFonts w:asciiTheme="minorHAnsi" w:hAnsiTheme="minorHAnsi" w:cstheme="minorHAnsi"/>
          <w:bCs/>
          <w:sz w:val="20"/>
        </w:rPr>
        <w:t xml:space="preserve">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lastRenderedPageBreak/>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w:t>
      </w:r>
      <w:proofErr w:type="gramStart"/>
      <w:r w:rsidRPr="00B52602">
        <w:rPr>
          <w:rFonts w:asciiTheme="minorHAnsi" w:hAnsiTheme="minorHAnsi" w:cstheme="minorHAnsi"/>
          <w:bCs/>
          <w:sz w:val="20"/>
        </w:rPr>
        <w:t>punitive</w:t>
      </w:r>
      <w:proofErr w:type="gramEnd"/>
      <w:r w:rsidRPr="00B52602">
        <w:rPr>
          <w:rFonts w:asciiTheme="minorHAnsi" w:hAnsiTheme="minorHAnsi" w:cstheme="minorHAnsi"/>
          <w:bCs/>
          <w:sz w:val="20"/>
        </w:rPr>
        <w:t xml:space="preser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5FF16184"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r w:rsidR="0066520A">
              <w:rPr>
                <w:rFonts w:ascii="Times New Roman" w:hAnsi="Times New Roman"/>
                <w:sz w:val="20"/>
                <w:u w:val="single"/>
              </w:rPr>
              <w:t xml:space="preserve"> [TBD]</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2D87A873"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r w:rsidR="0066520A">
              <w:rPr>
                <w:rFonts w:ascii="Times New Roman" w:hAnsi="Times New Roman"/>
                <w:sz w:val="20"/>
                <w:u w:val="single"/>
              </w:rPr>
              <w:t xml:space="preserve"> [TBD]</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w:t>
      </w:r>
      <w:proofErr w:type="gramStart"/>
      <w:r w:rsidRPr="00D662AB">
        <w:rPr>
          <w:rFonts w:asciiTheme="minorHAnsi" w:hAnsiTheme="minorHAnsi" w:cstheme="minorHAnsi"/>
          <w:sz w:val="20"/>
        </w:rPr>
        <w:t>promote</w:t>
      </w:r>
      <w:proofErr w:type="gramEnd"/>
      <w:r w:rsidRPr="00D662AB">
        <w:rPr>
          <w:rFonts w:asciiTheme="minorHAnsi" w:hAnsiTheme="minorHAnsi" w:cstheme="minorHAnsi"/>
          <w:sz w:val="20"/>
        </w:rPr>
        <w:t xml:space="preserv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 xml:space="preserve">Contractor </w:t>
      </w:r>
      <w:proofErr w:type="gramStart"/>
      <w:r w:rsidR="009756FA" w:rsidRPr="009756FA">
        <w:rPr>
          <w:rFonts w:asciiTheme="minorHAnsi" w:hAnsiTheme="minorHAnsi" w:cstheme="minorHAnsi"/>
          <w:bCs/>
          <w:sz w:val="20"/>
        </w:rPr>
        <w:t>is in compliance</w:t>
      </w:r>
      <w:r w:rsidR="00A816FC">
        <w:rPr>
          <w:rFonts w:asciiTheme="minorHAnsi" w:hAnsiTheme="minorHAnsi" w:cstheme="minorHAnsi"/>
          <w:bCs/>
          <w:sz w:val="20"/>
        </w:rPr>
        <w:t xml:space="preserve"> with</w:t>
      </w:r>
      <w:proofErr w:type="gramEnd"/>
      <w:r w:rsidR="00A816FC">
        <w:rPr>
          <w:rFonts w:asciiTheme="minorHAnsi" w:hAnsiTheme="minorHAnsi" w:cstheme="minorHAnsi"/>
          <w:bCs/>
          <w:sz w:val="20"/>
        </w:rPr>
        <w:t>,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t>
      </w:r>
      <w:r w:rsidR="009756FA" w:rsidRPr="009756FA">
        <w:rPr>
          <w:rFonts w:asciiTheme="minorHAnsi" w:hAnsiTheme="minorHAnsi" w:cstheme="minorHAnsi"/>
          <w:bCs/>
          <w:sz w:val="20"/>
        </w:rPr>
        <w:lastRenderedPageBreak/>
        <w:t xml:space="preserve">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w:t>
      </w:r>
      <w:proofErr w:type="gramStart"/>
      <w:r w:rsidRPr="008F1CA8">
        <w:rPr>
          <w:rFonts w:asciiTheme="minorHAnsi" w:hAnsiTheme="minorHAnsi" w:cstheme="minorHAnsi"/>
          <w:bCs/>
          <w:i/>
          <w:sz w:val="20"/>
        </w:rPr>
        <w:t>garments</w:t>
      </w:r>
      <w:proofErr w:type="gramEnd"/>
      <w:r w:rsidRPr="008F1CA8">
        <w:rPr>
          <w:rFonts w:asciiTheme="minorHAnsi" w:hAnsiTheme="minorHAnsi" w:cstheme="minorHAnsi"/>
          <w:bCs/>
          <w:i/>
          <w:sz w:val="20"/>
        </w:rPr>
        <w:t xml:space="preserve">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lastRenderedPageBreak/>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7"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w:t>
      </w:r>
      <w:proofErr w:type="gramStart"/>
      <w:r w:rsidR="00A2251F">
        <w:rPr>
          <w:rFonts w:cstheme="minorHAnsi"/>
          <w:sz w:val="20"/>
        </w:rPr>
        <w:t>ordinances</w:t>
      </w:r>
      <w:proofErr w:type="gramEnd"/>
      <w:r w:rsidR="00A2251F">
        <w:rPr>
          <w:rFonts w:cstheme="minorHAnsi"/>
          <w:sz w:val="20"/>
        </w:rPr>
        <w:t xml:space="preserve">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w:t>
      </w:r>
      <w:r w:rsidRPr="00A84B5B">
        <w:rPr>
          <w:rFonts w:asciiTheme="minorHAnsi" w:hAnsiTheme="minorHAnsi" w:cstheme="minorHAnsi"/>
          <w:sz w:val="20"/>
        </w:rPr>
        <w:lastRenderedPageBreak/>
        <w:t>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w:t>
      </w:r>
      <w:proofErr w:type="gramStart"/>
      <w:r w:rsidR="00C86BAD" w:rsidRPr="00F36CB0">
        <w:rPr>
          <w:rFonts w:asciiTheme="minorHAnsi" w:hAnsiTheme="minorHAnsi" w:cstheme="minorHAnsi"/>
          <w:sz w:val="20"/>
        </w:rPr>
        <w:t>taken into account</w:t>
      </w:r>
      <w:proofErr w:type="gramEnd"/>
      <w:r w:rsidR="00C86BAD" w:rsidRPr="00F36CB0">
        <w:rPr>
          <w:rFonts w:asciiTheme="minorHAnsi" w:hAnsiTheme="minorHAnsi" w:cstheme="minorHAnsi"/>
          <w:sz w:val="20"/>
        </w:rPr>
        <w:t xml:space="preserve">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5B9984EF" w:rsidR="00305C21"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 xml:space="preserve">the actual </w:t>
      </w:r>
      <w:r w:rsidRPr="00B313DA">
        <w:rPr>
          <w:rFonts w:asciiTheme="minorHAnsi" w:hAnsiTheme="minorHAnsi" w:cstheme="minorHAnsi"/>
          <w:bCs/>
          <w:sz w:val="20"/>
        </w:rPr>
        <w:lastRenderedPageBreak/>
        <w:t>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2B8DBC09" w14:textId="5EF63398" w:rsidR="004930FA" w:rsidRDefault="004930FA" w:rsidP="004930FA">
      <w:pPr>
        <w:tabs>
          <w:tab w:val="left" w:pos="900"/>
        </w:tabs>
        <w:spacing w:before="120" w:after="120"/>
        <w:rPr>
          <w:rFonts w:asciiTheme="minorHAnsi" w:hAnsiTheme="minorHAnsi" w:cstheme="minorHAnsi"/>
          <w:bCs/>
          <w:sz w:val="20"/>
        </w:rPr>
      </w:pPr>
    </w:p>
    <w:p w14:paraId="31774EAB" w14:textId="77777777" w:rsidR="004930FA" w:rsidRPr="004930FA" w:rsidRDefault="004930FA" w:rsidP="004930FA">
      <w:pPr>
        <w:spacing w:after="240"/>
        <w:ind w:left="720"/>
        <w:rPr>
          <w:rFonts w:eastAsia="Times New Roman"/>
          <w:szCs w:val="24"/>
        </w:rPr>
      </w:pPr>
      <w:r w:rsidRPr="004930FA">
        <w:rPr>
          <w:rFonts w:eastAsia="Times New Roman"/>
          <w:szCs w:val="24"/>
        </w:rPr>
        <w:t xml:space="preserve">confidential, proprietary, or privileged information in proposals. </w:t>
      </w:r>
    </w:p>
    <w:p w14:paraId="4911C5C5" w14:textId="77777777" w:rsidR="004930FA" w:rsidRPr="004930FA" w:rsidRDefault="004930FA" w:rsidP="004930FA">
      <w:pPr>
        <w:widowControl w:val="0"/>
        <w:jc w:val="both"/>
        <w:rPr>
          <w:rFonts w:eastAsia="Times New Roman"/>
          <w:b/>
          <w:bCs/>
          <w:szCs w:val="24"/>
        </w:rPr>
      </w:pPr>
      <w:r w:rsidRPr="004930FA">
        <w:rPr>
          <w:rFonts w:eastAsia="Times New Roman"/>
          <w:b/>
          <w:bCs/>
          <w:szCs w:val="24"/>
        </w:rPr>
        <w:t>PROGRAM STANDARDS</w:t>
      </w:r>
      <w:r w:rsidRPr="004930FA">
        <w:rPr>
          <w:rFonts w:eastAsia="Times New Roman"/>
          <w:b/>
          <w:bCs/>
          <w:szCs w:val="24"/>
        </w:rPr>
        <w:tab/>
      </w:r>
    </w:p>
    <w:p w14:paraId="49DCF3A1" w14:textId="77777777" w:rsidR="004930FA" w:rsidRPr="004930FA" w:rsidRDefault="004930FA" w:rsidP="004930FA">
      <w:pPr>
        <w:widowControl w:val="0"/>
        <w:jc w:val="both"/>
        <w:rPr>
          <w:rFonts w:eastAsia="Times New Roman"/>
          <w:szCs w:val="24"/>
        </w:rPr>
      </w:pPr>
    </w:p>
    <w:p w14:paraId="3C7B31E5" w14:textId="77777777" w:rsidR="004930FA" w:rsidRPr="004930FA" w:rsidRDefault="004930FA" w:rsidP="004930FA">
      <w:pPr>
        <w:widowControl w:val="0"/>
        <w:jc w:val="both"/>
        <w:rPr>
          <w:rFonts w:eastAsia="Times New Roman"/>
          <w:szCs w:val="24"/>
        </w:rPr>
      </w:pPr>
      <w:r w:rsidRPr="004930FA">
        <w:rPr>
          <w:rFonts w:eastAsia="Times New Roman"/>
          <w:b/>
          <w:bCs/>
          <w:szCs w:val="24"/>
        </w:rPr>
        <w:t>11.1</w:t>
      </w:r>
      <w:r w:rsidRPr="004930FA">
        <w:rPr>
          <w:rFonts w:eastAsia="Times New Roman"/>
          <w:szCs w:val="24"/>
        </w:rPr>
        <w:tab/>
        <w:t>The administration of this program is based on:</w:t>
      </w:r>
    </w:p>
    <w:p w14:paraId="5D35DFD4" w14:textId="77777777" w:rsidR="004930FA" w:rsidRPr="004930FA" w:rsidRDefault="004930FA" w:rsidP="004930FA">
      <w:pPr>
        <w:widowControl w:val="0"/>
        <w:jc w:val="both"/>
        <w:rPr>
          <w:rFonts w:eastAsia="Times New Roman"/>
          <w:szCs w:val="24"/>
        </w:rPr>
      </w:pPr>
    </w:p>
    <w:p w14:paraId="76D8A659" w14:textId="77777777" w:rsidR="004930FA" w:rsidRPr="004930FA" w:rsidRDefault="004930FA" w:rsidP="004930FA">
      <w:pPr>
        <w:widowControl w:val="0"/>
        <w:jc w:val="both"/>
        <w:rPr>
          <w:rFonts w:eastAsia="Times New Roman"/>
          <w:szCs w:val="24"/>
        </w:rPr>
      </w:pPr>
      <w:r w:rsidRPr="004930FA">
        <w:rPr>
          <w:rFonts w:eastAsia="Times New Roman"/>
          <w:szCs w:val="24"/>
        </w:rPr>
        <w:t>The provisions of Part B of Title IV of the Social Security Act (specifically, §438 of the Act); the approved State application and plan, including all assurances, approved amendments or revisions applicable Federal regulations, program policies and instructions</w:t>
      </w:r>
    </w:p>
    <w:p w14:paraId="70729878" w14:textId="77777777" w:rsidR="004930FA" w:rsidRPr="004930FA" w:rsidRDefault="004930FA" w:rsidP="004930FA">
      <w:pPr>
        <w:widowControl w:val="0"/>
        <w:jc w:val="both"/>
        <w:rPr>
          <w:rFonts w:eastAsia="Times New Roman"/>
          <w:szCs w:val="24"/>
        </w:rPr>
      </w:pPr>
    </w:p>
    <w:p w14:paraId="77502269" w14:textId="77777777" w:rsidR="004930FA" w:rsidRPr="004930FA" w:rsidRDefault="004930FA" w:rsidP="004930FA">
      <w:pPr>
        <w:widowControl w:val="0"/>
        <w:jc w:val="both"/>
        <w:rPr>
          <w:rFonts w:eastAsia="Times New Roman"/>
          <w:szCs w:val="24"/>
        </w:rPr>
      </w:pPr>
      <w:r w:rsidRPr="004930FA">
        <w:rPr>
          <w:rFonts w:eastAsia="Times New Roman"/>
          <w:b/>
          <w:bCs/>
          <w:szCs w:val="24"/>
        </w:rPr>
        <w:t>11.2</w:t>
      </w:r>
      <w:r w:rsidRPr="004930FA">
        <w:rPr>
          <w:rFonts w:eastAsia="Times New Roman"/>
          <w:szCs w:val="24"/>
        </w:rPr>
        <w:tab/>
        <w:t>This program is governed by the following Federal regulations:</w:t>
      </w:r>
    </w:p>
    <w:p w14:paraId="584508DC" w14:textId="77777777" w:rsidR="004930FA" w:rsidRPr="004930FA" w:rsidRDefault="004930FA" w:rsidP="004930FA">
      <w:pPr>
        <w:widowControl w:val="0"/>
        <w:jc w:val="both"/>
        <w:rPr>
          <w:rFonts w:eastAsia="Times New Roman"/>
          <w:szCs w:val="24"/>
        </w:rPr>
      </w:pPr>
    </w:p>
    <w:p w14:paraId="6B71BD5B" w14:textId="77777777" w:rsidR="004930FA" w:rsidRPr="004930FA" w:rsidRDefault="004930FA" w:rsidP="004930FA">
      <w:pPr>
        <w:widowControl w:val="0"/>
        <w:ind w:left="810"/>
        <w:jc w:val="both"/>
        <w:rPr>
          <w:rFonts w:eastAsia="Times New Roman"/>
          <w:szCs w:val="24"/>
        </w:rPr>
      </w:pPr>
      <w:r w:rsidRPr="004930FA">
        <w:rPr>
          <w:rFonts w:eastAsia="Times New Roman"/>
          <w:szCs w:val="24"/>
        </w:rPr>
        <w:t>2 CFR Part 225 – Cost Principles for State, Local and Indian Tribal Governments</w:t>
      </w:r>
    </w:p>
    <w:p w14:paraId="057A394F" w14:textId="77777777" w:rsidR="004930FA" w:rsidRPr="004930FA" w:rsidRDefault="004930FA" w:rsidP="004930FA">
      <w:pPr>
        <w:widowControl w:val="0"/>
        <w:ind w:left="810"/>
        <w:jc w:val="both"/>
        <w:rPr>
          <w:rFonts w:eastAsia="Times New Roman"/>
          <w:szCs w:val="24"/>
        </w:rPr>
      </w:pPr>
      <w:r w:rsidRPr="004930FA">
        <w:rPr>
          <w:rFonts w:eastAsia="Times New Roman"/>
          <w:szCs w:val="24"/>
        </w:rPr>
        <w:t>2 CFR Part 376 – Nonprocurement Debarment and Suspension</w:t>
      </w:r>
    </w:p>
    <w:p w14:paraId="3CF538E2"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16 – Procedures of the Departmental Grant Appeals Board;</w:t>
      </w:r>
    </w:p>
    <w:p w14:paraId="2693FDE2"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30 – Claims Collection;</w:t>
      </w:r>
    </w:p>
    <w:p w14:paraId="167FA165"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80 - Nondiscrimination Under Programs Receiving Federal Assistance through the Department of Health and Human Services, Effectuation of Title VI of the Civil Rights Act of 1964;</w:t>
      </w:r>
    </w:p>
    <w:p w14:paraId="395F4E73"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81 - Practice and Procedure for Hearings Under Part 80 of this Title;</w:t>
      </w:r>
    </w:p>
    <w:p w14:paraId="18515271"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84 - Nondiscrimination on the Basis of Handicap in Programs and Activities Receiving Federal Financial Assistance;</w:t>
      </w:r>
    </w:p>
    <w:p w14:paraId="02D48987"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86 – Nondiscrimination on the Basis of Sex in Education Programs and Activities Receiving or Benefiting from Federal Financial Assistance;</w:t>
      </w:r>
    </w:p>
    <w:p w14:paraId="2EACB6AB"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87 – Equal Treatment for Faith-Based Organizations;</w:t>
      </w:r>
    </w:p>
    <w:p w14:paraId="32E8818F"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91 – Nondiscrimination on the Basis of Age in HHS Programs or Activities Receiving Federal Financial Assistance;</w:t>
      </w:r>
    </w:p>
    <w:p w14:paraId="1CBF27B7"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92 – Uniform Administrative Requirements for Grants and Cooperative Agreements to State, and Local, and Tribal Governments;</w:t>
      </w:r>
    </w:p>
    <w:p w14:paraId="6C634602"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93 – New Restrictions on Lobbying;</w:t>
      </w:r>
    </w:p>
    <w:p w14:paraId="3781B336" w14:textId="77777777" w:rsidR="004930FA" w:rsidRPr="004930FA" w:rsidRDefault="004930FA" w:rsidP="004930FA">
      <w:pPr>
        <w:widowControl w:val="0"/>
        <w:ind w:left="810"/>
        <w:jc w:val="both"/>
        <w:rPr>
          <w:rFonts w:eastAsia="Times New Roman"/>
          <w:szCs w:val="24"/>
        </w:rPr>
      </w:pPr>
      <w:r w:rsidRPr="004930FA">
        <w:rPr>
          <w:rFonts w:eastAsia="Times New Roman"/>
          <w:szCs w:val="24"/>
        </w:rPr>
        <w:t>45 CFR Part 95, Subpart E – Cost Allocation Plans;</w:t>
      </w:r>
    </w:p>
    <w:p w14:paraId="05C4FB75" w14:textId="77777777" w:rsidR="004930FA" w:rsidRPr="004930FA" w:rsidRDefault="004930FA" w:rsidP="004930FA">
      <w:pPr>
        <w:widowControl w:val="0"/>
        <w:ind w:left="810"/>
        <w:jc w:val="both"/>
        <w:rPr>
          <w:rFonts w:eastAsia="Times New Roman"/>
          <w:sz w:val="20"/>
        </w:rPr>
      </w:pPr>
      <w:r w:rsidRPr="004930FA">
        <w:rPr>
          <w:rFonts w:eastAsia="Times New Roman"/>
          <w:szCs w:val="24"/>
        </w:rPr>
        <w:t xml:space="preserve">45 CFR 100.12 – How may a State simplify, consolidate, or substitute federally required </w:t>
      </w:r>
      <w:r w:rsidRPr="004930FA">
        <w:rPr>
          <w:rFonts w:eastAsia="Times New Roman"/>
          <w:sz w:val="20"/>
        </w:rPr>
        <w:t>State plans;</w:t>
      </w:r>
    </w:p>
    <w:p w14:paraId="70EF6D00" w14:textId="77777777" w:rsidR="004930FA" w:rsidRPr="004930FA" w:rsidRDefault="004930FA" w:rsidP="004930FA">
      <w:pPr>
        <w:spacing w:after="240"/>
        <w:ind w:left="720"/>
        <w:rPr>
          <w:rFonts w:eastAsia="Times New Roman"/>
          <w:szCs w:val="24"/>
        </w:rPr>
      </w:pPr>
      <w:r w:rsidRPr="004930FA">
        <w:rPr>
          <w:rFonts w:eastAsia="Times New Roman"/>
          <w:b/>
          <w:bCs/>
          <w:szCs w:val="24"/>
        </w:rPr>
        <w:t>11.3</w:t>
      </w:r>
      <w:r w:rsidRPr="004930FA">
        <w:rPr>
          <w:rFonts w:eastAsia="Times New Roman"/>
          <w:szCs w:val="24"/>
        </w:rPr>
        <w:tab/>
        <w:t>This program is governed by Office of Management and Budget Circular A-133, “Audits of States, Local Governments, and Non-Profit Organizations,” issued pursuant to the Single Audit Act of 1984 (Public Law 98-502) and the Single Audit Act Amendments of 1996 (Public Law 104-156)</w:t>
      </w:r>
    </w:p>
    <w:p w14:paraId="2C358D5D" w14:textId="77777777" w:rsidR="004930FA" w:rsidRPr="004930FA" w:rsidRDefault="004930FA" w:rsidP="004930FA">
      <w:pPr>
        <w:spacing w:after="240"/>
        <w:ind w:left="720"/>
        <w:rPr>
          <w:rFonts w:eastAsia="Times New Roman"/>
          <w:szCs w:val="24"/>
        </w:rPr>
      </w:pPr>
      <w:r w:rsidRPr="004930FA">
        <w:rPr>
          <w:rFonts w:eastAsia="Times New Roman"/>
          <w:b/>
          <w:bCs/>
          <w:szCs w:val="24"/>
        </w:rPr>
        <w:t>11.4</w:t>
      </w:r>
      <w:r w:rsidRPr="004930FA">
        <w:rPr>
          <w:rFonts w:eastAsia="Times New Roman"/>
          <w:b/>
          <w:bCs/>
          <w:szCs w:val="24"/>
        </w:rPr>
        <w:tab/>
      </w:r>
      <w:r w:rsidRPr="004930FA">
        <w:rPr>
          <w:rFonts w:eastAsia="Times New Roman"/>
          <w:szCs w:val="24"/>
        </w:rPr>
        <w:t>In accordance with Public Law 103-333, the “Departments of Labor, Health and Human Services, and Education, and Related Agencies Appropriations Act of 1995,” the following provisions are applicable to this Agreement:</w:t>
      </w:r>
    </w:p>
    <w:p w14:paraId="1D7D0613" w14:textId="77777777" w:rsidR="004930FA" w:rsidRPr="004930FA" w:rsidRDefault="004930FA" w:rsidP="004930FA">
      <w:pPr>
        <w:widowControl w:val="0"/>
        <w:ind w:left="810"/>
        <w:jc w:val="both"/>
        <w:rPr>
          <w:rFonts w:eastAsia="Times New Roman"/>
          <w:szCs w:val="24"/>
        </w:rPr>
      </w:pPr>
      <w:r w:rsidRPr="004930FA">
        <w:rPr>
          <w:rFonts w:eastAsia="Times New Roman"/>
          <w:szCs w:val="24"/>
        </w:rPr>
        <w:lastRenderedPageBreak/>
        <w:t>Section 507: “Purchase of American-Made Equipment and Products - It is the sense of the Congress that, to the greatest extent practicable, all equipment and products purchased with funds made available in this Act should be American-made.”</w:t>
      </w:r>
    </w:p>
    <w:p w14:paraId="605EBFD9" w14:textId="77777777" w:rsidR="004930FA" w:rsidRPr="004930FA" w:rsidRDefault="004930FA" w:rsidP="004930FA">
      <w:pPr>
        <w:widowControl w:val="0"/>
        <w:ind w:left="810"/>
        <w:jc w:val="both"/>
        <w:rPr>
          <w:rFonts w:eastAsia="Times New Roman"/>
          <w:szCs w:val="24"/>
        </w:rPr>
      </w:pPr>
    </w:p>
    <w:p w14:paraId="2DF2C379" w14:textId="77777777" w:rsidR="004930FA" w:rsidRPr="004930FA" w:rsidRDefault="004930FA" w:rsidP="004930FA">
      <w:pPr>
        <w:widowControl w:val="0"/>
        <w:ind w:left="810"/>
        <w:jc w:val="both"/>
        <w:rPr>
          <w:rFonts w:eastAsia="Times New Roman"/>
          <w:szCs w:val="24"/>
        </w:rPr>
      </w:pPr>
      <w:r w:rsidRPr="004930FA">
        <w:rPr>
          <w:rFonts w:eastAsia="Times New Roman"/>
          <w:szCs w:val="24"/>
        </w:rPr>
        <w:t>Section 508: “When issuing statements, press releases, requests for proposals, bid solicitations and other documents describing projects or programs funded in whole or in part with Federal money, all States receiving Federal funds, including but not limited to State and local governments and recipients of Federal research grants, shall 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nongovernmental sources.”</w:t>
      </w:r>
    </w:p>
    <w:p w14:paraId="5541B20D" w14:textId="77777777" w:rsidR="004930FA" w:rsidRPr="004930FA" w:rsidRDefault="004930FA" w:rsidP="004930FA">
      <w:pPr>
        <w:widowControl w:val="0"/>
        <w:ind w:left="810"/>
        <w:jc w:val="both"/>
        <w:rPr>
          <w:rFonts w:eastAsia="Times New Roman"/>
          <w:szCs w:val="24"/>
        </w:rPr>
      </w:pPr>
    </w:p>
    <w:p w14:paraId="5458864C" w14:textId="77777777" w:rsidR="004930FA" w:rsidRPr="004930FA" w:rsidRDefault="004930FA" w:rsidP="004930FA">
      <w:pPr>
        <w:spacing w:after="240"/>
        <w:ind w:left="720"/>
        <w:rPr>
          <w:rFonts w:eastAsia="Times New Roman"/>
          <w:szCs w:val="24"/>
        </w:rPr>
      </w:pPr>
      <w:r w:rsidRPr="004930FA">
        <w:rPr>
          <w:rFonts w:eastAsia="Times New Roman"/>
          <w:b/>
          <w:bCs/>
          <w:szCs w:val="24"/>
        </w:rPr>
        <w:t>11.5</w:t>
      </w:r>
      <w:r w:rsidRPr="004930FA">
        <w:rPr>
          <w:rFonts w:eastAsia="Times New Roman"/>
          <w:szCs w:val="24"/>
        </w:rPr>
        <w:tab/>
        <w:t>Smoking Prohibitions. In accordance with Title XII of Public Law 103-227, the “PRO-KIDS Act of 1994,” smoking may not be permitted in any portion of any indoor facility owned or regularly used for the provision of health, day care, education, or library services to children under the age of 18, if the services are funded by Federal programs wither directly or through State or local governments. Federal programs include grants, cooperative agreements, loans and loan guarantees, and contracts. The law does not apply to children’s services provided in private residences, facilities funded solely by Medicare or Medicaid funds, and portions or facilities and used for inpatient drug and alcohol treatment.</w:t>
      </w:r>
    </w:p>
    <w:p w14:paraId="6324E8D3" w14:textId="77777777" w:rsidR="004930FA" w:rsidRPr="004930FA" w:rsidRDefault="004930FA" w:rsidP="004930FA">
      <w:pPr>
        <w:spacing w:after="240"/>
        <w:ind w:left="720"/>
        <w:rPr>
          <w:rFonts w:eastAsia="Times New Roman"/>
          <w:szCs w:val="24"/>
        </w:rPr>
      </w:pPr>
      <w:r w:rsidRPr="004930FA">
        <w:rPr>
          <w:rFonts w:eastAsia="Times New Roman"/>
          <w:szCs w:val="24"/>
        </w:rPr>
        <w:t>The above language must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1A04D0FA" w14:textId="77777777" w:rsidR="004930FA" w:rsidRPr="004930FA" w:rsidRDefault="004930FA" w:rsidP="004930FA">
      <w:pPr>
        <w:spacing w:after="240"/>
        <w:ind w:left="720"/>
        <w:rPr>
          <w:rFonts w:eastAsia="Times New Roman"/>
          <w:szCs w:val="24"/>
        </w:rPr>
      </w:pPr>
      <w:r w:rsidRPr="004930FA">
        <w:rPr>
          <w:rFonts w:eastAsia="Times New Roman"/>
          <w:b/>
          <w:bCs/>
          <w:szCs w:val="24"/>
        </w:rPr>
        <w:t>11.6</w:t>
      </w:r>
      <w:r w:rsidRPr="004930FA">
        <w:rPr>
          <w:rFonts w:eastAsia="Times New Roman"/>
          <w:szCs w:val="24"/>
        </w:rPr>
        <w:tab/>
        <w:t>Religious Activity Prohibitions. Direct Federal grants, sub-awards, or contracts under these programs shall not be used to support inherently religious activities such as religious instruction, worship, or proselytization. Therefore, organizations must take steps to separate, in time or location, their inherently religious activities from the services funded under these programs. (See 45 CFR Part 87)</w:t>
      </w:r>
    </w:p>
    <w:p w14:paraId="45D1D6FE" w14:textId="77777777" w:rsidR="004930FA" w:rsidRPr="004930FA" w:rsidRDefault="004930FA" w:rsidP="004930FA">
      <w:pPr>
        <w:spacing w:after="240"/>
        <w:ind w:left="720"/>
        <w:rPr>
          <w:rFonts w:eastAsia="Times New Roman"/>
          <w:szCs w:val="24"/>
        </w:rPr>
      </w:pPr>
      <w:r w:rsidRPr="004930FA">
        <w:rPr>
          <w:rFonts w:eastAsia="Times New Roman"/>
          <w:b/>
          <w:bCs/>
          <w:szCs w:val="24"/>
        </w:rPr>
        <w:t>11.7</w:t>
      </w:r>
      <w:r w:rsidRPr="004930FA">
        <w:rPr>
          <w:rFonts w:eastAsia="Times New Roman"/>
          <w:szCs w:val="24"/>
        </w:rPr>
        <w:tab/>
        <w:t xml:space="preserve">Lobbying Prohibitions. Federal grant funds provided under this Agreement may not be used by the grantee or any sub-grantee to support lobbying activities to influence proposed or pending Federal legislation or appropriations.  This prohibition is related to the use of Federal grant funds and is not intended to affect an individual’s right or that of any organization, to petition Congress, or any other level of Government, through the use of other resources. (See 45 CFR Part 93.) </w:t>
      </w:r>
    </w:p>
    <w:p w14:paraId="1E31B5C0" w14:textId="77777777" w:rsidR="004930FA" w:rsidRPr="004930FA" w:rsidRDefault="004930FA" w:rsidP="004930FA">
      <w:pPr>
        <w:spacing w:after="240"/>
        <w:ind w:left="720"/>
        <w:rPr>
          <w:rFonts w:eastAsia="Times New Roman"/>
          <w:szCs w:val="24"/>
        </w:rPr>
      </w:pPr>
      <w:r w:rsidRPr="004930FA">
        <w:rPr>
          <w:rFonts w:eastAsia="Times New Roman"/>
          <w:b/>
          <w:bCs/>
          <w:szCs w:val="24"/>
        </w:rPr>
        <w:t>11.8</w:t>
      </w:r>
      <w:r w:rsidRPr="004930FA">
        <w:rPr>
          <w:rFonts w:eastAsia="Times New Roman"/>
          <w:szCs w:val="24"/>
        </w:rPr>
        <w:tab/>
        <w:t>Human Trafficking Provisions. This Agreement is subject to the requirements of Section 106(g) of the “Trafficking Victims Protection Act of 2000” (22 USC 7104). The full text of this requirement is found at UHhttp://www.acf.gov/.grants/award_terms.htmlUH.</w:t>
      </w:r>
    </w:p>
    <w:p w14:paraId="74165AAB" w14:textId="77777777" w:rsidR="004930FA" w:rsidRPr="004930FA" w:rsidRDefault="004930FA" w:rsidP="004930FA">
      <w:pPr>
        <w:spacing w:after="240"/>
        <w:ind w:left="720"/>
        <w:rPr>
          <w:rFonts w:eastAsia="Times New Roman"/>
          <w:szCs w:val="24"/>
        </w:rPr>
      </w:pPr>
      <w:r w:rsidRPr="004930FA">
        <w:rPr>
          <w:rFonts w:eastAsia="Times New Roman"/>
          <w:b/>
          <w:bCs/>
          <w:szCs w:val="24"/>
        </w:rPr>
        <w:lastRenderedPageBreak/>
        <w:t>11.9</w:t>
      </w:r>
      <w:r w:rsidRPr="004930FA">
        <w:rPr>
          <w:rFonts w:eastAsia="Times New Roman"/>
          <w:szCs w:val="24"/>
        </w:rPr>
        <w:tab/>
        <w:t>Transparency Act Requirements. This Agreement is included under the provisions of P.L. 109-282, the “Federal Funds Accountability and Transparency Act of 2006” (FFATA). Under this statute, the State is required to report information regarding executive compensation and all subgrants, contracts and subcontracts in excess of $25,000 through the Federal Subaward Reporting System (https://www.fsrs.gov/) and in accordance with the terms found in Federal regulations at 2 CFR Part 170, including Appendix A.</w:t>
      </w:r>
    </w:p>
    <w:p w14:paraId="18A13CBF" w14:textId="77777777" w:rsidR="004930FA" w:rsidRPr="004930FA" w:rsidRDefault="004930FA" w:rsidP="004930FA">
      <w:pPr>
        <w:spacing w:after="240"/>
        <w:ind w:left="720"/>
        <w:rPr>
          <w:rFonts w:eastAsia="Times New Roman"/>
          <w:szCs w:val="24"/>
        </w:rPr>
      </w:pPr>
      <w:r w:rsidRPr="004930FA">
        <w:rPr>
          <w:rFonts w:eastAsia="Times New Roman"/>
          <w:b/>
          <w:bCs/>
          <w:szCs w:val="24"/>
        </w:rPr>
        <w:t>SUB-RECIPIENTS UNDER GRANTS</w:t>
      </w:r>
      <w:r w:rsidRPr="004930FA">
        <w:rPr>
          <w:rFonts w:eastAsia="Times New Roman"/>
          <w:b/>
          <w:bCs/>
          <w:szCs w:val="24"/>
        </w:rPr>
        <w:tab/>
      </w:r>
    </w:p>
    <w:p w14:paraId="7CA43124" w14:textId="77777777" w:rsidR="004930FA" w:rsidRPr="004930FA" w:rsidRDefault="004930FA" w:rsidP="004930FA">
      <w:pPr>
        <w:spacing w:after="240"/>
        <w:ind w:left="720"/>
        <w:rPr>
          <w:rFonts w:eastAsia="Times New Roman"/>
          <w:szCs w:val="24"/>
        </w:rPr>
      </w:pPr>
      <w:r w:rsidRPr="004930FA">
        <w:rPr>
          <w:rFonts w:eastAsia="Times New Roman"/>
          <w:b/>
          <w:bCs/>
          <w:szCs w:val="24"/>
        </w:rPr>
        <w:t>11.10</w:t>
      </w:r>
      <w:r w:rsidRPr="004930FA">
        <w:rPr>
          <w:rFonts w:eastAsia="Times New Roman"/>
          <w:szCs w:val="24"/>
        </w:rPr>
        <w:tab/>
        <w:t>The Parties are required to determine recipient type when sub-granting or contracting using Federal funds. In accordance with the standards set in OMB Circular A-133, the determination is based on the substance of the relationship with the JBE, rather than the form of the agreement.</w:t>
      </w:r>
    </w:p>
    <w:p w14:paraId="41FE3667" w14:textId="77777777" w:rsidR="004930FA" w:rsidRPr="004930FA" w:rsidRDefault="004930FA" w:rsidP="004930FA">
      <w:pPr>
        <w:spacing w:after="240"/>
        <w:ind w:left="720"/>
        <w:rPr>
          <w:rFonts w:eastAsia="Times New Roman"/>
          <w:szCs w:val="24"/>
        </w:rPr>
      </w:pPr>
      <w:r w:rsidRPr="004930FA">
        <w:rPr>
          <w:rFonts w:eastAsia="Times New Roman"/>
          <w:szCs w:val="24"/>
        </w:rPr>
        <w:t>The presence of one or more of the following conditions would indicate that the recipient should be considered a sub-grantee and is subject to the provisions of OMB Circular A-133:</w:t>
      </w:r>
    </w:p>
    <w:p w14:paraId="5079DEDD" w14:textId="77777777" w:rsidR="004930FA" w:rsidRPr="004930FA" w:rsidRDefault="004930FA" w:rsidP="004930FA">
      <w:pPr>
        <w:widowControl w:val="0"/>
        <w:spacing w:after="160"/>
        <w:ind w:left="810"/>
        <w:jc w:val="both"/>
        <w:rPr>
          <w:rFonts w:eastAsia="Calibri"/>
          <w:sz w:val="22"/>
          <w:szCs w:val="22"/>
        </w:rPr>
      </w:pPr>
      <w:r w:rsidRPr="004930FA">
        <w:rPr>
          <w:rFonts w:eastAsia="Calibri"/>
          <w:sz w:val="22"/>
          <w:szCs w:val="22"/>
        </w:rPr>
        <w:t>a.  Determines who is eligible to receive what Federal financial assistance;</w:t>
      </w:r>
    </w:p>
    <w:p w14:paraId="6E67AF21" w14:textId="77777777" w:rsidR="004930FA" w:rsidRPr="004930FA" w:rsidRDefault="004930FA" w:rsidP="004930FA">
      <w:pPr>
        <w:widowControl w:val="0"/>
        <w:spacing w:after="160"/>
        <w:ind w:left="810"/>
        <w:jc w:val="both"/>
        <w:rPr>
          <w:rFonts w:eastAsia="Calibri"/>
          <w:sz w:val="22"/>
          <w:szCs w:val="22"/>
        </w:rPr>
      </w:pPr>
      <w:r w:rsidRPr="004930FA">
        <w:rPr>
          <w:rFonts w:eastAsia="Calibri"/>
          <w:sz w:val="22"/>
          <w:szCs w:val="22"/>
        </w:rPr>
        <w:t>b.  Has its performance measured against whether the objectives of the Federal program are met;</w:t>
      </w:r>
    </w:p>
    <w:p w14:paraId="1AB685F1" w14:textId="77777777" w:rsidR="004930FA" w:rsidRPr="004930FA" w:rsidRDefault="004930FA" w:rsidP="004930FA">
      <w:pPr>
        <w:widowControl w:val="0"/>
        <w:spacing w:after="160"/>
        <w:ind w:left="810"/>
        <w:jc w:val="both"/>
        <w:rPr>
          <w:rFonts w:eastAsia="Calibri"/>
          <w:sz w:val="22"/>
          <w:szCs w:val="22"/>
        </w:rPr>
      </w:pPr>
      <w:r w:rsidRPr="004930FA">
        <w:rPr>
          <w:rFonts w:eastAsia="Calibri"/>
          <w:sz w:val="22"/>
          <w:szCs w:val="22"/>
        </w:rPr>
        <w:t>c.  Has responsibility for programmatic decision making;</w:t>
      </w:r>
    </w:p>
    <w:p w14:paraId="673D3941" w14:textId="77777777" w:rsidR="004930FA" w:rsidRPr="004930FA" w:rsidRDefault="004930FA" w:rsidP="004930FA">
      <w:pPr>
        <w:widowControl w:val="0"/>
        <w:spacing w:after="160"/>
        <w:ind w:left="810"/>
        <w:jc w:val="both"/>
        <w:rPr>
          <w:rFonts w:eastAsia="Calibri"/>
          <w:sz w:val="22"/>
          <w:szCs w:val="22"/>
        </w:rPr>
      </w:pPr>
      <w:r w:rsidRPr="004930FA">
        <w:rPr>
          <w:rFonts w:eastAsia="Calibri"/>
          <w:sz w:val="22"/>
          <w:szCs w:val="22"/>
        </w:rPr>
        <w:t>d.  Has responsibility for adherence to applicable Federal program compliance requirements;</w:t>
      </w:r>
    </w:p>
    <w:p w14:paraId="32CA5020" w14:textId="77777777" w:rsidR="004930FA" w:rsidRPr="004930FA" w:rsidRDefault="004930FA" w:rsidP="004930FA">
      <w:pPr>
        <w:widowControl w:val="0"/>
        <w:ind w:left="1530" w:hanging="720"/>
        <w:jc w:val="both"/>
        <w:rPr>
          <w:rFonts w:eastAsia="Calibri"/>
          <w:sz w:val="22"/>
          <w:szCs w:val="22"/>
        </w:rPr>
      </w:pPr>
      <w:r w:rsidRPr="004930FA">
        <w:rPr>
          <w:rFonts w:eastAsia="Calibri"/>
          <w:sz w:val="22"/>
          <w:szCs w:val="22"/>
        </w:rPr>
        <w:t>e.  Uses the Federal funds to carry out a program of the organization as compared to providing</w:t>
      </w:r>
    </w:p>
    <w:p w14:paraId="1670A97A" w14:textId="77777777" w:rsidR="004930FA" w:rsidRPr="004930FA" w:rsidRDefault="004930FA" w:rsidP="004930FA">
      <w:pPr>
        <w:widowControl w:val="0"/>
        <w:ind w:left="1530" w:hanging="450"/>
        <w:jc w:val="both"/>
        <w:rPr>
          <w:rFonts w:eastAsia="Calibri"/>
          <w:sz w:val="22"/>
          <w:szCs w:val="22"/>
        </w:rPr>
      </w:pPr>
      <w:r w:rsidRPr="004930FA">
        <w:rPr>
          <w:rFonts w:eastAsia="Calibri"/>
          <w:sz w:val="22"/>
          <w:szCs w:val="22"/>
        </w:rPr>
        <w:t xml:space="preserve"> goods or services for a program of the pass-through entity;</w:t>
      </w:r>
    </w:p>
    <w:p w14:paraId="7B227C97" w14:textId="77777777" w:rsidR="004930FA" w:rsidRPr="004930FA" w:rsidRDefault="004930FA" w:rsidP="004930FA">
      <w:pPr>
        <w:widowControl w:val="0"/>
        <w:ind w:left="1440" w:hanging="360"/>
        <w:jc w:val="both"/>
        <w:rPr>
          <w:rFonts w:eastAsia="Calibri"/>
          <w:sz w:val="20"/>
        </w:rPr>
      </w:pPr>
    </w:p>
    <w:p w14:paraId="7512B3CC" w14:textId="77777777" w:rsidR="004930FA" w:rsidRPr="004930FA" w:rsidRDefault="004930FA" w:rsidP="004930FA">
      <w:pPr>
        <w:spacing w:after="240"/>
        <w:ind w:left="720"/>
        <w:rPr>
          <w:rFonts w:eastAsia="Times New Roman"/>
          <w:szCs w:val="24"/>
        </w:rPr>
      </w:pPr>
      <w:r w:rsidRPr="004930FA">
        <w:rPr>
          <w:rFonts w:eastAsia="Times New Roman"/>
          <w:szCs w:val="24"/>
        </w:rPr>
        <w:t>The presence of one or more of the following conditions would indicate that the recipient should be considered a vendor and is not subject to the provisions of OMB Circular A-133:</w:t>
      </w:r>
    </w:p>
    <w:p w14:paraId="69889E8E" w14:textId="77777777" w:rsidR="004930FA" w:rsidRPr="004930FA" w:rsidRDefault="004930FA" w:rsidP="004930FA">
      <w:pPr>
        <w:spacing w:after="120"/>
        <w:ind w:left="810"/>
        <w:rPr>
          <w:rFonts w:eastAsia="Times New Roman"/>
          <w:szCs w:val="24"/>
        </w:rPr>
      </w:pPr>
      <w:r w:rsidRPr="004930FA">
        <w:rPr>
          <w:rFonts w:eastAsia="Times New Roman"/>
          <w:szCs w:val="24"/>
        </w:rPr>
        <w:t>a.  Provides the goods and services within normal business operations;</w:t>
      </w:r>
    </w:p>
    <w:p w14:paraId="39379AC2" w14:textId="77777777" w:rsidR="004930FA" w:rsidRPr="004930FA" w:rsidRDefault="004930FA" w:rsidP="004930FA">
      <w:pPr>
        <w:spacing w:after="120"/>
        <w:ind w:left="810"/>
        <w:rPr>
          <w:rFonts w:eastAsia="Times New Roman"/>
          <w:szCs w:val="24"/>
        </w:rPr>
      </w:pPr>
      <w:r w:rsidRPr="004930FA">
        <w:rPr>
          <w:rFonts w:eastAsia="Times New Roman"/>
          <w:szCs w:val="24"/>
        </w:rPr>
        <w:t>b.  Provides similar goods or services to many different purchasers;</w:t>
      </w:r>
    </w:p>
    <w:p w14:paraId="2538D0E8" w14:textId="77777777" w:rsidR="004930FA" w:rsidRPr="004930FA" w:rsidRDefault="004930FA" w:rsidP="004930FA">
      <w:pPr>
        <w:spacing w:after="120"/>
        <w:ind w:left="810"/>
        <w:rPr>
          <w:rFonts w:eastAsia="Times New Roman"/>
          <w:szCs w:val="24"/>
        </w:rPr>
      </w:pPr>
      <w:r w:rsidRPr="004930FA">
        <w:rPr>
          <w:rFonts w:eastAsia="Times New Roman"/>
          <w:szCs w:val="24"/>
        </w:rPr>
        <w:t>c.  Operates in a competitive environment;</w:t>
      </w:r>
    </w:p>
    <w:p w14:paraId="0FB31240" w14:textId="77777777" w:rsidR="004930FA" w:rsidRPr="004930FA" w:rsidRDefault="004930FA" w:rsidP="004930FA">
      <w:pPr>
        <w:spacing w:after="120"/>
        <w:ind w:left="810"/>
        <w:rPr>
          <w:rFonts w:eastAsia="Times New Roman"/>
          <w:szCs w:val="24"/>
        </w:rPr>
      </w:pPr>
      <w:r w:rsidRPr="004930FA">
        <w:rPr>
          <w:rFonts w:eastAsia="Times New Roman"/>
          <w:szCs w:val="24"/>
        </w:rPr>
        <w:t>d.  Provides goods or services that are ancillary to the operation of the Federal program;</w:t>
      </w:r>
    </w:p>
    <w:p w14:paraId="63CFDD0A" w14:textId="77777777" w:rsidR="004930FA" w:rsidRPr="004930FA" w:rsidRDefault="004930FA" w:rsidP="004930FA">
      <w:pPr>
        <w:spacing w:after="120"/>
        <w:ind w:left="810"/>
        <w:rPr>
          <w:rFonts w:eastAsia="Times New Roman"/>
          <w:szCs w:val="24"/>
        </w:rPr>
      </w:pPr>
      <w:r w:rsidRPr="004930FA">
        <w:rPr>
          <w:rFonts w:eastAsia="Times New Roman"/>
          <w:szCs w:val="24"/>
        </w:rPr>
        <w:t>e.  Is not subject to compliance requirements of the Federal program</w:t>
      </w:r>
    </w:p>
    <w:p w14:paraId="385FC6E3" w14:textId="77777777" w:rsidR="004930FA" w:rsidRPr="004930FA" w:rsidRDefault="004930FA" w:rsidP="004930FA">
      <w:pPr>
        <w:spacing w:after="240"/>
        <w:ind w:left="720"/>
        <w:rPr>
          <w:rFonts w:eastAsia="Times New Roman"/>
          <w:szCs w:val="24"/>
        </w:rPr>
      </w:pPr>
      <w:r w:rsidRPr="004930FA">
        <w:rPr>
          <w:rFonts w:eastAsia="Times New Roman"/>
          <w:b/>
          <w:bCs/>
          <w:szCs w:val="24"/>
        </w:rPr>
        <w:t>11.11</w:t>
      </w:r>
      <w:r w:rsidRPr="004930FA">
        <w:rPr>
          <w:rFonts w:eastAsia="Times New Roman"/>
          <w:szCs w:val="24"/>
        </w:rPr>
        <w:tab/>
        <w:t xml:space="preserve">No organization may participate in this program in any capacity or be a recipient of Federal funds designated for this program if the organization has been debarred or suspended or otherwise found to be ineligible for participation in Federal assistance programs under Executive Order 12549, “Debarment and Suspension.” (See 45 CFR 92.35.) The JBE must include a similar term and/or condition for all sub-awards or contracts awarded under this program. Prior to issuing subawards or contracts under these grants, the state must consult the ineligible parties list to ensure that organizations under </w:t>
      </w:r>
      <w:r w:rsidRPr="004930FA">
        <w:rPr>
          <w:rFonts w:eastAsia="Times New Roman"/>
          <w:szCs w:val="24"/>
        </w:rPr>
        <w:lastRenderedPageBreak/>
        <w:t xml:space="preserve">funding consideration are not ineligible. The list is available on the Web at </w:t>
      </w:r>
      <w:hyperlink r:id="rId18" w:history="1">
        <w:r w:rsidRPr="004930FA">
          <w:rPr>
            <w:rFonts w:eastAsia="Times New Roman"/>
            <w:color w:val="0000FF"/>
            <w:szCs w:val="24"/>
            <w:u w:val="single"/>
          </w:rPr>
          <w:t>http://www.epls.gov</w:t>
        </w:r>
      </w:hyperlink>
      <w:r w:rsidRPr="004930FA">
        <w:rPr>
          <w:rFonts w:eastAsia="Times New Roman"/>
          <w:szCs w:val="24"/>
        </w:rPr>
        <w:t>.</w:t>
      </w:r>
    </w:p>
    <w:p w14:paraId="4D5DCEC7" w14:textId="77777777" w:rsidR="004930FA" w:rsidRPr="004930FA" w:rsidRDefault="004930FA" w:rsidP="004930FA">
      <w:pPr>
        <w:spacing w:after="240"/>
        <w:ind w:left="720"/>
        <w:rPr>
          <w:rFonts w:eastAsia="Times New Roman"/>
          <w:b/>
          <w:bCs/>
          <w:szCs w:val="24"/>
        </w:rPr>
      </w:pPr>
      <w:r w:rsidRPr="004930FA">
        <w:rPr>
          <w:rFonts w:eastAsia="Times New Roman"/>
          <w:b/>
          <w:bCs/>
          <w:szCs w:val="24"/>
        </w:rPr>
        <w:t>11.12</w:t>
      </w:r>
      <w:r w:rsidRPr="004930FA">
        <w:rPr>
          <w:rFonts w:eastAsia="Times New Roman"/>
          <w:b/>
          <w:bCs/>
          <w:szCs w:val="24"/>
        </w:rPr>
        <w:tab/>
      </w:r>
      <w:r w:rsidRPr="004930FA">
        <w:rPr>
          <w:rFonts w:eastAsia="Times New Roman"/>
          <w:szCs w:val="24"/>
        </w:rPr>
        <w:t xml:space="preserve">The JBE is responsible for monitoring grant, sub-grant/sub-recipient and contract supported activities to assure compliance with Federal requirements and that performance goals are being achieved. Grantee monitoring must cover each program, </w:t>
      </w:r>
      <w:proofErr w:type="gramStart"/>
      <w:r w:rsidRPr="004930FA">
        <w:rPr>
          <w:rFonts w:eastAsia="Times New Roman"/>
          <w:szCs w:val="24"/>
        </w:rPr>
        <w:t>function</w:t>
      </w:r>
      <w:proofErr w:type="gramEnd"/>
      <w:r w:rsidRPr="004930FA">
        <w:rPr>
          <w:rFonts w:eastAsia="Times New Roman"/>
          <w:szCs w:val="24"/>
        </w:rPr>
        <w:t xml:space="preserve"> and activity. (See 45 CFR 92.40.)</w:t>
      </w:r>
    </w:p>
    <w:p w14:paraId="22D279BE" w14:textId="77777777" w:rsidR="004930FA" w:rsidRPr="004930FA" w:rsidRDefault="004930FA" w:rsidP="004930FA">
      <w:pPr>
        <w:spacing w:after="240"/>
        <w:ind w:left="720"/>
        <w:rPr>
          <w:rFonts w:eastAsia="Times New Roman"/>
          <w:szCs w:val="24"/>
        </w:rPr>
      </w:pPr>
      <w:r w:rsidRPr="004930FA">
        <w:rPr>
          <w:rFonts w:eastAsia="Times New Roman"/>
          <w:b/>
          <w:bCs/>
          <w:szCs w:val="24"/>
        </w:rPr>
        <w:t>11.13</w:t>
      </w:r>
      <w:r w:rsidRPr="004930FA">
        <w:rPr>
          <w:rFonts w:eastAsia="Times New Roman"/>
          <w:szCs w:val="24"/>
        </w:rPr>
        <w:tab/>
        <w:t>The JBE is required to advise sub-grantees/sub-recipients of requirements imposed on them by Federal laws, regulations, and the provisions of grant agreements or contracts as well as any supplemental requirements imposed by the JBE. These include grant administrative requirements under 45 CFR Part 92, audit requirements under OMB</w:t>
      </w:r>
    </w:p>
    <w:p w14:paraId="7F953281" w14:textId="77777777" w:rsidR="004930FA" w:rsidRPr="004930FA" w:rsidRDefault="004930FA" w:rsidP="004930FA">
      <w:pPr>
        <w:spacing w:after="240"/>
        <w:ind w:left="720"/>
        <w:rPr>
          <w:rFonts w:eastAsia="Times New Roman"/>
          <w:szCs w:val="24"/>
        </w:rPr>
      </w:pPr>
      <w:r w:rsidRPr="004930FA">
        <w:rPr>
          <w:rFonts w:eastAsia="Times New Roman"/>
          <w:szCs w:val="24"/>
        </w:rPr>
        <w:t>Circular A-133 and cost principles according to recipient type:</w:t>
      </w:r>
    </w:p>
    <w:p w14:paraId="19BF7FD1" w14:textId="77777777" w:rsidR="004930FA" w:rsidRPr="004930FA" w:rsidRDefault="004930FA" w:rsidP="004930FA">
      <w:pPr>
        <w:widowControl w:val="0"/>
        <w:ind w:left="1440"/>
        <w:jc w:val="both"/>
        <w:rPr>
          <w:rFonts w:eastAsia="Times New Roman"/>
          <w:szCs w:val="24"/>
        </w:rPr>
      </w:pPr>
      <w:r w:rsidRPr="004930FA">
        <w:rPr>
          <w:rFonts w:eastAsia="Times New Roman"/>
          <w:szCs w:val="24"/>
        </w:rPr>
        <w:t>Non-Profit Organizations: 2 CFR Part 230;</w:t>
      </w:r>
    </w:p>
    <w:p w14:paraId="62973FA1" w14:textId="77777777" w:rsidR="004930FA" w:rsidRPr="004930FA" w:rsidRDefault="004930FA" w:rsidP="004930FA">
      <w:pPr>
        <w:widowControl w:val="0"/>
        <w:ind w:left="1440"/>
        <w:jc w:val="both"/>
        <w:rPr>
          <w:rFonts w:eastAsia="Times New Roman"/>
          <w:szCs w:val="24"/>
        </w:rPr>
      </w:pPr>
      <w:r w:rsidRPr="004930FA">
        <w:rPr>
          <w:rFonts w:eastAsia="Times New Roman"/>
          <w:szCs w:val="24"/>
        </w:rPr>
        <w:t>Educational Institutions: 2 CFR Part 220;</w:t>
      </w:r>
    </w:p>
    <w:p w14:paraId="5F70E0FF" w14:textId="77777777" w:rsidR="004930FA" w:rsidRPr="004930FA" w:rsidRDefault="004930FA" w:rsidP="004930FA">
      <w:pPr>
        <w:widowControl w:val="0"/>
        <w:ind w:left="1440"/>
        <w:jc w:val="both"/>
        <w:rPr>
          <w:rFonts w:eastAsia="Times New Roman"/>
          <w:szCs w:val="24"/>
        </w:rPr>
      </w:pPr>
      <w:r w:rsidRPr="004930FA">
        <w:rPr>
          <w:rFonts w:eastAsia="Times New Roman"/>
          <w:szCs w:val="24"/>
        </w:rPr>
        <w:t>Commercial Vendors or Subcontractors: 48 CFR Part 31.</w:t>
      </w:r>
    </w:p>
    <w:p w14:paraId="08748ADB" w14:textId="77777777" w:rsidR="004930FA" w:rsidRPr="004930FA" w:rsidRDefault="004930FA" w:rsidP="004930FA">
      <w:pPr>
        <w:spacing w:after="120"/>
        <w:ind w:left="720"/>
        <w:rPr>
          <w:rFonts w:eastAsia="Times New Roman"/>
          <w:b/>
          <w:bCs/>
          <w:szCs w:val="24"/>
        </w:rPr>
      </w:pPr>
    </w:p>
    <w:p w14:paraId="79FF9C77" w14:textId="77777777" w:rsidR="004930FA" w:rsidRPr="004930FA" w:rsidRDefault="004930FA" w:rsidP="004930FA">
      <w:pPr>
        <w:spacing w:after="240"/>
        <w:ind w:left="720"/>
        <w:rPr>
          <w:rFonts w:eastAsia="Times New Roman"/>
          <w:b/>
          <w:bCs/>
          <w:szCs w:val="24"/>
        </w:rPr>
      </w:pPr>
      <w:r w:rsidRPr="004930FA">
        <w:rPr>
          <w:rFonts w:eastAsia="Times New Roman"/>
          <w:b/>
          <w:bCs/>
          <w:szCs w:val="24"/>
        </w:rPr>
        <w:t>FINANCIAL MANAGEMENT</w:t>
      </w:r>
      <w:r w:rsidRPr="004930FA">
        <w:rPr>
          <w:rFonts w:eastAsia="Times New Roman"/>
          <w:b/>
          <w:bCs/>
          <w:szCs w:val="24"/>
        </w:rPr>
        <w:tab/>
      </w:r>
    </w:p>
    <w:p w14:paraId="5E22882D" w14:textId="77777777" w:rsidR="004930FA" w:rsidRPr="004930FA" w:rsidRDefault="004930FA" w:rsidP="004930FA">
      <w:pPr>
        <w:spacing w:after="240"/>
        <w:ind w:left="720"/>
        <w:rPr>
          <w:rFonts w:eastAsia="Times New Roman"/>
          <w:szCs w:val="24"/>
        </w:rPr>
      </w:pPr>
      <w:r w:rsidRPr="004930FA">
        <w:rPr>
          <w:rFonts w:eastAsia="Times New Roman"/>
          <w:b/>
          <w:bCs/>
          <w:szCs w:val="24"/>
        </w:rPr>
        <w:t>11.14</w:t>
      </w:r>
      <w:r w:rsidRPr="004930FA">
        <w:rPr>
          <w:rFonts w:eastAsia="Times New Roman"/>
          <w:szCs w:val="24"/>
        </w:rPr>
        <w:tab/>
        <w:t>Federal funds awarded under this grant program must constitute no more than 75 percent of total program expenditures. The remaining 25 percent of program expenditures must be derived from non-Federal sources, including JBE funds, local funds or cash or in-kind contributions. (See 45 CFR 92.24 (formerly 45 CFR 74.23).)</w:t>
      </w:r>
    </w:p>
    <w:p w14:paraId="6DCF056E" w14:textId="77777777" w:rsidR="004930FA" w:rsidRPr="004930FA" w:rsidRDefault="004930FA" w:rsidP="004930FA">
      <w:pPr>
        <w:spacing w:after="240"/>
        <w:ind w:left="720"/>
        <w:rPr>
          <w:rFonts w:eastAsia="Times New Roman"/>
          <w:szCs w:val="24"/>
        </w:rPr>
      </w:pPr>
      <w:r w:rsidRPr="004930FA">
        <w:rPr>
          <w:rFonts w:eastAsia="Times New Roman"/>
          <w:b/>
          <w:bCs/>
          <w:szCs w:val="24"/>
        </w:rPr>
        <w:t>11.15</w:t>
      </w:r>
      <w:r w:rsidRPr="004930FA">
        <w:rPr>
          <w:rFonts w:eastAsia="Times New Roman"/>
          <w:szCs w:val="24"/>
        </w:rPr>
        <w:tab/>
        <w:t>Federal funds awarded under this program must not be used for construction or the purchase of land.</w:t>
      </w:r>
    </w:p>
    <w:p w14:paraId="3A103A0F" w14:textId="77777777" w:rsidR="004930FA" w:rsidRPr="004930FA" w:rsidRDefault="004930FA" w:rsidP="004930FA">
      <w:pPr>
        <w:spacing w:after="240"/>
        <w:ind w:left="720"/>
        <w:rPr>
          <w:rFonts w:eastAsia="Times New Roman"/>
          <w:szCs w:val="24"/>
        </w:rPr>
      </w:pPr>
      <w:r w:rsidRPr="004930FA">
        <w:rPr>
          <w:rFonts w:eastAsia="Times New Roman"/>
          <w:b/>
          <w:bCs/>
          <w:szCs w:val="24"/>
        </w:rPr>
        <w:t>11.16</w:t>
      </w:r>
      <w:r w:rsidRPr="004930FA">
        <w:rPr>
          <w:rFonts w:eastAsia="Times New Roman"/>
          <w:szCs w:val="24"/>
        </w:rPr>
        <w:tab/>
        <w:t>Federal funds awarded through these grants must be expended for the purposes for which they were awarded and within the time period allotted, in accordance with the deadlines discussed below.</w:t>
      </w:r>
    </w:p>
    <w:p w14:paraId="1B9016E9" w14:textId="77777777" w:rsidR="004930FA" w:rsidRPr="004930FA" w:rsidRDefault="004930FA" w:rsidP="004930FA">
      <w:pPr>
        <w:spacing w:after="240"/>
        <w:ind w:left="720"/>
        <w:rPr>
          <w:rFonts w:eastAsia="Times New Roman"/>
          <w:szCs w:val="24"/>
        </w:rPr>
      </w:pPr>
      <w:r w:rsidRPr="004930FA">
        <w:rPr>
          <w:rFonts w:eastAsia="Times New Roman"/>
          <w:b/>
          <w:bCs/>
          <w:szCs w:val="24"/>
        </w:rPr>
        <w:t>11.17</w:t>
      </w:r>
      <w:r w:rsidRPr="004930FA">
        <w:rPr>
          <w:rFonts w:eastAsia="Times New Roman"/>
          <w:szCs w:val="24"/>
        </w:rPr>
        <w:tab/>
        <w:t>Project Period, Obligation Period, Liquidation Period</w:t>
      </w:r>
    </w:p>
    <w:p w14:paraId="01CBAABC" w14:textId="77777777" w:rsidR="004930FA" w:rsidRPr="004930FA" w:rsidRDefault="004930FA" w:rsidP="004930FA">
      <w:pPr>
        <w:widowControl w:val="0"/>
        <w:spacing w:after="160"/>
        <w:ind w:left="1440" w:hanging="630"/>
        <w:jc w:val="both"/>
        <w:rPr>
          <w:rFonts w:eastAsia="Calibri"/>
          <w:sz w:val="20"/>
        </w:rPr>
      </w:pPr>
      <w:r w:rsidRPr="004930FA">
        <w:rPr>
          <w:rFonts w:eastAsia="Calibri"/>
          <w:sz w:val="20"/>
        </w:rPr>
        <w:t>a.</w:t>
      </w:r>
      <w:r w:rsidRPr="004930FA">
        <w:rPr>
          <w:rFonts w:eastAsia="Calibri"/>
          <w:sz w:val="20"/>
        </w:rPr>
        <w:tab/>
        <w:t>The terms “project periods” and “obligation periods” are synonymous.</w:t>
      </w:r>
    </w:p>
    <w:p w14:paraId="7D61A9B6" w14:textId="77777777" w:rsidR="004930FA" w:rsidRPr="004930FA" w:rsidRDefault="004930FA" w:rsidP="004930FA">
      <w:pPr>
        <w:widowControl w:val="0"/>
        <w:spacing w:after="160"/>
        <w:ind w:left="1440" w:hanging="630"/>
        <w:jc w:val="both"/>
        <w:rPr>
          <w:rFonts w:eastAsia="Calibri"/>
          <w:sz w:val="20"/>
        </w:rPr>
      </w:pPr>
      <w:r w:rsidRPr="004930FA">
        <w:rPr>
          <w:rFonts w:eastAsia="Calibri"/>
          <w:sz w:val="20"/>
        </w:rPr>
        <w:t>b.</w:t>
      </w:r>
      <w:r w:rsidRPr="004930FA">
        <w:rPr>
          <w:rFonts w:eastAsia="Calibri"/>
          <w:sz w:val="20"/>
        </w:rPr>
        <w:tab/>
        <w:t xml:space="preserve">Obligation.    </w:t>
      </w:r>
      <w:proofErr w:type="gramStart"/>
      <w:r w:rsidRPr="004930FA">
        <w:rPr>
          <w:rFonts w:eastAsia="Calibri"/>
          <w:sz w:val="20"/>
        </w:rPr>
        <w:t>Regardless</w:t>
      </w:r>
      <w:proofErr w:type="gramEnd"/>
      <w:r w:rsidRPr="004930FA">
        <w:rPr>
          <w:rFonts w:eastAsia="Calibri"/>
          <w:sz w:val="20"/>
        </w:rPr>
        <w:t xml:space="preserve"> when this Agreement is issued during the Federal fiscal year, the obligation period for the Federal funds awarded under these grants starts on October 1 of the current Federal fiscal year and ends on September 30 of the following Federal fiscal year. Any funds not obligated by that date will be recouped by this Department.</w:t>
      </w:r>
    </w:p>
    <w:p w14:paraId="26B8ACE6" w14:textId="77777777" w:rsidR="004930FA" w:rsidRPr="004930FA" w:rsidRDefault="004930FA" w:rsidP="004930FA">
      <w:pPr>
        <w:widowControl w:val="0"/>
        <w:spacing w:after="160"/>
        <w:ind w:left="1440" w:hanging="630"/>
        <w:jc w:val="both"/>
        <w:rPr>
          <w:rFonts w:eastAsia="Calibri"/>
          <w:sz w:val="20"/>
        </w:rPr>
      </w:pPr>
      <w:r w:rsidRPr="004930FA">
        <w:rPr>
          <w:rFonts w:eastAsia="Calibri"/>
          <w:sz w:val="20"/>
        </w:rPr>
        <w:t>c.</w:t>
      </w:r>
      <w:r w:rsidRPr="004930FA">
        <w:rPr>
          <w:rFonts w:eastAsia="Calibri"/>
          <w:sz w:val="20"/>
        </w:rPr>
        <w:tab/>
        <w:t>Liquidation.    In accordance with Federal regulations at 45 CFR 92.23(b), Federal funds awarded under these grants must be liquidated “not later than 90 days after the end of the (project) period” (i.e., no later than December 30 - 90 days after the last day of the following Federal fiscal year.) Any funds not liquidated by that date will be recouped by this Department.</w:t>
      </w:r>
    </w:p>
    <w:p w14:paraId="15CDAED3" w14:textId="64B8B00E" w:rsidR="004930FA" w:rsidRDefault="004930FA" w:rsidP="004930FA">
      <w:pPr>
        <w:widowControl w:val="0"/>
        <w:spacing w:after="160"/>
        <w:ind w:left="1440" w:hanging="630"/>
        <w:jc w:val="both"/>
        <w:rPr>
          <w:rFonts w:eastAsia="Calibri"/>
          <w:sz w:val="20"/>
        </w:rPr>
      </w:pPr>
    </w:p>
    <w:p w14:paraId="1C4707BF" w14:textId="77777777" w:rsidR="004930FA" w:rsidRPr="004930FA" w:rsidRDefault="004930FA" w:rsidP="004930FA">
      <w:pPr>
        <w:widowControl w:val="0"/>
        <w:spacing w:after="160"/>
        <w:ind w:left="1440" w:hanging="630"/>
        <w:jc w:val="both"/>
        <w:rPr>
          <w:rFonts w:eastAsia="Calibri"/>
          <w:sz w:val="20"/>
        </w:rPr>
      </w:pPr>
    </w:p>
    <w:p w14:paraId="0EB8A222" w14:textId="77777777" w:rsidR="004930FA" w:rsidRPr="004930FA" w:rsidRDefault="004930FA" w:rsidP="004930FA">
      <w:pPr>
        <w:widowControl w:val="0"/>
        <w:jc w:val="both"/>
        <w:rPr>
          <w:rFonts w:eastAsia="Times New Roman"/>
          <w:b/>
          <w:bCs/>
          <w:sz w:val="20"/>
        </w:rPr>
      </w:pPr>
      <w:r w:rsidRPr="004930FA">
        <w:rPr>
          <w:rFonts w:eastAsia="Times New Roman"/>
          <w:b/>
          <w:bCs/>
          <w:sz w:val="20"/>
        </w:rPr>
        <w:lastRenderedPageBreak/>
        <w:t>PROGRAM MANAGEMENT</w:t>
      </w:r>
      <w:r w:rsidRPr="004930FA">
        <w:rPr>
          <w:rFonts w:eastAsia="Times New Roman"/>
          <w:b/>
          <w:bCs/>
          <w:sz w:val="20"/>
        </w:rPr>
        <w:tab/>
      </w:r>
    </w:p>
    <w:p w14:paraId="5C309EC8" w14:textId="77777777" w:rsidR="004930FA" w:rsidRPr="004930FA" w:rsidRDefault="004930FA" w:rsidP="004930FA">
      <w:pPr>
        <w:widowControl w:val="0"/>
        <w:jc w:val="both"/>
        <w:rPr>
          <w:rFonts w:eastAsia="Times New Roman"/>
          <w:sz w:val="20"/>
        </w:rPr>
      </w:pPr>
    </w:p>
    <w:p w14:paraId="504853D8" w14:textId="77777777" w:rsidR="004930FA" w:rsidRPr="004930FA" w:rsidRDefault="004930FA" w:rsidP="004930FA">
      <w:pPr>
        <w:widowControl w:val="0"/>
        <w:jc w:val="both"/>
        <w:rPr>
          <w:rFonts w:eastAsia="Times New Roman"/>
          <w:sz w:val="20"/>
        </w:rPr>
      </w:pPr>
      <w:r w:rsidRPr="004930FA">
        <w:rPr>
          <w:rFonts w:eastAsia="Times New Roman"/>
          <w:b/>
          <w:bCs/>
          <w:sz w:val="20"/>
        </w:rPr>
        <w:t>11.18</w:t>
      </w:r>
      <w:r w:rsidRPr="004930FA">
        <w:rPr>
          <w:rFonts w:eastAsia="Times New Roman"/>
          <w:sz w:val="20"/>
        </w:rPr>
        <w:tab/>
        <w:t>In accordance with the requirements at 45 CFR 92.40, the JBE is required to submit an annual program assessment report for each grant, assessing the effectiveness of the activities supported with these grant funds and in conformance with the requirements for submission found in Program Instruction ACYF-CB-PI-12-02.</w:t>
      </w:r>
    </w:p>
    <w:p w14:paraId="01C5629C" w14:textId="77777777" w:rsidR="004930FA" w:rsidRPr="004930FA" w:rsidRDefault="004930FA" w:rsidP="004930FA">
      <w:pPr>
        <w:rPr>
          <w:rFonts w:eastAsia="Times New Roman"/>
          <w:b/>
          <w:sz w:val="20"/>
        </w:rPr>
      </w:pPr>
    </w:p>
    <w:p w14:paraId="262648BA" w14:textId="25C0E0BD" w:rsidR="004930FA" w:rsidRDefault="004930FA" w:rsidP="004930FA">
      <w:pPr>
        <w:tabs>
          <w:tab w:val="left" w:pos="900"/>
        </w:tabs>
        <w:spacing w:before="120" w:after="120"/>
        <w:rPr>
          <w:rFonts w:asciiTheme="minorHAnsi" w:hAnsiTheme="minorHAnsi" w:cstheme="minorHAnsi"/>
          <w:bCs/>
          <w:sz w:val="20"/>
        </w:rPr>
      </w:pPr>
    </w:p>
    <w:p w14:paraId="50A3CD9F" w14:textId="37142614" w:rsidR="004930FA" w:rsidRDefault="004930FA" w:rsidP="004930FA">
      <w:pPr>
        <w:tabs>
          <w:tab w:val="left" w:pos="900"/>
        </w:tabs>
        <w:spacing w:before="120" w:after="120"/>
        <w:rPr>
          <w:rFonts w:asciiTheme="minorHAnsi" w:hAnsiTheme="minorHAnsi" w:cstheme="minorHAnsi"/>
          <w:bCs/>
          <w:sz w:val="20"/>
        </w:rPr>
      </w:pPr>
    </w:p>
    <w:p w14:paraId="1B059486" w14:textId="77777777" w:rsidR="004930FA" w:rsidRPr="004930FA" w:rsidRDefault="004930FA" w:rsidP="004930FA">
      <w:pPr>
        <w:tabs>
          <w:tab w:val="left" w:pos="900"/>
        </w:tabs>
        <w:spacing w:before="120" w:after="120"/>
        <w:rPr>
          <w:rFonts w:asciiTheme="minorHAnsi" w:hAnsiTheme="minorHAnsi" w:cstheme="minorHAnsi"/>
          <w:bCs/>
          <w:sz w:val="20"/>
        </w:rPr>
      </w:pPr>
    </w:p>
    <w:p w14:paraId="6874D89C" w14:textId="77777777" w:rsidR="00535786" w:rsidRPr="00750D70" w:rsidRDefault="00DC5733" w:rsidP="00023CC5">
      <w:pPr>
        <w:numPr>
          <w:ilvl w:val="0"/>
          <w:numId w:val="26"/>
        </w:numPr>
        <w:spacing w:before="120" w:after="120"/>
        <w:rPr>
          <w:rFonts w:asciiTheme="minorHAnsi" w:hAnsiTheme="minorHAnsi" w:cstheme="minorHAnsi"/>
          <w:sz w:val="20"/>
          <w:highlight w:val="yellow"/>
        </w:rPr>
      </w:pPr>
      <w:r w:rsidRPr="00750D70">
        <w:rPr>
          <w:rFonts w:asciiTheme="minorHAnsi" w:hAnsiTheme="minorHAnsi" w:cstheme="minorHAnsi"/>
          <w:b/>
          <w:bCs/>
          <w:sz w:val="20"/>
          <w:highlight w:val="yellow"/>
        </w:rPr>
        <w:t>Miscellaneous Provisions</w:t>
      </w:r>
      <w:r w:rsidR="00DA091B" w:rsidRPr="00750D70">
        <w:rPr>
          <w:rFonts w:asciiTheme="minorHAnsi" w:hAnsiTheme="minorHAnsi" w:cstheme="minorHAnsi"/>
          <w:b/>
          <w:bCs/>
          <w:sz w:val="20"/>
          <w:highlight w:val="yellow"/>
        </w:rPr>
        <w:t>.</w:t>
      </w:r>
    </w:p>
    <w:p w14:paraId="65A6D247" w14:textId="77777777" w:rsidR="00535786" w:rsidRPr="00750D70" w:rsidRDefault="00437785" w:rsidP="00023CC5">
      <w:pPr>
        <w:numPr>
          <w:ilvl w:val="1"/>
          <w:numId w:val="26"/>
        </w:numPr>
        <w:spacing w:before="120" w:after="120"/>
        <w:rPr>
          <w:rFonts w:asciiTheme="minorHAnsi" w:hAnsiTheme="minorHAnsi" w:cstheme="minorHAnsi"/>
          <w:sz w:val="20"/>
          <w:highlight w:val="yellow"/>
          <w:u w:val="single"/>
        </w:rPr>
      </w:pPr>
      <w:r w:rsidRPr="00750D70">
        <w:rPr>
          <w:rFonts w:asciiTheme="minorHAnsi" w:hAnsiTheme="minorHAnsi" w:cstheme="minorHAnsi"/>
          <w:b/>
          <w:bCs/>
          <w:sz w:val="20"/>
          <w:highlight w:val="yellow"/>
        </w:rPr>
        <w:t xml:space="preserve">Independent Contractor. </w:t>
      </w:r>
      <w:r w:rsidRPr="00750D70">
        <w:rPr>
          <w:rFonts w:asciiTheme="minorHAnsi" w:hAnsiTheme="minorHAnsi" w:cstheme="minorHAnsi"/>
          <w:sz w:val="20"/>
          <w:highlight w:val="yellow"/>
        </w:rPr>
        <w:t xml:space="preserve">Contractor is an independent contractor to the </w:t>
      </w:r>
      <w:r w:rsidR="00323CD0" w:rsidRPr="00750D70">
        <w:rPr>
          <w:rFonts w:asciiTheme="minorHAnsi" w:hAnsiTheme="minorHAnsi" w:cstheme="minorHAnsi"/>
          <w:sz w:val="20"/>
          <w:highlight w:val="yellow"/>
        </w:rPr>
        <w:t>JBE</w:t>
      </w:r>
      <w:r w:rsidRPr="00750D70">
        <w:rPr>
          <w:rFonts w:asciiTheme="minorHAnsi" w:hAnsiTheme="minorHAnsi" w:cstheme="minorHAnsi"/>
          <w:sz w:val="20"/>
          <w:highlight w:val="yellow"/>
        </w:rPr>
        <w:t xml:space="preserve">. No employer-employee, partnership, joint venture, or agency relationship exists between Contractor and the </w:t>
      </w:r>
      <w:r w:rsidR="00323CD0" w:rsidRPr="00750D70">
        <w:rPr>
          <w:rFonts w:asciiTheme="minorHAnsi" w:hAnsiTheme="minorHAnsi" w:cstheme="minorHAnsi"/>
          <w:sz w:val="20"/>
          <w:highlight w:val="yellow"/>
        </w:rPr>
        <w:t>JBE</w:t>
      </w:r>
      <w:r w:rsidRPr="00750D70">
        <w:rPr>
          <w:rFonts w:asciiTheme="minorHAnsi" w:hAnsiTheme="minorHAnsi" w:cstheme="minorHAnsi"/>
          <w:sz w:val="20"/>
          <w:highlight w:val="yellow"/>
        </w:rPr>
        <w:t>.</w:t>
      </w:r>
      <w:r w:rsidR="000205FD" w:rsidRPr="00750D70">
        <w:rPr>
          <w:rFonts w:asciiTheme="minorHAnsi" w:hAnsiTheme="minorHAnsi" w:cstheme="minorHAnsi"/>
          <w:sz w:val="20"/>
          <w:highlight w:val="yellow"/>
        </w:rPr>
        <w:t xml:space="preserve"> </w:t>
      </w:r>
      <w:r w:rsidR="000205FD" w:rsidRPr="00750D70">
        <w:rPr>
          <w:rFonts w:cstheme="minorHAnsi"/>
          <w:sz w:val="20"/>
          <w:highlight w:val="yellow"/>
        </w:rPr>
        <w:t xml:space="preserve">Contractor has no authority to bind or incur any obligation on behalf of the </w:t>
      </w:r>
      <w:r w:rsidR="00323CD0" w:rsidRPr="00750D70">
        <w:rPr>
          <w:rFonts w:cstheme="minorHAnsi"/>
          <w:sz w:val="20"/>
          <w:highlight w:val="yellow"/>
        </w:rPr>
        <w:t>JBE</w:t>
      </w:r>
      <w:r w:rsidR="000205FD" w:rsidRPr="00750D70">
        <w:rPr>
          <w:rFonts w:cstheme="minorHAnsi"/>
          <w:sz w:val="20"/>
          <w:highlight w:val="yellow"/>
        </w:rPr>
        <w:t xml:space="preserve">. If any governmental entity concludes that Contractor is not an independent contractor, the </w:t>
      </w:r>
      <w:r w:rsidR="00323CD0" w:rsidRPr="00750D70">
        <w:rPr>
          <w:rFonts w:cstheme="minorHAnsi"/>
          <w:sz w:val="20"/>
          <w:highlight w:val="yellow"/>
        </w:rPr>
        <w:t>JBE</w:t>
      </w:r>
      <w:r w:rsidR="000205FD" w:rsidRPr="00750D70">
        <w:rPr>
          <w:rFonts w:cstheme="minorHAnsi"/>
          <w:sz w:val="20"/>
          <w:highlight w:val="yellow"/>
        </w:rPr>
        <w:t xml:space="preserve"> may terminate t</w:t>
      </w:r>
      <w:r w:rsidR="001E2002" w:rsidRPr="00750D70">
        <w:rPr>
          <w:rFonts w:cstheme="minorHAnsi"/>
          <w:sz w:val="20"/>
          <w:highlight w:val="yellow"/>
        </w:rPr>
        <w:t>his Agreement immediately upon N</w:t>
      </w:r>
      <w:r w:rsidR="000205FD" w:rsidRPr="00750D70">
        <w:rPr>
          <w:rFonts w:cstheme="minorHAnsi"/>
          <w:sz w:val="20"/>
          <w:highlight w:val="yellow"/>
        </w:rPr>
        <w:t>otice.</w:t>
      </w:r>
    </w:p>
    <w:p w14:paraId="4BDDE66D" w14:textId="77777777" w:rsidR="00A62C2B" w:rsidRPr="00750D70" w:rsidRDefault="00A62C2B" w:rsidP="00023CC5">
      <w:pPr>
        <w:numPr>
          <w:ilvl w:val="1"/>
          <w:numId w:val="26"/>
        </w:numPr>
        <w:spacing w:before="120" w:after="120"/>
        <w:rPr>
          <w:rFonts w:asciiTheme="minorHAnsi" w:hAnsiTheme="minorHAnsi" w:cstheme="minorHAnsi"/>
          <w:sz w:val="20"/>
          <w:highlight w:val="yellow"/>
          <w:u w:val="single"/>
        </w:rPr>
      </w:pPr>
      <w:r w:rsidRPr="00750D70">
        <w:rPr>
          <w:rFonts w:asciiTheme="minorHAnsi" w:hAnsiTheme="minorHAnsi" w:cstheme="minorHAnsi"/>
          <w:b/>
          <w:bCs/>
          <w:sz w:val="20"/>
          <w:highlight w:val="yellow"/>
        </w:rPr>
        <w:t xml:space="preserve">GAAP Compliance. </w:t>
      </w:r>
      <w:r w:rsidRPr="00750D70">
        <w:rPr>
          <w:rFonts w:asciiTheme="minorHAnsi" w:hAnsiTheme="minorHAnsi" w:cstheme="minorHAnsi"/>
          <w:bCs/>
          <w:sz w:val="20"/>
          <w:highlight w:val="yellow"/>
        </w:rPr>
        <w:t>Contractor maintains an adequate system of accounting and internal controls that meets Generally Accepted Accounting Principles.</w:t>
      </w:r>
      <w:r w:rsidRPr="00750D70">
        <w:rPr>
          <w:rFonts w:asciiTheme="minorHAnsi" w:hAnsiTheme="minorHAnsi" w:cstheme="minorHAnsi"/>
          <w:b/>
          <w:bCs/>
          <w:sz w:val="20"/>
          <w:highlight w:val="yellow"/>
        </w:rPr>
        <w:t xml:space="preserve">  </w:t>
      </w:r>
    </w:p>
    <w:p w14:paraId="1ADDCE60" w14:textId="77777777" w:rsidR="007F3498" w:rsidRPr="00750D70" w:rsidRDefault="00437785" w:rsidP="00023CC5">
      <w:pPr>
        <w:numPr>
          <w:ilvl w:val="1"/>
          <w:numId w:val="26"/>
        </w:numPr>
        <w:spacing w:before="120" w:after="120"/>
        <w:rPr>
          <w:rFonts w:asciiTheme="minorHAnsi" w:hAnsiTheme="minorHAnsi" w:cstheme="minorHAnsi"/>
          <w:sz w:val="20"/>
          <w:highlight w:val="yellow"/>
          <w:u w:val="single"/>
        </w:rPr>
      </w:pPr>
      <w:r w:rsidRPr="00750D70">
        <w:rPr>
          <w:rFonts w:asciiTheme="minorHAnsi" w:hAnsiTheme="minorHAnsi" w:cstheme="minorHAnsi"/>
          <w:b/>
          <w:bCs/>
          <w:sz w:val="20"/>
          <w:highlight w:val="yellow"/>
        </w:rPr>
        <w:t>Audit</w:t>
      </w:r>
      <w:r w:rsidR="00D835C1" w:rsidRPr="00750D70">
        <w:rPr>
          <w:rFonts w:asciiTheme="minorHAnsi" w:hAnsiTheme="minorHAnsi" w:cstheme="minorHAnsi"/>
          <w:b/>
          <w:bCs/>
          <w:sz w:val="20"/>
          <w:highlight w:val="yellow"/>
        </w:rPr>
        <w:t xml:space="preserve">. </w:t>
      </w:r>
      <w:r w:rsidR="007F3498" w:rsidRPr="00750D70">
        <w:rPr>
          <w:rFonts w:asciiTheme="minorHAnsi" w:hAnsiTheme="minorHAnsi" w:cstheme="minorHAnsi"/>
          <w:b/>
          <w:bCs/>
          <w:sz w:val="20"/>
          <w:highlight w:val="yellow"/>
        </w:rPr>
        <w:t xml:space="preserve"> </w:t>
      </w:r>
      <w:r w:rsidR="006402DE" w:rsidRPr="00750D70">
        <w:rPr>
          <w:rFonts w:asciiTheme="minorHAnsi" w:hAnsiTheme="minorHAnsi" w:cstheme="minorHAnsi"/>
          <w:bCs/>
          <w:sz w:val="20"/>
          <w:highlight w:val="yellow"/>
        </w:rPr>
        <w:t xml:space="preserve">Contractor must allow the </w:t>
      </w:r>
      <w:r w:rsidR="00323CD0" w:rsidRPr="00750D70">
        <w:rPr>
          <w:rFonts w:asciiTheme="minorHAnsi" w:hAnsiTheme="minorHAnsi" w:cstheme="minorHAnsi"/>
          <w:bCs/>
          <w:sz w:val="20"/>
          <w:highlight w:val="yellow"/>
        </w:rPr>
        <w:t>JBE</w:t>
      </w:r>
      <w:r w:rsidR="006402DE" w:rsidRPr="00750D70">
        <w:rPr>
          <w:rFonts w:asciiTheme="minorHAnsi" w:hAnsiTheme="minorHAnsi" w:cstheme="minorHAnsi"/>
          <w:bCs/>
          <w:sz w:val="20"/>
          <w:highlight w:val="yellow"/>
        </w:rPr>
        <w:t xml:space="preserve"> or its designees to review and audit Contractor’s (and any subcontractors’) documents and records relating to this Agreement</w:t>
      </w:r>
      <w:r w:rsidR="00E902D5" w:rsidRPr="00750D70">
        <w:rPr>
          <w:sz w:val="20"/>
          <w:highlight w:val="yellow"/>
        </w:rPr>
        <w:t xml:space="preserve">, and Contractor (and its subcontractors) shall retain such documents and records for a period of four </w:t>
      </w:r>
      <w:r w:rsidR="00E94566" w:rsidRPr="00750D70">
        <w:rPr>
          <w:sz w:val="20"/>
          <w:highlight w:val="yellow"/>
        </w:rPr>
        <w:t xml:space="preserve">(4) </w:t>
      </w:r>
      <w:r w:rsidR="00E902D5" w:rsidRPr="00750D70">
        <w:rPr>
          <w:sz w:val="20"/>
          <w:highlight w:val="yellow"/>
        </w:rPr>
        <w:t>years following final payment under this Agreement</w:t>
      </w:r>
      <w:r w:rsidR="006402DE" w:rsidRPr="00750D70">
        <w:rPr>
          <w:rFonts w:asciiTheme="minorHAnsi" w:hAnsiTheme="minorHAnsi" w:cstheme="minorHAnsi"/>
          <w:bCs/>
          <w:sz w:val="20"/>
          <w:highlight w:val="yellow"/>
        </w:rPr>
        <w:t>. If an audit determines that C</w:t>
      </w:r>
      <w:r w:rsidR="00330891" w:rsidRPr="00750D70">
        <w:rPr>
          <w:rFonts w:asciiTheme="minorHAnsi" w:hAnsiTheme="minorHAnsi" w:cstheme="minorHAnsi"/>
          <w:bCs/>
          <w:sz w:val="20"/>
          <w:highlight w:val="yellow"/>
        </w:rPr>
        <w:t>ontractor (or any subcontractor</w:t>
      </w:r>
      <w:r w:rsidR="006402DE" w:rsidRPr="00750D70">
        <w:rPr>
          <w:rFonts w:asciiTheme="minorHAnsi" w:hAnsiTheme="minorHAnsi" w:cstheme="minorHAnsi"/>
          <w:bCs/>
          <w:sz w:val="20"/>
          <w:highlight w:val="yellow"/>
        </w:rPr>
        <w:t xml:space="preserve">) is not in compliance with this Agreement, Contractor shall correct errors and deficiencies by the </w:t>
      </w:r>
      <w:r w:rsidR="002A7674" w:rsidRPr="00750D70">
        <w:rPr>
          <w:rFonts w:asciiTheme="minorHAnsi" w:hAnsiTheme="minorHAnsi" w:cstheme="minorHAnsi"/>
          <w:bCs/>
          <w:sz w:val="20"/>
          <w:highlight w:val="yellow"/>
        </w:rPr>
        <w:t xml:space="preserve">twentieth </w:t>
      </w:r>
      <w:r w:rsidR="004D392D" w:rsidRPr="00750D70">
        <w:rPr>
          <w:rFonts w:asciiTheme="minorHAnsi" w:hAnsiTheme="minorHAnsi" w:cstheme="minorHAnsi"/>
          <w:bCs/>
          <w:sz w:val="20"/>
          <w:highlight w:val="yellow"/>
        </w:rPr>
        <w:t xml:space="preserve">(20th) </w:t>
      </w:r>
      <w:r w:rsidR="006402DE" w:rsidRPr="00750D70">
        <w:rPr>
          <w:rFonts w:asciiTheme="minorHAnsi" w:hAnsiTheme="minorHAnsi" w:cstheme="minorHAnsi"/>
          <w:bCs/>
          <w:sz w:val="20"/>
          <w:highlight w:val="yellow"/>
        </w:rPr>
        <w:t xml:space="preserve">day of the month following the review or audit. If an audit determines that Contractor has overcharged the </w:t>
      </w:r>
      <w:r w:rsidR="00323CD0" w:rsidRPr="00750D70">
        <w:rPr>
          <w:rFonts w:asciiTheme="minorHAnsi" w:hAnsiTheme="minorHAnsi" w:cstheme="minorHAnsi"/>
          <w:bCs/>
          <w:sz w:val="20"/>
          <w:highlight w:val="yellow"/>
        </w:rPr>
        <w:t>JBE</w:t>
      </w:r>
      <w:r w:rsidR="006402DE" w:rsidRPr="00750D70">
        <w:rPr>
          <w:rFonts w:asciiTheme="minorHAnsi" w:hAnsiTheme="minorHAnsi" w:cstheme="minorHAnsi"/>
          <w:bCs/>
          <w:sz w:val="20"/>
          <w:highlight w:val="yellow"/>
        </w:rPr>
        <w:t xml:space="preserve"> five percent (5%) or more during the time period subject to audit, Contractor must reimburse the </w:t>
      </w:r>
      <w:r w:rsidR="00323CD0" w:rsidRPr="00750D70">
        <w:rPr>
          <w:rFonts w:asciiTheme="minorHAnsi" w:hAnsiTheme="minorHAnsi" w:cstheme="minorHAnsi"/>
          <w:bCs/>
          <w:sz w:val="20"/>
          <w:highlight w:val="yellow"/>
        </w:rPr>
        <w:t>JBE</w:t>
      </w:r>
      <w:r w:rsidR="006402DE" w:rsidRPr="00750D70">
        <w:rPr>
          <w:rFonts w:asciiTheme="minorHAnsi" w:hAnsiTheme="minorHAnsi" w:cstheme="minorHAnsi"/>
          <w:bCs/>
          <w:sz w:val="20"/>
          <w:highlight w:val="yellow"/>
        </w:rPr>
        <w:t xml:space="preserve"> in an amount equal to the cost of such a</w:t>
      </w:r>
      <w:r w:rsidR="000D4419" w:rsidRPr="00750D70">
        <w:rPr>
          <w:rFonts w:asciiTheme="minorHAnsi" w:hAnsiTheme="minorHAnsi" w:cstheme="minorHAnsi"/>
          <w:bCs/>
          <w:sz w:val="20"/>
          <w:highlight w:val="yellow"/>
        </w:rPr>
        <w:t>udit.</w:t>
      </w:r>
      <w:r w:rsidR="006402DE" w:rsidRPr="00750D70">
        <w:rPr>
          <w:rFonts w:asciiTheme="minorHAnsi" w:hAnsiTheme="minorHAnsi" w:cstheme="minorHAnsi"/>
          <w:bCs/>
          <w:sz w:val="20"/>
          <w:highlight w:val="yellow"/>
        </w:rPr>
        <w:t xml:space="preserve"> This Agreement is subject to examinations and audit by the State Auditor for a period three </w:t>
      </w:r>
      <w:r w:rsidR="00E94566" w:rsidRPr="00750D70">
        <w:rPr>
          <w:rFonts w:asciiTheme="minorHAnsi" w:hAnsiTheme="minorHAnsi" w:cstheme="minorHAnsi"/>
          <w:bCs/>
          <w:sz w:val="20"/>
          <w:highlight w:val="yellow"/>
        </w:rPr>
        <w:t xml:space="preserve">(3) </w:t>
      </w:r>
      <w:r w:rsidR="006402DE" w:rsidRPr="00750D70">
        <w:rPr>
          <w:rFonts w:asciiTheme="minorHAnsi" w:hAnsiTheme="minorHAnsi" w:cstheme="minorHAnsi"/>
          <w:bCs/>
          <w:sz w:val="20"/>
          <w:highlight w:val="yellow"/>
        </w:rPr>
        <w:t>years after final payment.</w:t>
      </w:r>
      <w:r w:rsidR="004C02A0" w:rsidRPr="00750D70">
        <w:rPr>
          <w:rFonts w:asciiTheme="minorHAnsi" w:hAnsiTheme="minorHAnsi" w:cstheme="minorHAnsi"/>
          <w:bCs/>
          <w:sz w:val="20"/>
          <w:highlight w:val="yellow"/>
        </w:rPr>
        <w:t xml:space="preserve"> </w:t>
      </w:r>
    </w:p>
    <w:p w14:paraId="4A42E622" w14:textId="77777777" w:rsidR="00392AC3" w:rsidRPr="00750D70" w:rsidRDefault="00C73594" w:rsidP="00023CC5">
      <w:pPr>
        <w:numPr>
          <w:ilvl w:val="1"/>
          <w:numId w:val="26"/>
        </w:numPr>
        <w:spacing w:before="120" w:after="120"/>
        <w:rPr>
          <w:rFonts w:asciiTheme="minorHAnsi" w:hAnsiTheme="minorHAnsi" w:cstheme="minorHAnsi"/>
          <w:sz w:val="20"/>
          <w:highlight w:val="yellow"/>
          <w:u w:val="single"/>
        </w:rPr>
      </w:pPr>
      <w:r w:rsidRPr="00750D70">
        <w:rPr>
          <w:rFonts w:asciiTheme="minorHAnsi" w:hAnsiTheme="minorHAnsi" w:cstheme="minorHAnsi"/>
          <w:b/>
          <w:bCs/>
          <w:sz w:val="20"/>
          <w:highlight w:val="yellow"/>
        </w:rPr>
        <w:t>Licenses</w:t>
      </w:r>
      <w:r w:rsidR="000D4419" w:rsidRPr="00750D70">
        <w:rPr>
          <w:rFonts w:asciiTheme="minorHAnsi" w:hAnsiTheme="minorHAnsi" w:cstheme="minorHAnsi"/>
          <w:b/>
          <w:bCs/>
          <w:sz w:val="20"/>
          <w:highlight w:val="yellow"/>
        </w:rPr>
        <w:t xml:space="preserve"> and Permits</w:t>
      </w:r>
      <w:r w:rsidRPr="00750D70">
        <w:rPr>
          <w:rFonts w:asciiTheme="minorHAnsi" w:hAnsiTheme="minorHAnsi" w:cstheme="minorHAnsi"/>
          <w:b/>
          <w:bCs/>
          <w:sz w:val="20"/>
          <w:highlight w:val="yellow"/>
        </w:rPr>
        <w:t xml:space="preserve">.  </w:t>
      </w:r>
      <w:r w:rsidRPr="00750D70">
        <w:rPr>
          <w:rFonts w:asciiTheme="minorHAnsi" w:hAnsiTheme="minorHAnsi" w:cstheme="minorHAnsi"/>
          <w:bCs/>
          <w:sz w:val="20"/>
          <w:highlight w:val="yellow"/>
        </w:rPr>
        <w:t xml:space="preserve">Contractor shall obtain and keep current all necessary licenses, approvals, </w:t>
      </w:r>
      <w:proofErr w:type="gramStart"/>
      <w:r w:rsidRPr="00750D70">
        <w:rPr>
          <w:rFonts w:asciiTheme="minorHAnsi" w:hAnsiTheme="minorHAnsi" w:cstheme="minorHAnsi"/>
          <w:bCs/>
          <w:sz w:val="20"/>
          <w:highlight w:val="yellow"/>
        </w:rPr>
        <w:t>permits</w:t>
      </w:r>
      <w:proofErr w:type="gramEnd"/>
      <w:r w:rsidRPr="00750D70">
        <w:rPr>
          <w:rFonts w:asciiTheme="minorHAnsi" w:hAnsiTheme="minorHAnsi" w:cstheme="minorHAnsi"/>
          <w:bCs/>
          <w:sz w:val="20"/>
          <w:highlight w:val="yellow"/>
        </w:rPr>
        <w:t xml:space="preserve"> and authorizations required by applicable law for the performance of the Services or the delivery of the Goods.  Contractor will be responsible for all fees and taxes associated with obtaining such licenses, approvals, permits and authorizations, and for any fines and penalties arising from its noncompliance with any applicable law.  </w:t>
      </w:r>
    </w:p>
    <w:p w14:paraId="0383751B" w14:textId="77777777" w:rsidR="0029237A" w:rsidRPr="00750D70" w:rsidRDefault="0029237A" w:rsidP="00023CC5">
      <w:pPr>
        <w:numPr>
          <w:ilvl w:val="1"/>
          <w:numId w:val="26"/>
        </w:numPr>
        <w:spacing w:before="120" w:after="120"/>
        <w:rPr>
          <w:rFonts w:asciiTheme="minorHAnsi" w:hAnsiTheme="minorHAnsi" w:cstheme="minorHAnsi"/>
          <w:b/>
          <w:bCs/>
          <w:sz w:val="20"/>
          <w:highlight w:val="yellow"/>
        </w:rPr>
      </w:pPr>
      <w:r w:rsidRPr="00750D70">
        <w:rPr>
          <w:rFonts w:asciiTheme="minorHAnsi" w:hAnsiTheme="minorHAnsi" w:cstheme="minorHAnsi"/>
          <w:b/>
          <w:bCs/>
          <w:sz w:val="20"/>
          <w:highlight w:val="yellow"/>
        </w:rPr>
        <w:t xml:space="preserve">Confidential Information.  </w:t>
      </w:r>
      <w:r w:rsidRPr="00750D70">
        <w:rPr>
          <w:rFonts w:asciiTheme="minorHAnsi" w:hAnsiTheme="minorHAnsi" w:cstheme="minorHAnsi"/>
          <w:sz w:val="20"/>
          <w:highlight w:val="yellow"/>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750D70">
        <w:rPr>
          <w:rFonts w:asciiTheme="minorHAnsi" w:hAnsiTheme="minorHAnsi" w:cstheme="minorHAnsi"/>
          <w:sz w:val="20"/>
          <w:highlight w:val="yellow"/>
        </w:rPr>
        <w:t>JBE</w:t>
      </w:r>
      <w:r w:rsidRPr="00750D70">
        <w:rPr>
          <w:rFonts w:asciiTheme="minorHAnsi" w:hAnsiTheme="minorHAnsi" w:cstheme="minorHAnsi"/>
          <w:sz w:val="20"/>
          <w:highlight w:val="yellow"/>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750D70">
        <w:rPr>
          <w:rFonts w:asciiTheme="minorHAnsi" w:hAnsiTheme="minorHAnsi" w:cstheme="minorHAnsi"/>
          <w:sz w:val="20"/>
          <w:highlight w:val="yellow"/>
        </w:rPr>
        <w:t>JBE</w:t>
      </w:r>
      <w:r w:rsidRPr="00750D70">
        <w:rPr>
          <w:rFonts w:asciiTheme="minorHAnsi" w:hAnsiTheme="minorHAnsi" w:cstheme="minorHAnsi"/>
          <w:sz w:val="20"/>
          <w:highlight w:val="yellow"/>
        </w:rPr>
        <w:t xml:space="preserve"> owns all right, title and interest in the Confidential Information. Contractor will notify the </w:t>
      </w:r>
      <w:r w:rsidR="00323CD0" w:rsidRPr="00750D70">
        <w:rPr>
          <w:rFonts w:asciiTheme="minorHAnsi" w:hAnsiTheme="minorHAnsi" w:cstheme="minorHAnsi"/>
          <w:sz w:val="20"/>
          <w:highlight w:val="yellow"/>
        </w:rPr>
        <w:t>JBE</w:t>
      </w:r>
      <w:r w:rsidRPr="00750D70">
        <w:rPr>
          <w:rFonts w:asciiTheme="minorHAnsi" w:hAnsiTheme="minorHAnsi" w:cstheme="minorHAnsi"/>
          <w:sz w:val="20"/>
          <w:highlight w:val="yellow"/>
        </w:rPr>
        <w:t xml:space="preserve"> promptly upon learning of any unauthorized disclosure or use of Confidential Information and will cooperate fully with the </w:t>
      </w:r>
      <w:r w:rsidR="00323CD0" w:rsidRPr="00750D70">
        <w:rPr>
          <w:rFonts w:asciiTheme="minorHAnsi" w:hAnsiTheme="minorHAnsi" w:cstheme="minorHAnsi"/>
          <w:sz w:val="20"/>
          <w:highlight w:val="yellow"/>
        </w:rPr>
        <w:t>JBE</w:t>
      </w:r>
      <w:r w:rsidRPr="00750D70">
        <w:rPr>
          <w:rFonts w:asciiTheme="minorHAnsi" w:hAnsiTheme="minorHAnsi" w:cstheme="minorHAnsi"/>
          <w:sz w:val="20"/>
          <w:highlight w:val="yellow"/>
        </w:rPr>
        <w:t xml:space="preserve"> to protect such Confidential Information. </w:t>
      </w:r>
      <w:r w:rsidRPr="00750D70">
        <w:rPr>
          <w:sz w:val="20"/>
          <w:highlight w:val="yellow"/>
        </w:rPr>
        <w:t xml:space="preserve">Upon the </w:t>
      </w:r>
      <w:r w:rsidR="00323CD0" w:rsidRPr="00750D70">
        <w:rPr>
          <w:sz w:val="20"/>
          <w:highlight w:val="yellow"/>
        </w:rPr>
        <w:t>JBE</w:t>
      </w:r>
      <w:r w:rsidRPr="00750D70">
        <w:rPr>
          <w:sz w:val="20"/>
          <w:highlight w:val="yellow"/>
        </w:rPr>
        <w:t xml:space="preserve">’s request and upon any termination or expiration of this Agreement, Contractor will promptly (a) return to the </w:t>
      </w:r>
      <w:r w:rsidR="00323CD0" w:rsidRPr="00750D70">
        <w:rPr>
          <w:sz w:val="20"/>
          <w:highlight w:val="yellow"/>
        </w:rPr>
        <w:t>JBE</w:t>
      </w:r>
      <w:r w:rsidRPr="00750D70">
        <w:rPr>
          <w:sz w:val="20"/>
          <w:highlight w:val="yellow"/>
        </w:rPr>
        <w:t xml:space="preserve"> or, if </w:t>
      </w:r>
      <w:proofErr w:type="gramStart"/>
      <w:r w:rsidRPr="00750D70">
        <w:rPr>
          <w:sz w:val="20"/>
          <w:highlight w:val="yellow"/>
        </w:rPr>
        <w:t>so</w:t>
      </w:r>
      <w:proofErr w:type="gramEnd"/>
      <w:r w:rsidRPr="00750D70">
        <w:rPr>
          <w:sz w:val="20"/>
          <w:highlight w:val="yellow"/>
        </w:rPr>
        <w:t xml:space="preserve"> directed by the </w:t>
      </w:r>
      <w:r w:rsidR="00323CD0" w:rsidRPr="00750D70">
        <w:rPr>
          <w:sz w:val="20"/>
          <w:highlight w:val="yellow"/>
        </w:rPr>
        <w:t>JBE</w:t>
      </w:r>
      <w:r w:rsidRPr="00750D70">
        <w:rPr>
          <w:sz w:val="20"/>
          <w:highlight w:val="yellow"/>
        </w:rPr>
        <w:t xml:space="preserve">, destroy all Confidential Information (in every form and medium), and (b) certify to the </w:t>
      </w:r>
      <w:r w:rsidR="00323CD0" w:rsidRPr="00750D70">
        <w:rPr>
          <w:sz w:val="20"/>
          <w:highlight w:val="yellow"/>
        </w:rPr>
        <w:t>JBE</w:t>
      </w:r>
      <w:r w:rsidRPr="00750D70">
        <w:rPr>
          <w:sz w:val="20"/>
          <w:highlight w:val="yellow"/>
        </w:rPr>
        <w:t xml:space="preserve"> in writing that Contractor has fully complied with the foregoing obligations. </w:t>
      </w:r>
      <w:r w:rsidRPr="00750D70">
        <w:rPr>
          <w:rFonts w:asciiTheme="minorHAnsi" w:hAnsiTheme="minorHAnsi" w:cstheme="minorHAnsi"/>
          <w:sz w:val="20"/>
          <w:highlight w:val="yellow"/>
        </w:rPr>
        <w:t xml:space="preserve">Contractor acknowledges that there can be no adequate remedy at law for any breach of Contractor’s obligations under this section, that any such breach will likely </w:t>
      </w:r>
      <w:r w:rsidRPr="00750D70">
        <w:rPr>
          <w:rFonts w:asciiTheme="minorHAnsi" w:hAnsiTheme="minorHAnsi" w:cstheme="minorHAnsi"/>
          <w:sz w:val="20"/>
          <w:highlight w:val="yellow"/>
        </w:rPr>
        <w:lastRenderedPageBreak/>
        <w:t xml:space="preserve">result in irreparable harm, and that upon any breach or threatened breach of the confidentiality obligations, the </w:t>
      </w:r>
      <w:r w:rsidR="00323CD0" w:rsidRPr="00750D70">
        <w:rPr>
          <w:rFonts w:asciiTheme="minorHAnsi" w:hAnsiTheme="minorHAnsi" w:cstheme="minorHAnsi"/>
          <w:sz w:val="20"/>
          <w:highlight w:val="yellow"/>
        </w:rPr>
        <w:t>JBE</w:t>
      </w:r>
      <w:r w:rsidRPr="00750D70">
        <w:rPr>
          <w:rFonts w:asciiTheme="minorHAnsi" w:hAnsiTheme="minorHAnsi" w:cstheme="minorHAnsi"/>
          <w:sz w:val="20"/>
          <w:highlight w:val="yellow"/>
        </w:rPr>
        <w:t xml:space="preserve"> shall be entitled to appropriate equitable relief, without the requirement of posting a bond, in addition to its other remedies at law.</w:t>
      </w:r>
    </w:p>
    <w:p w14:paraId="65303C9C" w14:textId="77777777" w:rsidR="00B97478" w:rsidRPr="00750D70" w:rsidRDefault="00B97478"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 xml:space="preserve">Ownership of </w:t>
      </w:r>
      <w:r w:rsidR="006F4CE0" w:rsidRPr="00750D70">
        <w:rPr>
          <w:rFonts w:asciiTheme="minorHAnsi" w:hAnsiTheme="minorHAnsi" w:cstheme="minorHAnsi"/>
          <w:b/>
          <w:bCs/>
          <w:sz w:val="20"/>
          <w:highlight w:val="yellow"/>
        </w:rPr>
        <w:t>Deliverables</w:t>
      </w:r>
      <w:r w:rsidRPr="00750D70">
        <w:rPr>
          <w:rFonts w:asciiTheme="minorHAnsi" w:hAnsiTheme="minorHAnsi" w:cstheme="minorHAnsi"/>
          <w:b/>
          <w:bCs/>
          <w:sz w:val="20"/>
          <w:highlight w:val="yellow"/>
        </w:rPr>
        <w:t>.</w:t>
      </w:r>
      <w:r w:rsidRPr="00750D70">
        <w:rPr>
          <w:rFonts w:asciiTheme="minorHAnsi" w:hAnsiTheme="minorHAnsi" w:cstheme="minorHAnsi"/>
          <w:bCs/>
          <w:sz w:val="20"/>
          <w:highlight w:val="yellow"/>
        </w:rPr>
        <w:t xml:space="preserve">  </w:t>
      </w:r>
      <w:r w:rsidR="00E94566" w:rsidRPr="00750D70">
        <w:rPr>
          <w:rFonts w:asciiTheme="minorHAnsi" w:hAnsiTheme="minorHAnsi" w:cstheme="minorHAnsi"/>
          <w:bCs/>
          <w:sz w:val="20"/>
          <w:highlight w:val="yellow"/>
        </w:rPr>
        <w:t xml:space="preserve">Unless otherwise agreed in this Agreement, </w:t>
      </w:r>
      <w:r w:rsidRPr="00750D70">
        <w:rPr>
          <w:rFonts w:asciiTheme="minorHAnsi" w:hAnsiTheme="minorHAnsi" w:cstheme="minorHAnsi"/>
          <w:bCs/>
          <w:sz w:val="20"/>
          <w:highlight w:val="yellow"/>
        </w:rPr>
        <w:t xml:space="preserve">Contractor hereby assigns to the </w:t>
      </w:r>
      <w:r w:rsidR="00323CD0" w:rsidRPr="00750D70">
        <w:rPr>
          <w:rFonts w:asciiTheme="minorHAnsi" w:hAnsiTheme="minorHAnsi" w:cstheme="minorHAnsi"/>
          <w:bCs/>
          <w:sz w:val="20"/>
          <w:highlight w:val="yellow"/>
        </w:rPr>
        <w:t>JBE</w:t>
      </w:r>
      <w:r w:rsidRPr="00750D70">
        <w:rPr>
          <w:rFonts w:asciiTheme="minorHAnsi" w:hAnsiTheme="minorHAnsi" w:cstheme="minorHAnsi"/>
          <w:bCs/>
          <w:sz w:val="20"/>
          <w:highlight w:val="yellow"/>
        </w:rPr>
        <w:t xml:space="preserve"> ownership of all </w:t>
      </w:r>
      <w:r w:rsidR="006F4CE0" w:rsidRPr="00750D70">
        <w:rPr>
          <w:rFonts w:asciiTheme="minorHAnsi" w:hAnsiTheme="minorHAnsi" w:cstheme="minorHAnsi"/>
          <w:bCs/>
          <w:sz w:val="20"/>
          <w:highlight w:val="yellow"/>
        </w:rPr>
        <w:t>Deliverables</w:t>
      </w:r>
      <w:r w:rsidR="00AD3993" w:rsidRPr="00750D70">
        <w:rPr>
          <w:rFonts w:asciiTheme="minorHAnsi" w:hAnsiTheme="minorHAnsi" w:cstheme="minorHAnsi"/>
          <w:bCs/>
          <w:sz w:val="20"/>
          <w:highlight w:val="yellow"/>
        </w:rPr>
        <w:t xml:space="preserve">, any </w:t>
      </w:r>
      <w:proofErr w:type="gramStart"/>
      <w:r w:rsidR="00AD3993" w:rsidRPr="00750D70">
        <w:rPr>
          <w:rFonts w:asciiTheme="minorHAnsi" w:hAnsiTheme="minorHAnsi" w:cstheme="minorHAnsi"/>
          <w:bCs/>
          <w:sz w:val="20"/>
          <w:highlight w:val="yellow"/>
        </w:rPr>
        <w:t>partially-completed</w:t>
      </w:r>
      <w:proofErr w:type="gramEnd"/>
      <w:r w:rsidR="00AD3993" w:rsidRPr="00750D70">
        <w:rPr>
          <w:rFonts w:asciiTheme="minorHAnsi" w:hAnsiTheme="minorHAnsi" w:cstheme="minorHAnsi"/>
          <w:bCs/>
          <w:sz w:val="20"/>
          <w:highlight w:val="yellow"/>
        </w:rPr>
        <w:t xml:space="preserve"> Deliverables, and related work product or materials</w:t>
      </w:r>
      <w:r w:rsidRPr="00750D70">
        <w:rPr>
          <w:rFonts w:asciiTheme="minorHAnsi" w:hAnsiTheme="minorHAnsi" w:cstheme="minorHAnsi"/>
          <w:bCs/>
          <w:sz w:val="20"/>
          <w:highlight w:val="yellow"/>
        </w:rPr>
        <w:t>.  Contractor agrees not to assert any rights at common law</w:t>
      </w:r>
      <w:r w:rsidR="007E2102" w:rsidRPr="00750D70">
        <w:rPr>
          <w:rFonts w:asciiTheme="minorHAnsi" w:hAnsiTheme="minorHAnsi" w:cstheme="minorHAnsi"/>
          <w:bCs/>
          <w:sz w:val="20"/>
          <w:highlight w:val="yellow"/>
        </w:rPr>
        <w:t>, or in equity, or establish a copyright</w:t>
      </w:r>
      <w:r w:rsidRPr="00750D70">
        <w:rPr>
          <w:rFonts w:asciiTheme="minorHAnsi" w:hAnsiTheme="minorHAnsi" w:cstheme="minorHAnsi"/>
          <w:bCs/>
          <w:sz w:val="20"/>
          <w:highlight w:val="yellow"/>
        </w:rPr>
        <w:t xml:space="preserve"> claim in any</w:t>
      </w:r>
      <w:r w:rsidR="007E2102" w:rsidRPr="00750D70">
        <w:rPr>
          <w:rFonts w:asciiTheme="minorHAnsi" w:hAnsiTheme="minorHAnsi" w:cstheme="minorHAnsi"/>
          <w:bCs/>
          <w:sz w:val="20"/>
          <w:highlight w:val="yellow"/>
        </w:rPr>
        <w:t xml:space="preserve"> of</w:t>
      </w:r>
      <w:r w:rsidRPr="00750D70">
        <w:rPr>
          <w:rFonts w:asciiTheme="minorHAnsi" w:hAnsiTheme="minorHAnsi" w:cstheme="minorHAnsi"/>
          <w:bCs/>
          <w:sz w:val="20"/>
          <w:highlight w:val="yellow"/>
        </w:rPr>
        <w:t xml:space="preserve"> </w:t>
      </w:r>
      <w:r w:rsidR="00373948" w:rsidRPr="00750D70">
        <w:rPr>
          <w:rFonts w:asciiTheme="minorHAnsi" w:hAnsiTheme="minorHAnsi" w:cstheme="minorHAnsi"/>
          <w:bCs/>
          <w:sz w:val="20"/>
          <w:highlight w:val="yellow"/>
        </w:rPr>
        <w:t>these materials</w:t>
      </w:r>
      <w:r w:rsidRPr="00750D70">
        <w:rPr>
          <w:rFonts w:asciiTheme="minorHAnsi" w:hAnsiTheme="minorHAnsi" w:cstheme="minorHAnsi"/>
          <w:bCs/>
          <w:sz w:val="20"/>
          <w:highlight w:val="yellow"/>
        </w:rPr>
        <w:t xml:space="preserve">.  Contractor shall not publish or reproduce </w:t>
      </w:r>
      <w:r w:rsidR="005C3491" w:rsidRPr="00750D70">
        <w:rPr>
          <w:rFonts w:asciiTheme="minorHAnsi" w:hAnsiTheme="minorHAnsi" w:cstheme="minorHAnsi"/>
          <w:bCs/>
          <w:sz w:val="20"/>
          <w:highlight w:val="yellow"/>
        </w:rPr>
        <w:t>any Deliverable in whole or part, in</w:t>
      </w:r>
      <w:r w:rsidRPr="00750D70">
        <w:rPr>
          <w:rFonts w:asciiTheme="minorHAnsi" w:hAnsiTheme="minorHAnsi" w:cstheme="minorHAnsi"/>
          <w:bCs/>
          <w:sz w:val="20"/>
          <w:highlight w:val="yellow"/>
        </w:rPr>
        <w:t xml:space="preserve"> any manner or form, or authorize others to do so, without the written consent of the </w:t>
      </w:r>
      <w:r w:rsidR="00323CD0" w:rsidRPr="00750D70">
        <w:rPr>
          <w:rFonts w:asciiTheme="minorHAnsi" w:hAnsiTheme="minorHAnsi" w:cstheme="minorHAnsi"/>
          <w:bCs/>
          <w:sz w:val="20"/>
          <w:highlight w:val="yellow"/>
        </w:rPr>
        <w:t>JBE</w:t>
      </w:r>
      <w:r w:rsidRPr="00750D70">
        <w:rPr>
          <w:rFonts w:asciiTheme="minorHAnsi" w:hAnsiTheme="minorHAnsi" w:cstheme="minorHAnsi"/>
          <w:bCs/>
          <w:sz w:val="20"/>
          <w:highlight w:val="yellow"/>
        </w:rPr>
        <w:t>.</w:t>
      </w:r>
    </w:p>
    <w:p w14:paraId="06922888" w14:textId="77777777" w:rsidR="00535786" w:rsidRPr="00750D70" w:rsidRDefault="00437785" w:rsidP="00023CC5">
      <w:pPr>
        <w:numPr>
          <w:ilvl w:val="1"/>
          <w:numId w:val="26"/>
        </w:numPr>
        <w:spacing w:before="120" w:after="120"/>
        <w:rPr>
          <w:rFonts w:asciiTheme="minorHAnsi" w:hAnsiTheme="minorHAnsi" w:cstheme="minorHAnsi"/>
          <w:b/>
          <w:bCs/>
          <w:sz w:val="20"/>
          <w:highlight w:val="yellow"/>
        </w:rPr>
      </w:pPr>
      <w:r w:rsidRPr="00750D70">
        <w:rPr>
          <w:rFonts w:asciiTheme="minorHAnsi" w:hAnsiTheme="minorHAnsi" w:cstheme="minorHAnsi"/>
          <w:b/>
          <w:bCs/>
          <w:sz w:val="20"/>
          <w:highlight w:val="yellow"/>
        </w:rPr>
        <w:t>Publicity.</w:t>
      </w:r>
      <w:r w:rsidR="002A4A2F" w:rsidRPr="00750D70">
        <w:rPr>
          <w:rFonts w:asciiTheme="minorHAnsi" w:hAnsiTheme="minorHAnsi" w:cstheme="minorHAnsi"/>
          <w:b/>
          <w:bCs/>
          <w:sz w:val="20"/>
          <w:highlight w:val="yellow"/>
        </w:rPr>
        <w:t xml:space="preserve">  </w:t>
      </w:r>
      <w:r w:rsidR="0029237A" w:rsidRPr="00750D70">
        <w:rPr>
          <w:rFonts w:asciiTheme="minorHAnsi" w:hAnsiTheme="minorHAnsi" w:cstheme="minorHAnsi"/>
          <w:sz w:val="20"/>
          <w:highlight w:val="yellow"/>
        </w:rPr>
        <w:t xml:space="preserve">Contractor shall not make any public announcement or press release about this Agreement without the prior written approval of the </w:t>
      </w:r>
      <w:r w:rsidR="00323CD0" w:rsidRPr="00750D70">
        <w:rPr>
          <w:rFonts w:asciiTheme="minorHAnsi" w:hAnsiTheme="minorHAnsi" w:cstheme="minorHAnsi"/>
          <w:sz w:val="20"/>
          <w:highlight w:val="yellow"/>
        </w:rPr>
        <w:t>JBE</w:t>
      </w:r>
      <w:r w:rsidR="0029237A" w:rsidRPr="00750D70">
        <w:rPr>
          <w:rFonts w:asciiTheme="minorHAnsi" w:hAnsiTheme="minorHAnsi" w:cstheme="minorHAnsi"/>
          <w:sz w:val="20"/>
          <w:highlight w:val="yellow"/>
        </w:rPr>
        <w:t>.</w:t>
      </w:r>
    </w:p>
    <w:p w14:paraId="3029A68D" w14:textId="77777777" w:rsidR="00535786" w:rsidRPr="00750D70" w:rsidRDefault="00437785" w:rsidP="00023CC5">
      <w:pPr>
        <w:numPr>
          <w:ilvl w:val="1"/>
          <w:numId w:val="26"/>
        </w:numPr>
        <w:spacing w:before="120" w:after="120"/>
        <w:rPr>
          <w:rFonts w:asciiTheme="minorHAnsi" w:hAnsiTheme="minorHAnsi" w:cstheme="minorHAnsi"/>
          <w:b/>
          <w:bCs/>
          <w:sz w:val="20"/>
          <w:highlight w:val="yellow"/>
        </w:rPr>
      </w:pPr>
      <w:r w:rsidRPr="00750D70">
        <w:rPr>
          <w:rFonts w:asciiTheme="minorHAnsi" w:hAnsiTheme="minorHAnsi" w:cstheme="minorHAnsi"/>
          <w:b/>
          <w:bCs/>
          <w:sz w:val="20"/>
          <w:highlight w:val="yellow"/>
        </w:rPr>
        <w:t>Choice of Law</w:t>
      </w:r>
      <w:r w:rsidR="00201BC4" w:rsidRPr="00750D70">
        <w:rPr>
          <w:rFonts w:asciiTheme="minorHAnsi" w:hAnsiTheme="minorHAnsi" w:cstheme="minorHAnsi"/>
          <w:b/>
          <w:bCs/>
          <w:sz w:val="20"/>
          <w:highlight w:val="yellow"/>
        </w:rPr>
        <w:t xml:space="preserve"> and Jurisdiction</w:t>
      </w:r>
      <w:r w:rsidRPr="00750D70">
        <w:rPr>
          <w:rFonts w:asciiTheme="minorHAnsi" w:hAnsiTheme="minorHAnsi" w:cstheme="minorHAnsi"/>
          <w:b/>
          <w:bCs/>
          <w:sz w:val="20"/>
          <w:highlight w:val="yellow"/>
        </w:rPr>
        <w:t xml:space="preserve">. </w:t>
      </w:r>
      <w:r w:rsidRPr="00750D70">
        <w:rPr>
          <w:rFonts w:asciiTheme="minorHAnsi" w:hAnsiTheme="minorHAnsi" w:cstheme="minorHAnsi"/>
          <w:bCs/>
          <w:sz w:val="20"/>
          <w:highlight w:val="yellow"/>
        </w:rPr>
        <w:t>California law, without regard to its choice-of-law provisions, governs this Agreement.</w:t>
      </w:r>
      <w:r w:rsidR="00AE6F08" w:rsidRPr="00750D70">
        <w:rPr>
          <w:rFonts w:asciiTheme="minorHAnsi" w:hAnsiTheme="minorHAnsi" w:cstheme="minorHAnsi"/>
          <w:bCs/>
          <w:sz w:val="20"/>
          <w:highlight w:val="yellow"/>
        </w:rPr>
        <w:t xml:space="preserve"> </w:t>
      </w:r>
      <w:r w:rsidR="000E4F9D" w:rsidRPr="00750D70">
        <w:rPr>
          <w:rFonts w:asciiTheme="minorHAnsi" w:hAnsiTheme="minorHAnsi" w:cstheme="minorHAnsi"/>
          <w:sz w:val="20"/>
          <w:highlight w:val="yellow"/>
        </w:rPr>
        <w:t xml:space="preserve">The parties shall attempt in good faith to resolve informally and promptly any dispute that arises under this Agreement. </w:t>
      </w:r>
      <w:r w:rsidR="00022B43" w:rsidRPr="00750D70">
        <w:rPr>
          <w:rFonts w:asciiTheme="minorHAnsi" w:hAnsiTheme="minorHAnsi" w:cstheme="minorHAnsi"/>
          <w:color w:val="000000" w:themeColor="text1"/>
          <w:sz w:val="20"/>
          <w:highlight w:val="yellow"/>
        </w:rPr>
        <w:t xml:space="preserve">Jurisdiction for any </w:t>
      </w:r>
      <w:r w:rsidR="000E4F9D" w:rsidRPr="00750D70">
        <w:rPr>
          <w:rFonts w:asciiTheme="minorHAnsi" w:hAnsiTheme="minorHAnsi" w:cstheme="minorHAnsi"/>
          <w:color w:val="000000" w:themeColor="text1"/>
          <w:sz w:val="20"/>
          <w:highlight w:val="yellow"/>
        </w:rPr>
        <w:t>legal action arising from this A</w:t>
      </w:r>
      <w:r w:rsidR="00022B43" w:rsidRPr="00750D70">
        <w:rPr>
          <w:rFonts w:asciiTheme="minorHAnsi" w:hAnsiTheme="minorHAnsi" w:cstheme="minorHAnsi"/>
          <w:color w:val="000000" w:themeColor="text1"/>
          <w:sz w:val="20"/>
          <w:highlight w:val="yellow"/>
        </w:rPr>
        <w:t>greement shall exclusively reside in state or federal courts located in California, and the parties hereby consent to the jurisdiction of such courts.</w:t>
      </w:r>
      <w:r w:rsidR="00022B43" w:rsidRPr="00750D70" w:rsidDel="00022B43">
        <w:rPr>
          <w:rFonts w:asciiTheme="minorHAnsi" w:hAnsiTheme="minorHAnsi" w:cstheme="minorHAnsi"/>
          <w:bCs/>
          <w:sz w:val="20"/>
          <w:highlight w:val="yellow"/>
        </w:rPr>
        <w:t xml:space="preserve"> </w:t>
      </w:r>
      <w:r w:rsidR="00392AC3" w:rsidRPr="00750D70">
        <w:rPr>
          <w:rFonts w:asciiTheme="minorHAnsi" w:hAnsiTheme="minorHAnsi" w:cstheme="minorHAnsi"/>
          <w:bCs/>
          <w:sz w:val="20"/>
          <w:highlight w:val="yellow"/>
        </w:rPr>
        <w:t xml:space="preserve"> </w:t>
      </w:r>
    </w:p>
    <w:p w14:paraId="48E72B17" w14:textId="77777777" w:rsidR="00535786" w:rsidRPr="00750D70" w:rsidRDefault="00DC5733"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Negotiated</w:t>
      </w:r>
      <w:r w:rsidR="00437785" w:rsidRPr="00750D70">
        <w:rPr>
          <w:rFonts w:asciiTheme="minorHAnsi" w:hAnsiTheme="minorHAnsi" w:cstheme="minorHAnsi"/>
          <w:b/>
          <w:bCs/>
          <w:sz w:val="20"/>
          <w:highlight w:val="yellow"/>
        </w:rPr>
        <w:t xml:space="preserve"> Agreement.</w:t>
      </w:r>
      <w:r w:rsidR="00437785" w:rsidRPr="00750D70">
        <w:rPr>
          <w:rFonts w:asciiTheme="minorHAnsi" w:hAnsiTheme="minorHAnsi" w:cstheme="minorHAnsi"/>
          <w:bCs/>
          <w:sz w:val="20"/>
          <w:highlight w:val="yellow"/>
        </w:rPr>
        <w:t xml:space="preserve"> This Agreement has been arrived at through negotiation between the parties. Neither party is the party that prepared this Agreement for purposes of construing this Agreeme</w:t>
      </w:r>
      <w:r w:rsidR="00C63FEB" w:rsidRPr="00750D70">
        <w:rPr>
          <w:rFonts w:asciiTheme="minorHAnsi" w:hAnsiTheme="minorHAnsi" w:cstheme="minorHAnsi"/>
          <w:bCs/>
          <w:sz w:val="20"/>
          <w:highlight w:val="yellow"/>
        </w:rPr>
        <w:t xml:space="preserve">nt under California Civil Code section </w:t>
      </w:r>
      <w:r w:rsidR="00437785" w:rsidRPr="00750D70">
        <w:rPr>
          <w:rFonts w:asciiTheme="minorHAnsi" w:hAnsiTheme="minorHAnsi" w:cstheme="minorHAnsi"/>
          <w:bCs/>
          <w:sz w:val="20"/>
          <w:highlight w:val="yellow"/>
        </w:rPr>
        <w:t>1654.</w:t>
      </w:r>
    </w:p>
    <w:p w14:paraId="676CF036" w14:textId="77777777" w:rsidR="00B815DA" w:rsidRPr="00750D70" w:rsidRDefault="00437785"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Amendment and Waiver.</w:t>
      </w:r>
      <w:r w:rsidRPr="00750D70">
        <w:rPr>
          <w:rFonts w:asciiTheme="minorHAnsi" w:hAnsiTheme="minorHAnsi" w:cstheme="minorHAnsi"/>
          <w:bCs/>
          <w:sz w:val="20"/>
          <w:highlight w:val="yellow"/>
        </w:rPr>
        <w:t xml:space="preserve"> </w:t>
      </w:r>
      <w:r w:rsidR="000648D9" w:rsidRPr="00750D70">
        <w:rPr>
          <w:rFonts w:asciiTheme="minorHAnsi" w:hAnsiTheme="minorHAnsi" w:cstheme="minorHAnsi"/>
          <w:bCs/>
          <w:sz w:val="20"/>
          <w:highlight w:val="yellow"/>
        </w:rPr>
        <w:t xml:space="preserve">Except as otherwise specified in this Agreement, no amendment or change to this Agreement will be effective unless </w:t>
      </w:r>
      <w:r w:rsidR="00BC3F04" w:rsidRPr="00750D70">
        <w:rPr>
          <w:sz w:val="20"/>
          <w:highlight w:val="yellow"/>
        </w:rPr>
        <w:t xml:space="preserve">expressly agreed in writing by a duly authorized officer of the </w:t>
      </w:r>
      <w:r w:rsidR="00323CD0" w:rsidRPr="00750D70">
        <w:rPr>
          <w:sz w:val="20"/>
          <w:highlight w:val="yellow"/>
        </w:rPr>
        <w:t>JBE</w:t>
      </w:r>
      <w:r w:rsidR="00BC3F04" w:rsidRPr="00750D70">
        <w:rPr>
          <w:sz w:val="20"/>
          <w:highlight w:val="yellow"/>
        </w:rPr>
        <w:t xml:space="preserve">.  </w:t>
      </w:r>
      <w:r w:rsidR="00E91D4B" w:rsidRPr="00750D70">
        <w:rPr>
          <w:rFonts w:asciiTheme="minorHAnsi" w:hAnsiTheme="minorHAnsi" w:cstheme="minorHAnsi"/>
          <w:bCs/>
          <w:sz w:val="20"/>
          <w:highlight w:val="yellow"/>
        </w:rPr>
        <w:t xml:space="preserve">A </w:t>
      </w:r>
      <w:r w:rsidR="0009413B" w:rsidRPr="00750D70">
        <w:rPr>
          <w:rFonts w:asciiTheme="minorHAnsi" w:hAnsiTheme="minorHAnsi" w:cstheme="minorHAnsi"/>
          <w:bCs/>
          <w:sz w:val="20"/>
          <w:highlight w:val="yellow"/>
        </w:rPr>
        <w:t xml:space="preserve">waiver of enforcement of any of this Agreement’s terms or conditions </w:t>
      </w:r>
      <w:r w:rsidR="00BC3F04" w:rsidRPr="00750D70">
        <w:rPr>
          <w:rFonts w:asciiTheme="minorHAnsi" w:hAnsiTheme="minorHAnsi" w:cstheme="minorHAnsi"/>
          <w:bCs/>
          <w:sz w:val="20"/>
          <w:highlight w:val="yellow"/>
        </w:rPr>
        <w:t xml:space="preserve">by the </w:t>
      </w:r>
      <w:r w:rsidR="00323CD0" w:rsidRPr="00750D70">
        <w:rPr>
          <w:rFonts w:asciiTheme="minorHAnsi" w:hAnsiTheme="minorHAnsi" w:cstheme="minorHAnsi"/>
          <w:bCs/>
          <w:sz w:val="20"/>
          <w:highlight w:val="yellow"/>
        </w:rPr>
        <w:t>JBE</w:t>
      </w:r>
      <w:r w:rsidR="00BC3F04" w:rsidRPr="00750D70">
        <w:rPr>
          <w:rFonts w:asciiTheme="minorHAnsi" w:hAnsiTheme="minorHAnsi" w:cstheme="minorHAnsi"/>
          <w:bCs/>
          <w:sz w:val="20"/>
          <w:highlight w:val="yellow"/>
        </w:rPr>
        <w:t xml:space="preserve"> </w:t>
      </w:r>
      <w:r w:rsidR="0009413B" w:rsidRPr="00750D70">
        <w:rPr>
          <w:rFonts w:asciiTheme="minorHAnsi" w:hAnsiTheme="minorHAnsi" w:cstheme="minorHAnsi"/>
          <w:bCs/>
          <w:sz w:val="20"/>
          <w:highlight w:val="yellow"/>
        </w:rPr>
        <w:t xml:space="preserve">is effective only if </w:t>
      </w:r>
      <w:r w:rsidR="00BC3F04" w:rsidRPr="00750D70">
        <w:rPr>
          <w:sz w:val="20"/>
          <w:highlight w:val="yellow"/>
        </w:rPr>
        <w:t xml:space="preserve">expressly agreed in writing by a duly authorized officer of the </w:t>
      </w:r>
      <w:r w:rsidR="00323CD0" w:rsidRPr="00750D70">
        <w:rPr>
          <w:sz w:val="20"/>
          <w:highlight w:val="yellow"/>
        </w:rPr>
        <w:t>JBE</w:t>
      </w:r>
      <w:r w:rsidR="0009413B" w:rsidRPr="00750D70">
        <w:rPr>
          <w:rFonts w:asciiTheme="minorHAnsi" w:hAnsiTheme="minorHAnsi" w:cstheme="minorHAnsi"/>
          <w:bCs/>
          <w:sz w:val="20"/>
          <w:highlight w:val="yellow"/>
        </w:rPr>
        <w:t>. Any waiver or failure to enforce any provision of this Agreement on one occasion will not be deemed a waiver of any other provision or of such provision on any other occasion.</w:t>
      </w:r>
      <w:r w:rsidR="00BC3F04" w:rsidRPr="00750D70">
        <w:rPr>
          <w:rFonts w:asciiTheme="minorHAnsi" w:hAnsiTheme="minorHAnsi" w:cstheme="minorHAnsi"/>
          <w:bCs/>
          <w:sz w:val="20"/>
          <w:highlight w:val="yellow"/>
        </w:rPr>
        <w:t xml:space="preserve"> </w:t>
      </w:r>
    </w:p>
    <w:p w14:paraId="5948462B" w14:textId="77777777" w:rsidR="00A61016" w:rsidRPr="00750D70" w:rsidRDefault="00B815DA"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 xml:space="preserve">Force Majeure. </w:t>
      </w:r>
      <w:r w:rsidRPr="00750D70">
        <w:rPr>
          <w:rFonts w:asciiTheme="minorHAnsi" w:hAnsiTheme="minorHAnsi" w:cstheme="minorHAnsi"/>
          <w:bCs/>
          <w:sz w:val="20"/>
          <w:highlight w:val="yellow"/>
        </w:rPr>
        <w:t>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77777777" w:rsidR="00535786" w:rsidRPr="00750D70" w:rsidRDefault="00A61016"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Follow-On Contracting.</w:t>
      </w:r>
      <w:r w:rsidRPr="00750D70">
        <w:rPr>
          <w:rFonts w:asciiTheme="minorHAnsi" w:hAnsiTheme="minorHAnsi" w:cstheme="minorHAnsi"/>
          <w:bCs/>
          <w:sz w:val="20"/>
          <w:highlight w:val="yellow"/>
        </w:rPr>
        <w:t xml:space="preserve"> No person, firm, or </w:t>
      </w:r>
      <w:commentRangeStart w:id="7"/>
      <w:r w:rsidRPr="00750D70">
        <w:rPr>
          <w:rFonts w:asciiTheme="minorHAnsi" w:hAnsiTheme="minorHAnsi" w:cstheme="minorHAnsi"/>
          <w:bCs/>
          <w:sz w:val="20"/>
          <w:highlight w:val="yellow"/>
        </w:rPr>
        <w:t>subsidiary</w:t>
      </w:r>
      <w:commentRangeEnd w:id="7"/>
      <w:r w:rsidR="00750D70">
        <w:rPr>
          <w:rStyle w:val="CommentReference"/>
        </w:rPr>
        <w:commentReference w:id="7"/>
      </w:r>
      <w:r w:rsidRPr="00750D70">
        <w:rPr>
          <w:rFonts w:asciiTheme="minorHAnsi" w:hAnsiTheme="minorHAnsi" w:cstheme="minorHAnsi"/>
          <w:bCs/>
          <w:sz w:val="20"/>
          <w:highlight w:val="yellow"/>
        </w:rPr>
        <w:t xml:space="preserve">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750D70">
        <w:rPr>
          <w:rFonts w:asciiTheme="minorHAnsi" w:hAnsiTheme="minorHAnsi" w:cstheme="minorHAnsi"/>
          <w:bCs/>
          <w:sz w:val="20"/>
          <w:highlight w:val="yellow"/>
        </w:rPr>
        <w:t xml:space="preserve"> </w:t>
      </w:r>
    </w:p>
    <w:p w14:paraId="023BE12B" w14:textId="77777777" w:rsidR="00535786" w:rsidRPr="00750D70" w:rsidRDefault="00437785"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Severability.</w:t>
      </w:r>
      <w:r w:rsidRPr="00750D70">
        <w:rPr>
          <w:rFonts w:asciiTheme="minorHAnsi" w:hAnsiTheme="minorHAnsi" w:cstheme="minorHAnsi"/>
          <w:bCs/>
          <w:sz w:val="20"/>
          <w:highlight w:val="yellow"/>
        </w:rPr>
        <w:t xml:space="preserve"> If any part of this Agreement is held unenforceable, all other parts remain enforceable.</w:t>
      </w:r>
    </w:p>
    <w:p w14:paraId="4E39CE3E" w14:textId="77777777" w:rsidR="00535786" w:rsidRPr="00750D70" w:rsidRDefault="00437785"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Headings</w:t>
      </w:r>
      <w:r w:rsidR="004C02A0" w:rsidRPr="00750D70">
        <w:rPr>
          <w:rFonts w:asciiTheme="minorHAnsi" w:hAnsiTheme="minorHAnsi" w:cstheme="minorHAnsi"/>
          <w:b/>
          <w:bCs/>
          <w:sz w:val="20"/>
          <w:highlight w:val="yellow"/>
        </w:rPr>
        <w:t>; Interpretation</w:t>
      </w:r>
      <w:r w:rsidRPr="00750D70">
        <w:rPr>
          <w:rFonts w:asciiTheme="minorHAnsi" w:hAnsiTheme="minorHAnsi" w:cstheme="minorHAnsi"/>
          <w:b/>
          <w:bCs/>
          <w:sz w:val="20"/>
          <w:highlight w:val="yellow"/>
        </w:rPr>
        <w:t xml:space="preserve">. </w:t>
      </w:r>
      <w:r w:rsidRPr="00750D70">
        <w:rPr>
          <w:rFonts w:asciiTheme="minorHAnsi" w:hAnsiTheme="minorHAnsi" w:cstheme="minorHAnsi"/>
          <w:bCs/>
          <w:sz w:val="20"/>
          <w:highlight w:val="yellow"/>
        </w:rPr>
        <w:t>All headings are for reference purposes only and do not affect the interpretation of this Agreement.</w:t>
      </w:r>
      <w:r w:rsidR="004C02A0" w:rsidRPr="00750D70">
        <w:rPr>
          <w:rFonts w:asciiTheme="minorHAnsi" w:hAnsiTheme="minorHAnsi" w:cstheme="minorHAnsi"/>
          <w:bCs/>
          <w:sz w:val="20"/>
          <w:highlight w:val="yellow"/>
        </w:rPr>
        <w:t xml:space="preserve"> The word “including” means “including, without limitation.” Unless specifically stated to the contrary, all references to days herein shall be deemed to refer to calendar days.</w:t>
      </w:r>
    </w:p>
    <w:p w14:paraId="1AA9ED08" w14:textId="77777777" w:rsidR="00535786" w:rsidRPr="00750D70" w:rsidRDefault="00437785"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 xml:space="preserve">Time of the Essence. </w:t>
      </w:r>
      <w:r w:rsidRPr="00750D70">
        <w:rPr>
          <w:rFonts w:asciiTheme="minorHAnsi" w:hAnsiTheme="minorHAnsi" w:cstheme="minorHAnsi"/>
          <w:bCs/>
          <w:sz w:val="20"/>
          <w:highlight w:val="yellow"/>
        </w:rPr>
        <w:t xml:space="preserve">Time is of the essence </w:t>
      </w:r>
      <w:r w:rsidR="00111C4D" w:rsidRPr="00750D70">
        <w:rPr>
          <w:rFonts w:asciiTheme="minorHAnsi" w:hAnsiTheme="minorHAnsi" w:cstheme="minorHAnsi"/>
          <w:bCs/>
          <w:sz w:val="20"/>
          <w:highlight w:val="yellow"/>
        </w:rPr>
        <w:t>in</w:t>
      </w:r>
      <w:r w:rsidRPr="00750D70">
        <w:rPr>
          <w:rFonts w:asciiTheme="minorHAnsi" w:hAnsiTheme="minorHAnsi" w:cstheme="minorHAnsi"/>
          <w:bCs/>
          <w:sz w:val="20"/>
          <w:highlight w:val="yellow"/>
        </w:rPr>
        <w:t xml:space="preserve"> </w:t>
      </w:r>
      <w:r w:rsidR="00445058" w:rsidRPr="00750D70">
        <w:rPr>
          <w:rFonts w:asciiTheme="minorHAnsi" w:hAnsiTheme="minorHAnsi" w:cstheme="minorHAnsi"/>
          <w:bCs/>
          <w:sz w:val="20"/>
          <w:highlight w:val="yellow"/>
        </w:rPr>
        <w:t>Contractor</w:t>
      </w:r>
      <w:r w:rsidRPr="00750D70">
        <w:rPr>
          <w:rFonts w:asciiTheme="minorHAnsi" w:hAnsiTheme="minorHAnsi" w:cstheme="minorHAnsi"/>
          <w:bCs/>
          <w:sz w:val="20"/>
          <w:highlight w:val="yellow"/>
        </w:rPr>
        <w:t xml:space="preserve">’s performance under this Agreement. </w:t>
      </w:r>
    </w:p>
    <w:p w14:paraId="03F7017C" w14:textId="77777777" w:rsidR="00A46FBE" w:rsidRPr="00750D70" w:rsidRDefault="00437785" w:rsidP="00023CC5">
      <w:pPr>
        <w:numPr>
          <w:ilvl w:val="1"/>
          <w:numId w:val="26"/>
        </w:numPr>
        <w:spacing w:before="120" w:after="120"/>
        <w:rPr>
          <w:rFonts w:asciiTheme="minorHAnsi" w:hAnsiTheme="minorHAnsi" w:cstheme="minorHAnsi"/>
          <w:bCs/>
          <w:sz w:val="20"/>
          <w:highlight w:val="yellow"/>
        </w:rPr>
      </w:pPr>
      <w:r w:rsidRPr="00750D70">
        <w:rPr>
          <w:rFonts w:asciiTheme="minorHAnsi" w:hAnsiTheme="minorHAnsi" w:cstheme="minorHAnsi"/>
          <w:b/>
          <w:bCs/>
          <w:sz w:val="20"/>
          <w:highlight w:val="yellow"/>
        </w:rPr>
        <w:t xml:space="preserve">Counterparts. </w:t>
      </w:r>
      <w:r w:rsidRPr="00750D70">
        <w:rPr>
          <w:rFonts w:asciiTheme="minorHAnsi" w:hAnsiTheme="minorHAnsi" w:cstheme="minorHAnsi"/>
          <w:bCs/>
          <w:sz w:val="20"/>
          <w:highlight w:val="yellow"/>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2"/>
          <w:footerReference w:type="first" r:id="rId23"/>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w:t>
      </w:r>
      <w:proofErr w:type="gramStart"/>
      <w:r w:rsidRPr="008D1584">
        <w:rPr>
          <w:rFonts w:asciiTheme="minorHAnsi" w:hAnsiTheme="minorHAnsi" w:cstheme="minorHAnsi"/>
          <w:sz w:val="20"/>
          <w:szCs w:val="20"/>
        </w:rPr>
        <w:t>technical</w:t>
      </w:r>
      <w:proofErr w:type="gramEnd"/>
      <w:r w:rsidRPr="008D1584">
        <w:rPr>
          <w:rFonts w:asciiTheme="minorHAnsi" w:hAnsiTheme="minorHAnsi" w:cstheme="minorHAnsi"/>
          <w:sz w:val="20"/>
          <w:szCs w:val="20"/>
        </w:rPr>
        <w:t xml:space="preserve">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w:t>
      </w:r>
      <w:proofErr w:type="gramStart"/>
      <w:r w:rsidR="00AC2E92">
        <w:rPr>
          <w:rFonts w:cs="Arial"/>
          <w:sz w:val="20"/>
        </w:rPr>
        <w:t xml:space="preserve">is </w:t>
      </w:r>
      <w:r w:rsidRPr="00C337CA">
        <w:rPr>
          <w:rFonts w:cs="Arial"/>
          <w:sz w:val="20"/>
        </w:rPr>
        <w:t>in compliance with</w:t>
      </w:r>
      <w:proofErr w:type="gramEnd"/>
      <w:r w:rsidRPr="00C337CA">
        <w:rPr>
          <w:rFonts w:cs="Arial"/>
          <w:sz w:val="20"/>
        </w:rPr>
        <w:t xml:space="preserve">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 xml:space="preserve">Any policy adopted by a person or actions taken thereunder that are reasonably necessary to comply with federal or state sanctions or laws affecting sovereign </w:t>
      </w:r>
      <w:proofErr w:type="gramStart"/>
      <w:r w:rsidRPr="00A803FD">
        <w:rPr>
          <w:rFonts w:asciiTheme="minorHAnsi" w:hAnsiTheme="minorHAnsi" w:cstheme="minorHAnsi"/>
          <w:sz w:val="20"/>
        </w:rPr>
        <w:t>nations</w:t>
      </w:r>
      <w:proofErr w:type="gramEnd"/>
      <w:r w:rsidRPr="00A803FD">
        <w:rPr>
          <w:rFonts w:asciiTheme="minorHAnsi" w:hAnsiTheme="minorHAnsi" w:cstheme="minorHAnsi"/>
          <w:sz w:val="20"/>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38381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383817">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383817">
            <w:pPr>
              <w:keepNext/>
              <w:spacing w:line="480" w:lineRule="auto"/>
              <w:rPr>
                <w:rFonts w:cs="Arial"/>
                <w:sz w:val="20"/>
              </w:rPr>
            </w:pPr>
            <w:r w:rsidRPr="00C337CA">
              <w:rPr>
                <w:rFonts w:cs="Arial"/>
                <w:i/>
                <w:iCs/>
                <w:sz w:val="20"/>
              </w:rPr>
              <w:t>Federal ID Number </w:t>
            </w:r>
          </w:p>
        </w:tc>
      </w:tr>
      <w:tr w:rsidR="00C337CA" w:rsidRPr="00C337CA" w14:paraId="0358BF68" w14:textId="77777777" w:rsidTr="0038381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383817">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38381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383817">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38381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383817">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383817">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383817">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hor" w:initials="A">
    <w:p w14:paraId="4A170859" w14:textId="77777777" w:rsidR="00750D70" w:rsidRDefault="00750D70">
      <w:pPr>
        <w:pStyle w:val="CommentText"/>
      </w:pPr>
      <w:r>
        <w:rPr>
          <w:rStyle w:val="CommentReference"/>
        </w:rPr>
        <w:annotationRef/>
      </w:r>
      <w:r>
        <w:t>Do you want me to take out this section and leave Appendix D?</w:t>
      </w:r>
    </w:p>
    <w:p w14:paraId="1D222947" w14:textId="09686494" w:rsidR="00750D70" w:rsidRDefault="00750D70">
      <w:pPr>
        <w:pStyle w:val="CommentText"/>
      </w:pPr>
      <w:r>
        <w:t>Appendix E with Unruh will stay.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229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22947" w16cid:durableId="25E5B4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1703" w14:textId="77777777" w:rsidR="00C35883" w:rsidRDefault="00C35883" w:rsidP="00437785">
      <w:r>
        <w:separator/>
      </w:r>
    </w:p>
  </w:endnote>
  <w:endnote w:type="continuationSeparator" w:id="0">
    <w:p w14:paraId="5C2D0809" w14:textId="77777777" w:rsidR="00C35883" w:rsidRDefault="00C35883"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83817" w:rsidRDefault="00383817"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383817" w:rsidRDefault="00383817"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70B040D7" w:rsidR="00383817" w:rsidRDefault="00383817" w:rsidP="00896EE8">
    <w:pPr>
      <w:pStyle w:val="Footer"/>
      <w:jc w:val="right"/>
    </w:pPr>
    <w:r>
      <w:rPr>
        <w:sz w:val="16"/>
        <w:szCs w:val="16"/>
      </w:rPr>
      <w:t>rev Jan. 2022</w:t>
    </w:r>
    <w:r>
      <w:rPr>
        <w:b/>
        <w:sz w:val="16"/>
        <w:szCs w:val="16"/>
      </w:rPr>
      <w:tab/>
    </w:r>
    <w:r>
      <w:rPr>
        <w:b/>
        <w:sz w:val="16"/>
        <w:szCs w:val="16"/>
      </w:rPr>
      <w:tab/>
    </w:r>
  </w:p>
  <w:p w14:paraId="12629BF0" w14:textId="77777777" w:rsidR="00383817" w:rsidRDefault="00383817"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2BD016EA" w:rsidR="00383817" w:rsidRDefault="003C69FE" w:rsidP="00896EE8">
    <w:pPr>
      <w:pStyle w:val="Footer"/>
      <w:jc w:val="right"/>
    </w:pPr>
    <w:r>
      <w:rPr>
        <w:sz w:val="16"/>
        <w:szCs w:val="16"/>
      </w:rPr>
      <w:t>R</w:t>
    </w:r>
    <w:r w:rsidR="00383817">
      <w:rPr>
        <w:sz w:val="16"/>
        <w:szCs w:val="16"/>
      </w:rPr>
      <w:t>ev</w:t>
    </w:r>
    <w:r>
      <w:rPr>
        <w:sz w:val="16"/>
        <w:szCs w:val="16"/>
      </w:rPr>
      <w:t>. Jan 2022</w:t>
    </w:r>
    <w:r w:rsidR="00383817">
      <w:rPr>
        <w:b/>
        <w:sz w:val="22"/>
      </w:rPr>
      <w:t xml:space="preserve"> </w:t>
    </w:r>
    <w:r w:rsidR="00383817" w:rsidRPr="00C314CE">
      <w:rPr>
        <w:b/>
        <w:sz w:val="16"/>
        <w:szCs w:val="16"/>
      </w:rPr>
      <w:t xml:space="preserve"> </w:t>
    </w:r>
    <w:r w:rsidR="00383817">
      <w:rPr>
        <w:b/>
        <w:sz w:val="16"/>
        <w:szCs w:val="16"/>
      </w:rPr>
      <w:tab/>
    </w:r>
    <w:r w:rsidR="00383817">
      <w:rPr>
        <w:b/>
        <w:sz w:val="16"/>
        <w:szCs w:val="16"/>
      </w:rPr>
      <w:tab/>
    </w:r>
    <w:sdt>
      <w:sdtPr>
        <w:id w:val="14642141"/>
        <w:docPartObj>
          <w:docPartGallery w:val="Page Numbers (Bottom of Page)"/>
          <w:docPartUnique/>
        </w:docPartObj>
      </w:sdtPr>
      <w:sdtEndPr/>
      <w:sdtContent>
        <w:r w:rsidR="00383817">
          <w:t>A-</w:t>
        </w:r>
        <w:r w:rsidR="00383817">
          <w:fldChar w:fldCharType="begin"/>
        </w:r>
        <w:r w:rsidR="00383817">
          <w:instrText xml:space="preserve"> PAGE   \* MERGEFORMAT </w:instrText>
        </w:r>
        <w:r w:rsidR="00383817">
          <w:fldChar w:fldCharType="separate"/>
        </w:r>
        <w:r w:rsidR="00383817">
          <w:rPr>
            <w:noProof/>
          </w:rPr>
          <w:t>2</w:t>
        </w:r>
        <w:r w:rsidR="0038381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383817" w:rsidRPr="008953BE" w:rsidRDefault="00383817">
    <w:pPr>
      <w:pStyle w:val="Footer"/>
      <w:rPr>
        <w:sz w:val="16"/>
        <w:szCs w:val="16"/>
      </w:rPr>
    </w:pPr>
    <w:r w:rsidRPr="008953BE">
      <w:rPr>
        <w:sz w:val="16"/>
        <w:szCs w:val="16"/>
      </w:rPr>
      <w:t xml:space="preserve">rev. </w:t>
    </w:r>
    <w:r>
      <w:rPr>
        <w:sz w:val="16"/>
        <w:szCs w:val="16"/>
      </w:rPr>
      <w:t xml:space="preserve">Jan. 2022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5F0C7C4D" w:rsidR="00383817" w:rsidRDefault="001974A5" w:rsidP="00896EE8">
    <w:pPr>
      <w:pStyle w:val="Footer"/>
      <w:jc w:val="right"/>
    </w:pPr>
    <w:r>
      <w:rPr>
        <w:sz w:val="16"/>
        <w:szCs w:val="16"/>
      </w:rPr>
      <w:t>Rev. Jan 2022</w:t>
    </w:r>
    <w:r>
      <w:rPr>
        <w:b/>
        <w:sz w:val="22"/>
      </w:rPr>
      <w:t xml:space="preserve"> </w:t>
    </w:r>
    <w:r w:rsidRPr="00C314CE">
      <w:rPr>
        <w:b/>
        <w:sz w:val="16"/>
        <w:szCs w:val="16"/>
      </w:rPr>
      <w:t xml:space="preserve"> </w:t>
    </w:r>
    <w:r w:rsidR="00383817">
      <w:rPr>
        <w:b/>
        <w:sz w:val="16"/>
        <w:szCs w:val="16"/>
      </w:rPr>
      <w:tab/>
    </w:r>
    <w:r w:rsidR="00383817">
      <w:rPr>
        <w:b/>
        <w:sz w:val="16"/>
        <w:szCs w:val="16"/>
      </w:rPr>
      <w:tab/>
    </w:r>
    <w:sdt>
      <w:sdtPr>
        <w:id w:val="17147072"/>
        <w:docPartObj>
          <w:docPartGallery w:val="Page Numbers (Bottom of Page)"/>
          <w:docPartUnique/>
        </w:docPartObj>
      </w:sdtPr>
      <w:sdtEndPr/>
      <w:sdtContent>
        <w:r w:rsidR="00383817">
          <w:t>A-</w:t>
        </w:r>
        <w:r w:rsidR="00383817">
          <w:fldChar w:fldCharType="begin"/>
        </w:r>
        <w:r w:rsidR="00383817">
          <w:instrText xml:space="preserve"> PAGE   \* MERGEFORMAT </w:instrText>
        </w:r>
        <w:r w:rsidR="00383817">
          <w:fldChar w:fldCharType="separate"/>
        </w:r>
        <w:r w:rsidR="00383817">
          <w:rPr>
            <w:noProof/>
          </w:rPr>
          <w:t>2</w:t>
        </w:r>
        <w:r w:rsidR="00383817">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10A279FF" w:rsidR="00383817" w:rsidRPr="008953BE" w:rsidRDefault="001974A5">
    <w:pPr>
      <w:pStyle w:val="Footer"/>
      <w:rPr>
        <w:sz w:val="16"/>
        <w:szCs w:val="16"/>
      </w:rPr>
    </w:pPr>
    <w:r>
      <w:rPr>
        <w:sz w:val="16"/>
        <w:szCs w:val="16"/>
      </w:rPr>
      <w:t>Rev. Jan 2022</w:t>
    </w:r>
    <w:r>
      <w:rPr>
        <w:b/>
        <w:sz w:val="22"/>
      </w:rPr>
      <w:t xml:space="preserve"> </w:t>
    </w:r>
    <w:r w:rsidRPr="00C314CE">
      <w:rPr>
        <w:b/>
        <w:sz w:val="16"/>
        <w:szCs w:val="16"/>
      </w:rPr>
      <w:t xml:space="preserve"> </w:t>
    </w:r>
    <w:r w:rsidR="00383817">
      <w:rPr>
        <w:sz w:val="16"/>
        <w:szCs w:val="16"/>
      </w:rPr>
      <w:t xml:space="preserve">                                                                                                                                           </w:t>
    </w:r>
    <w:r>
      <w:rPr>
        <w:sz w:val="16"/>
        <w:szCs w:val="16"/>
      </w:rPr>
      <w:tab/>
    </w:r>
    <w:r w:rsidR="00383817">
      <w:rPr>
        <w:sz w:val="16"/>
        <w:szCs w:val="16"/>
      </w:rPr>
      <w:t xml:space="preserve">   </w:t>
    </w:r>
    <w:r w:rsidR="00383817" w:rsidRPr="00001542">
      <w:rPr>
        <w:szCs w:val="24"/>
      </w:rPr>
      <w:t>A-</w:t>
    </w:r>
    <w:r w:rsidR="00383817" w:rsidRPr="00001542">
      <w:rPr>
        <w:szCs w:val="24"/>
      </w:rPr>
      <w:fldChar w:fldCharType="begin"/>
    </w:r>
    <w:r w:rsidR="00383817" w:rsidRPr="00001542">
      <w:rPr>
        <w:szCs w:val="24"/>
      </w:rPr>
      <w:instrText xml:space="preserve"> PAGE   \* MERGEFORMAT </w:instrText>
    </w:r>
    <w:r w:rsidR="00383817" w:rsidRPr="00001542">
      <w:rPr>
        <w:szCs w:val="24"/>
      </w:rPr>
      <w:fldChar w:fldCharType="separate"/>
    </w:r>
    <w:r w:rsidR="00383817">
      <w:rPr>
        <w:noProof/>
        <w:szCs w:val="24"/>
      </w:rPr>
      <w:t>1</w:t>
    </w:r>
    <w:r w:rsidR="00383817"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694B773C" w:rsidR="00383817" w:rsidRDefault="001974A5" w:rsidP="00896EE8">
    <w:pPr>
      <w:pStyle w:val="Footer"/>
      <w:jc w:val="right"/>
    </w:pPr>
    <w:r>
      <w:rPr>
        <w:sz w:val="16"/>
        <w:szCs w:val="16"/>
      </w:rPr>
      <w:t>Rev. Jan 2022</w:t>
    </w:r>
    <w:r>
      <w:rPr>
        <w:b/>
        <w:sz w:val="22"/>
      </w:rPr>
      <w:t xml:space="preserve"> </w:t>
    </w:r>
    <w:r w:rsidRPr="00C314CE">
      <w:rPr>
        <w:b/>
        <w:sz w:val="16"/>
        <w:szCs w:val="16"/>
      </w:rPr>
      <w:t xml:space="preserve"> </w:t>
    </w:r>
    <w:r w:rsidR="00383817">
      <w:rPr>
        <w:b/>
        <w:sz w:val="16"/>
        <w:szCs w:val="16"/>
      </w:rPr>
      <w:tab/>
    </w:r>
    <w:r w:rsidR="00383817">
      <w:rPr>
        <w:b/>
        <w:sz w:val="16"/>
        <w:szCs w:val="16"/>
      </w:rPr>
      <w:tab/>
    </w:r>
    <w:sdt>
      <w:sdtPr>
        <w:id w:val="14642143"/>
        <w:docPartObj>
          <w:docPartGallery w:val="Page Numbers (Bottom of Page)"/>
          <w:docPartUnique/>
        </w:docPartObj>
      </w:sdtPr>
      <w:sdtEndPr/>
      <w:sdtContent>
        <w:r w:rsidR="00383817">
          <w:t>B-</w:t>
        </w:r>
        <w:r w:rsidR="00383817">
          <w:fldChar w:fldCharType="begin"/>
        </w:r>
        <w:r w:rsidR="00383817">
          <w:instrText xml:space="preserve"> PAGE   \* MERGEFORMAT </w:instrText>
        </w:r>
        <w:r w:rsidR="00383817">
          <w:fldChar w:fldCharType="separate"/>
        </w:r>
        <w:r w:rsidR="00383817">
          <w:rPr>
            <w:noProof/>
          </w:rPr>
          <w:t>1</w:t>
        </w:r>
        <w:r w:rsidR="00383817">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FA6CBC9" w:rsidR="00383817" w:rsidRDefault="001974A5" w:rsidP="00896EE8">
    <w:pPr>
      <w:pStyle w:val="Footer"/>
      <w:jc w:val="right"/>
    </w:pPr>
    <w:r>
      <w:rPr>
        <w:sz w:val="16"/>
        <w:szCs w:val="16"/>
      </w:rPr>
      <w:t>Rev. Jan 2022</w:t>
    </w:r>
    <w:r>
      <w:rPr>
        <w:b/>
        <w:sz w:val="22"/>
      </w:rPr>
      <w:t xml:space="preserve"> </w:t>
    </w:r>
    <w:r w:rsidRPr="00C314CE">
      <w:rPr>
        <w:b/>
        <w:sz w:val="16"/>
        <w:szCs w:val="16"/>
      </w:rPr>
      <w:t xml:space="preserve"> </w:t>
    </w:r>
    <w:r w:rsidR="00383817">
      <w:rPr>
        <w:b/>
        <w:sz w:val="22"/>
      </w:rPr>
      <w:t xml:space="preserve"> </w:t>
    </w:r>
    <w:r w:rsidR="00383817" w:rsidRPr="00C314CE">
      <w:rPr>
        <w:b/>
        <w:sz w:val="16"/>
        <w:szCs w:val="16"/>
      </w:rPr>
      <w:t xml:space="preserve"> </w:t>
    </w:r>
    <w:r w:rsidR="00383817">
      <w:rPr>
        <w:b/>
        <w:sz w:val="16"/>
        <w:szCs w:val="16"/>
      </w:rPr>
      <w:tab/>
    </w:r>
    <w:r w:rsidR="00383817">
      <w:rPr>
        <w:b/>
        <w:sz w:val="16"/>
        <w:szCs w:val="16"/>
      </w:rPr>
      <w:tab/>
    </w:r>
    <w:sdt>
      <w:sdtPr>
        <w:id w:val="4451525"/>
        <w:docPartObj>
          <w:docPartGallery w:val="Page Numbers (Bottom of Page)"/>
          <w:docPartUnique/>
        </w:docPartObj>
      </w:sdtPr>
      <w:sdtEndPr/>
      <w:sdtContent>
        <w:r w:rsidR="00383817">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383817" w:rsidRDefault="00383817" w:rsidP="00896EE8">
    <w:pPr>
      <w:pStyle w:val="Footer"/>
      <w:jc w:val="right"/>
    </w:pPr>
    <w:r>
      <w:rPr>
        <w:sz w:val="16"/>
        <w:szCs w:val="16"/>
      </w:rPr>
      <w:t>rev Jan. 2022</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Pr>
            <w:noProof/>
          </w:rPr>
          <w:t>5</w:t>
        </w:r>
        <w:r>
          <w:rPr>
            <w:noProof/>
          </w:rPr>
          <w:fldChar w:fldCharType="end"/>
        </w:r>
      </w:sdtContent>
    </w:sdt>
  </w:p>
  <w:p w14:paraId="40D99C2E" w14:textId="77777777" w:rsidR="00383817" w:rsidRDefault="00383817"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603DA1BA" w:rsidR="00383817" w:rsidRDefault="001974A5" w:rsidP="00896EE8">
    <w:pPr>
      <w:pStyle w:val="Footer"/>
      <w:jc w:val="right"/>
    </w:pPr>
    <w:r>
      <w:rPr>
        <w:sz w:val="16"/>
        <w:szCs w:val="16"/>
      </w:rPr>
      <w:t>Rev. Jan 2022</w:t>
    </w:r>
    <w:r>
      <w:rPr>
        <w:b/>
        <w:sz w:val="22"/>
      </w:rPr>
      <w:t xml:space="preserve"> </w:t>
    </w:r>
    <w:r w:rsidRPr="00C314CE">
      <w:rPr>
        <w:b/>
        <w:sz w:val="16"/>
        <w:szCs w:val="16"/>
      </w:rPr>
      <w:t xml:space="preserve"> </w:t>
    </w:r>
    <w:r w:rsidR="00383817">
      <w:rPr>
        <w:b/>
        <w:sz w:val="16"/>
        <w:szCs w:val="16"/>
      </w:rPr>
      <w:tab/>
    </w:r>
    <w:r w:rsidR="00383817">
      <w:rPr>
        <w:b/>
        <w:sz w:val="16"/>
        <w:szCs w:val="16"/>
      </w:rPr>
      <w:tab/>
    </w:r>
    <w:r w:rsidR="00383817">
      <w:t>C-</w:t>
    </w:r>
    <w:sdt>
      <w:sdtPr>
        <w:id w:val="14642146"/>
        <w:docPartObj>
          <w:docPartGallery w:val="Page Numbers (Bottom of Page)"/>
          <w:docPartUnique/>
        </w:docPartObj>
      </w:sdtPr>
      <w:sdtEndPr/>
      <w:sdtContent>
        <w:r w:rsidR="00383817">
          <w:fldChar w:fldCharType="begin"/>
        </w:r>
        <w:r w:rsidR="00383817">
          <w:instrText xml:space="preserve"> PAGE   \* MERGEFORMAT </w:instrText>
        </w:r>
        <w:r w:rsidR="00383817">
          <w:fldChar w:fldCharType="separate"/>
        </w:r>
        <w:r w:rsidR="00383817">
          <w:rPr>
            <w:noProof/>
          </w:rPr>
          <w:t>1</w:t>
        </w:r>
        <w:r w:rsidR="00383817">
          <w:rPr>
            <w:noProof/>
          </w:rPr>
          <w:fldChar w:fldCharType="end"/>
        </w:r>
      </w:sdtContent>
    </w:sdt>
  </w:p>
  <w:p w14:paraId="358DFC13" w14:textId="77777777" w:rsidR="00383817" w:rsidRDefault="00383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ADA7" w14:textId="77777777" w:rsidR="00C35883" w:rsidRDefault="00C35883" w:rsidP="00437785">
      <w:r>
        <w:separator/>
      </w:r>
    </w:p>
  </w:footnote>
  <w:footnote w:type="continuationSeparator" w:id="0">
    <w:p w14:paraId="711565F6" w14:textId="77777777" w:rsidR="00C35883" w:rsidRDefault="00C35883"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BDE" w14:textId="77777777" w:rsidR="009E167D" w:rsidRPr="009E167D" w:rsidRDefault="009E167D" w:rsidP="009E167D">
    <w:pPr>
      <w:tabs>
        <w:tab w:val="left" w:pos="1242"/>
      </w:tabs>
      <w:ind w:right="252"/>
      <w:jc w:val="both"/>
      <w:rPr>
        <w:rFonts w:eastAsia="Times New Roman"/>
        <w:color w:val="000000"/>
        <w:sz w:val="22"/>
        <w:szCs w:val="22"/>
      </w:rPr>
    </w:pPr>
    <w:r w:rsidRPr="009E167D">
      <w:rPr>
        <w:rFonts w:eastAsia="Times New Roman"/>
        <w:sz w:val="20"/>
      </w:rPr>
      <w:t xml:space="preserve">RFP Title:  </w:t>
    </w:r>
    <w:r w:rsidRPr="009E167D">
      <w:rPr>
        <w:rFonts w:eastAsia="Times New Roman"/>
        <w:color w:val="000000"/>
        <w:sz w:val="22"/>
        <w:szCs w:val="22"/>
      </w:rPr>
      <w:t xml:space="preserve">  Data Collection and Analysis Project for the Federally Funded Dependency Representation Program (FFDRP)</w:t>
    </w:r>
  </w:p>
  <w:p w14:paraId="6B03F2EA" w14:textId="77777777" w:rsidR="009E167D" w:rsidRPr="009E167D" w:rsidRDefault="009E167D" w:rsidP="009E167D">
    <w:pPr>
      <w:tabs>
        <w:tab w:val="left" w:pos="1242"/>
      </w:tabs>
      <w:ind w:right="252"/>
      <w:jc w:val="both"/>
      <w:rPr>
        <w:rFonts w:eastAsia="Times New Roman"/>
        <w:color w:val="000000"/>
        <w:sz w:val="22"/>
        <w:szCs w:val="22"/>
      </w:rPr>
    </w:pPr>
    <w:r w:rsidRPr="009E167D">
      <w:rPr>
        <w:rFonts w:eastAsia="Times New Roman"/>
        <w:sz w:val="20"/>
      </w:rPr>
      <w:t>RFP Number:</w:t>
    </w:r>
    <w:r w:rsidRPr="009E167D">
      <w:rPr>
        <w:rFonts w:eastAsia="Times New Roman"/>
        <w:color w:val="000000"/>
        <w:sz w:val="20"/>
      </w:rPr>
      <w:t xml:space="preserve">  </w:t>
    </w:r>
    <w:r w:rsidRPr="009E167D">
      <w:rPr>
        <w:rFonts w:eastAsia="Times New Roman"/>
        <w:color w:val="000000"/>
        <w:sz w:val="22"/>
        <w:szCs w:val="22"/>
      </w:rPr>
      <w:t xml:space="preserve"> CFCC-2022-04-LV-FFDRP</w:t>
    </w:r>
  </w:p>
  <w:p w14:paraId="054033CB" w14:textId="77777777" w:rsidR="00383817" w:rsidRPr="000D2618" w:rsidRDefault="00383817"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510C" w14:textId="77777777" w:rsidR="00A35AD9" w:rsidRPr="003E52BA" w:rsidRDefault="00A35AD9" w:rsidP="00A35AD9">
    <w:pPr>
      <w:ind w:left="-86"/>
      <w:rPr>
        <w:rFonts w:asciiTheme="minorHAnsi" w:eastAsia="Times New Roman" w:hAnsiTheme="minorHAnsi" w:cstheme="minorHAnsi"/>
        <w:i/>
        <w:sz w:val="16"/>
        <w:szCs w:val="16"/>
      </w:rPr>
    </w:pPr>
    <w:r w:rsidRPr="009E167D">
      <w:rPr>
        <w:rFonts w:asciiTheme="minorHAnsi" w:eastAsia="Times New Roman" w:hAnsiTheme="minorHAnsi" w:cstheme="minorHAnsi"/>
        <w:b/>
        <w:sz w:val="16"/>
        <w:szCs w:val="16"/>
      </w:rPr>
      <w:t>Agreement No. ________, with 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C6C"/>
    <w:multiLevelType w:val="hybridMultilevel"/>
    <w:tmpl w:val="6B24ACF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E44AA8"/>
    <w:multiLevelType w:val="multilevel"/>
    <w:tmpl w:val="A78077F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b/>
        <w:bCs/>
      </w:rPr>
    </w:lvl>
    <w:lvl w:ilvl="2">
      <w:start w:val="1"/>
      <w:numFmt w:val="decimal"/>
      <w:lvlText w:val="%1.3.%3"/>
      <w:lvlJc w:val="left"/>
      <w:pPr>
        <w:ind w:left="2160" w:hanging="720"/>
      </w:pPr>
      <w:rPr>
        <w:rFonts w:hint="default"/>
        <w:b w:val="0"/>
        <w:bCs w:val="0"/>
      </w:rPr>
    </w:lvl>
    <w:lvl w:ilvl="3">
      <w:start w:val="1"/>
      <w:numFmt w:val="decimal"/>
      <w:lvlText w:val="%1.3.%3.%4"/>
      <w:lvlJc w:val="left"/>
      <w:pPr>
        <w:ind w:left="2880" w:hanging="720"/>
      </w:pPr>
      <w:rPr>
        <w:rFonts w:hint="default"/>
      </w:rPr>
    </w:lvl>
    <w:lvl w:ilvl="4">
      <w:start w:val="1"/>
      <w:numFmt w:val="decimal"/>
      <w:lvlText w:val="%1.3.%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2E4A10D1"/>
    <w:multiLevelType w:val="multilevel"/>
    <w:tmpl w:val="99CCBD7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44D1D09"/>
    <w:multiLevelType w:val="multilevel"/>
    <w:tmpl w:val="166EE0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BC41CF"/>
    <w:multiLevelType w:val="multilevel"/>
    <w:tmpl w:val="BEC64FE4"/>
    <w:lvl w:ilvl="0">
      <w:start w:val="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5242C7D"/>
    <w:multiLevelType w:val="hybridMultilevel"/>
    <w:tmpl w:val="CD387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3"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54E53EA"/>
    <w:multiLevelType w:val="hybridMultilevel"/>
    <w:tmpl w:val="4174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77511"/>
    <w:multiLevelType w:val="multilevel"/>
    <w:tmpl w:val="2528CB18"/>
    <w:numStyleLink w:val="MOUList"/>
  </w:abstractNum>
  <w:abstractNum w:abstractNumId="28"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1"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5"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10"/>
  </w:num>
  <w:num w:numId="2">
    <w:abstractNumId w:val="7"/>
  </w:num>
  <w:num w:numId="3">
    <w:abstractNumId w:val="30"/>
  </w:num>
  <w:num w:numId="4">
    <w:abstractNumId w:val="15"/>
  </w:num>
  <w:num w:numId="5">
    <w:abstractNumId w:val="9"/>
  </w:num>
  <w:num w:numId="6">
    <w:abstractNumId w:val="6"/>
  </w:num>
  <w:num w:numId="7">
    <w:abstractNumId w:val="20"/>
  </w:num>
  <w:num w:numId="8">
    <w:abstractNumId w:val="21"/>
  </w:num>
  <w:num w:numId="9">
    <w:abstractNumId w:val="5"/>
  </w:num>
  <w:num w:numId="10">
    <w:abstractNumId w:val="24"/>
  </w:num>
  <w:num w:numId="11">
    <w:abstractNumId w:val="4"/>
  </w:num>
  <w:num w:numId="12">
    <w:abstractNumId w:val="28"/>
  </w:num>
  <w:num w:numId="13">
    <w:abstractNumId w:val="32"/>
  </w:num>
  <w:num w:numId="14">
    <w:abstractNumId w:val="31"/>
  </w:num>
  <w:num w:numId="15">
    <w:abstractNumId w:val="3"/>
  </w:num>
  <w:num w:numId="16">
    <w:abstractNumId w:val="1"/>
  </w:num>
  <w:num w:numId="1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7"/>
  </w:num>
  <w:num w:numId="20">
    <w:abstractNumId w:val="29"/>
  </w:num>
  <w:num w:numId="21">
    <w:abstractNumId w:val="16"/>
  </w:num>
  <w:num w:numId="22">
    <w:abstractNumId w:val="11"/>
  </w:num>
  <w:num w:numId="23">
    <w:abstractNumId w:val="18"/>
  </w:num>
  <w:num w:numId="24">
    <w:abstractNumId w:val="14"/>
  </w:num>
  <w:num w:numId="25">
    <w:abstractNumId w:val="33"/>
  </w:num>
  <w:num w:numId="26">
    <w:abstractNumId w:val="23"/>
  </w:num>
  <w:num w:numId="27">
    <w:abstractNumId w:val="27"/>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5"/>
  </w:num>
  <w:num w:numId="29">
    <w:abstractNumId w:val="34"/>
  </w:num>
  <w:num w:numId="30">
    <w:abstractNumId w:val="12"/>
  </w:num>
  <w:num w:numId="31">
    <w:abstractNumId w:val="0"/>
  </w:num>
  <w:num w:numId="32">
    <w:abstractNumId w:val="2"/>
  </w:num>
  <w:num w:numId="33">
    <w:abstractNumId w:val="19"/>
  </w:num>
  <w:num w:numId="34">
    <w:abstractNumId w:val="2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abstractNumId w:val="13"/>
  </w:num>
  <w:num w:numId="3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proofState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30AC"/>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5D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DD0"/>
    <w:rsid w:val="00115EF4"/>
    <w:rsid w:val="00117B0F"/>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4A5"/>
    <w:rsid w:val="001975EC"/>
    <w:rsid w:val="0019777A"/>
    <w:rsid w:val="001A4F28"/>
    <w:rsid w:val="001A627D"/>
    <w:rsid w:val="001A6D73"/>
    <w:rsid w:val="001B0231"/>
    <w:rsid w:val="001B03E3"/>
    <w:rsid w:val="001B671E"/>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2BC3"/>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E52"/>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3817"/>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C69FE"/>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30FA"/>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5862"/>
    <w:rsid w:val="00656961"/>
    <w:rsid w:val="00660C37"/>
    <w:rsid w:val="006643D8"/>
    <w:rsid w:val="00664624"/>
    <w:rsid w:val="0066520A"/>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0BEC"/>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0D70"/>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2B39"/>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08"/>
    <w:rsid w:val="00945E3C"/>
    <w:rsid w:val="0094612E"/>
    <w:rsid w:val="00946D91"/>
    <w:rsid w:val="0094727C"/>
    <w:rsid w:val="0095116E"/>
    <w:rsid w:val="009517F2"/>
    <w:rsid w:val="009528FA"/>
    <w:rsid w:val="00954E77"/>
    <w:rsid w:val="00960F12"/>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167D"/>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5AD9"/>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5883"/>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5C8"/>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57CE"/>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3CC9"/>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673E5"/>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115DD0"/>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115DD0"/>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50678238">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epls.gov"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ourts.ca.gov/documents/JBCM-Post-Contract-Certification-Form.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12427</Words>
  <Characters>70835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2022-03-08T18:58:00Z</dcterms:created>
  <dcterms:modified xsi:type="dcterms:W3CDTF">2022-03-23T22:00:00Z</dcterms:modified>
</cp:coreProperties>
</file>