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84" w:rsidRPr="00234E4F" w:rsidRDefault="00583584" w:rsidP="00583584">
      <w:pPr>
        <w:pStyle w:val="Heading10"/>
        <w:keepNext w:val="0"/>
      </w:pPr>
      <w:r w:rsidRPr="00234E4F">
        <w:t>Attachment 7</w:t>
      </w:r>
    </w:p>
    <w:p w:rsidR="00583584" w:rsidRDefault="00583584" w:rsidP="00583584">
      <w:pPr>
        <w:pStyle w:val="Heading10"/>
        <w:keepNext w:val="0"/>
      </w:pPr>
      <w:r w:rsidRPr="00234E4F">
        <w:t>P</w:t>
      </w:r>
      <w:r w:rsidR="00FC3A59" w:rsidRPr="00234E4F">
        <w:t>ricing form</w:t>
      </w:r>
    </w:p>
    <w:p w:rsidR="00A634A8" w:rsidRPr="00234E4F" w:rsidRDefault="00A634A8" w:rsidP="00583584">
      <w:pPr>
        <w:pStyle w:val="Heading10"/>
        <w:keepNext w:val="0"/>
      </w:pPr>
    </w:p>
    <w:p w:rsidR="00FF359A" w:rsidRDefault="00FF359A" w:rsidP="00FF359A">
      <w:pPr>
        <w:pStyle w:val="ListParagraph"/>
        <w:numPr>
          <w:ilvl w:val="0"/>
          <w:numId w:val="8"/>
        </w:numPr>
        <w:spacing w:after="200" w:line="276" w:lineRule="auto"/>
        <w:rPr>
          <w:b/>
          <w:bCs/>
          <w:szCs w:val="24"/>
        </w:rPr>
      </w:pPr>
      <w:bookmarkStart w:id="0" w:name="_Hlk14181700"/>
      <w:r>
        <w:rPr>
          <w:b/>
          <w:bCs/>
          <w:szCs w:val="24"/>
        </w:rPr>
        <w:t>Definitions and Pricing Structure of Services</w:t>
      </w:r>
    </w:p>
    <w:p w:rsidR="00A57A7E" w:rsidRPr="00A57A7E" w:rsidRDefault="00FF359A" w:rsidP="0076209D">
      <w:pPr>
        <w:pStyle w:val="ListParagraph"/>
        <w:numPr>
          <w:ilvl w:val="1"/>
          <w:numId w:val="9"/>
        </w:numPr>
        <w:spacing w:before="120" w:after="200" w:line="276" w:lineRule="auto"/>
        <w:jc w:val="both"/>
        <w:rPr>
          <w:b/>
          <w:bCs/>
          <w:szCs w:val="24"/>
        </w:rPr>
      </w:pPr>
      <w:r w:rsidRPr="00A57A7E">
        <w:rPr>
          <w:b/>
          <w:bCs/>
          <w:szCs w:val="24"/>
        </w:rPr>
        <w:t>Translation</w:t>
      </w:r>
      <w:r w:rsidR="006E38AD" w:rsidRPr="00A57A7E">
        <w:rPr>
          <w:b/>
          <w:bCs/>
          <w:szCs w:val="24"/>
        </w:rPr>
        <w:t xml:space="preserve">. </w:t>
      </w:r>
      <w:r w:rsidR="006E38AD" w:rsidRPr="00A57A7E"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 w:rsidR="006E38AD" w:rsidRPr="00A57A7E">
        <w:rPr>
          <w:bCs/>
          <w:szCs w:val="24"/>
        </w:rPr>
        <w:t xml:space="preserve">, translation is defined as the rendering of a written English source document into another written language. </w:t>
      </w:r>
      <w:r w:rsidR="006E38AD" w:rsidRPr="00A57A7E">
        <w:rPr>
          <w:szCs w:val="24"/>
        </w:rPr>
        <w:t xml:space="preserve">Translations shall be billed </w:t>
      </w:r>
      <w:r w:rsidR="00A57A7E">
        <w:rPr>
          <w:szCs w:val="24"/>
        </w:rPr>
        <w:t xml:space="preserve">at a per-word rate, </w:t>
      </w:r>
      <w:r w:rsidR="006E38AD" w:rsidRPr="00A57A7E">
        <w:rPr>
          <w:szCs w:val="24"/>
        </w:rPr>
        <w:t>according to the number of English words in the source document</w:t>
      </w:r>
      <w:r w:rsidR="00A57A7E">
        <w:rPr>
          <w:szCs w:val="24"/>
        </w:rPr>
        <w:t xml:space="preserve"> and in accordance with the agreed upon turnaround time</w:t>
      </w:r>
      <w:r w:rsidR="006E38AD" w:rsidRPr="00A57A7E">
        <w:rPr>
          <w:szCs w:val="24"/>
        </w:rPr>
        <w:t xml:space="preserve">. English word counts will be determined by using Microsoft Word’s word count feature. </w:t>
      </w:r>
      <w:r w:rsidR="00A57A7E">
        <w:rPr>
          <w:szCs w:val="24"/>
        </w:rPr>
        <w:t>The turnaround times are set forth below.</w:t>
      </w:r>
    </w:p>
    <w:p w:rsidR="00A57A7E" w:rsidRDefault="00A57A7E" w:rsidP="0076209D">
      <w:pPr>
        <w:pStyle w:val="ListParagraph"/>
        <w:numPr>
          <w:ilvl w:val="1"/>
          <w:numId w:val="9"/>
        </w:numPr>
        <w:spacing w:before="120" w:after="200"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Modifications. </w:t>
      </w:r>
      <w:r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>
        <w:rPr>
          <w:bCs/>
          <w:szCs w:val="24"/>
        </w:rPr>
        <w:t xml:space="preserve">, modification of a translation refers to </w:t>
      </w:r>
      <w:r w:rsidR="000255E5">
        <w:rPr>
          <w:bCs/>
          <w:szCs w:val="24"/>
        </w:rPr>
        <w:t xml:space="preserve">in-language </w:t>
      </w:r>
      <w:r>
        <w:rPr>
          <w:bCs/>
          <w:szCs w:val="24"/>
        </w:rPr>
        <w:t>revisions and updating of a previously translated text. Modifications shall be billed by the hour, in accordance with the agreed upon turnaround time.</w:t>
      </w:r>
    </w:p>
    <w:p w:rsidR="00FF359A" w:rsidRPr="00A57A7E" w:rsidRDefault="00FF359A" w:rsidP="0076209D">
      <w:pPr>
        <w:pStyle w:val="ListParagraph"/>
        <w:numPr>
          <w:ilvl w:val="1"/>
          <w:numId w:val="9"/>
        </w:numPr>
        <w:spacing w:before="120" w:after="200" w:line="276" w:lineRule="auto"/>
        <w:jc w:val="both"/>
        <w:rPr>
          <w:b/>
          <w:bCs/>
          <w:szCs w:val="24"/>
        </w:rPr>
      </w:pPr>
      <w:r w:rsidRPr="00A57A7E">
        <w:rPr>
          <w:b/>
          <w:bCs/>
          <w:szCs w:val="24"/>
        </w:rPr>
        <w:t>Formatting</w:t>
      </w:r>
      <w:r w:rsidR="006E38AD" w:rsidRPr="00A57A7E">
        <w:rPr>
          <w:b/>
          <w:bCs/>
          <w:szCs w:val="24"/>
        </w:rPr>
        <w:t xml:space="preserve">. </w:t>
      </w:r>
      <w:r w:rsidR="006E38AD" w:rsidRPr="00A57A7E"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 w:rsidR="006E38AD" w:rsidRPr="00A57A7E">
        <w:rPr>
          <w:bCs/>
          <w:szCs w:val="24"/>
        </w:rPr>
        <w:t xml:space="preserve">, formatting is defined as the production of a foreign language translation so that the finished product resembles the English version. Formatting </w:t>
      </w:r>
      <w:r w:rsidR="00A57A7E">
        <w:rPr>
          <w:bCs/>
          <w:szCs w:val="24"/>
        </w:rPr>
        <w:t>shall be</w:t>
      </w:r>
      <w:r w:rsidR="006E38AD" w:rsidRPr="00A57A7E">
        <w:rPr>
          <w:bCs/>
          <w:szCs w:val="24"/>
        </w:rPr>
        <w:t xml:space="preserve"> billed by the hour</w:t>
      </w:r>
      <w:r w:rsidR="00A57A7E">
        <w:rPr>
          <w:bCs/>
          <w:szCs w:val="24"/>
        </w:rPr>
        <w:t>, in accordance with the agreed upon turnaround time</w:t>
      </w:r>
      <w:r w:rsidR="006E38AD" w:rsidRPr="00A57A7E">
        <w:rPr>
          <w:bCs/>
          <w:szCs w:val="24"/>
        </w:rPr>
        <w:t xml:space="preserve">. </w:t>
      </w:r>
    </w:p>
    <w:p w:rsidR="00FF359A" w:rsidRPr="00FF359A" w:rsidRDefault="00FF359A" w:rsidP="0076209D">
      <w:pPr>
        <w:pStyle w:val="ListParagraph"/>
        <w:numPr>
          <w:ilvl w:val="1"/>
          <w:numId w:val="9"/>
        </w:numPr>
        <w:spacing w:after="200" w:line="276" w:lineRule="auto"/>
        <w:jc w:val="both"/>
        <w:rPr>
          <w:b/>
          <w:bCs/>
          <w:szCs w:val="24"/>
        </w:rPr>
      </w:pPr>
      <w:r w:rsidRPr="00FF359A">
        <w:rPr>
          <w:b/>
          <w:bCs/>
          <w:szCs w:val="24"/>
        </w:rPr>
        <w:t>Field Testing</w:t>
      </w:r>
      <w:r w:rsidR="006E38AD">
        <w:rPr>
          <w:b/>
          <w:bCs/>
          <w:szCs w:val="24"/>
        </w:rPr>
        <w:t xml:space="preserve">. </w:t>
      </w:r>
      <w:r w:rsidR="006E38AD">
        <w:rPr>
          <w:bCs/>
          <w:szCs w:val="24"/>
        </w:rPr>
        <w:t xml:space="preserve">For purposes of this </w:t>
      </w:r>
      <w:r w:rsidR="000255E5">
        <w:rPr>
          <w:bCs/>
          <w:szCs w:val="24"/>
        </w:rPr>
        <w:t>Pricing Form</w:t>
      </w:r>
      <w:r w:rsidR="006E38AD">
        <w:rPr>
          <w:bCs/>
          <w:szCs w:val="24"/>
        </w:rPr>
        <w:t xml:space="preserve">, field testing is defined as a </w:t>
      </w:r>
      <w:r w:rsidR="000255E5">
        <w:rPr>
          <w:bCs/>
          <w:szCs w:val="24"/>
        </w:rPr>
        <w:t xml:space="preserve">structured </w:t>
      </w:r>
      <w:r w:rsidR="006E38AD">
        <w:rPr>
          <w:bCs/>
          <w:szCs w:val="24"/>
        </w:rPr>
        <w:t xml:space="preserve">process of </w:t>
      </w:r>
      <w:r w:rsidR="006F06B4">
        <w:rPr>
          <w:bCs/>
          <w:szCs w:val="24"/>
        </w:rPr>
        <w:t>sharing</w:t>
      </w:r>
      <w:r w:rsidR="00C94A9B">
        <w:rPr>
          <w:bCs/>
          <w:szCs w:val="24"/>
        </w:rPr>
        <w:t xml:space="preserve"> documents with</w:t>
      </w:r>
      <w:r w:rsidR="006F06B4">
        <w:rPr>
          <w:bCs/>
          <w:szCs w:val="24"/>
        </w:rPr>
        <w:t xml:space="preserve"> potential</w:t>
      </w:r>
      <w:r w:rsidR="00C94A9B">
        <w:rPr>
          <w:bCs/>
          <w:szCs w:val="24"/>
        </w:rPr>
        <w:t xml:space="preserve"> end users and getting feedback on </w:t>
      </w:r>
      <w:r w:rsidR="006F06B4">
        <w:rPr>
          <w:bCs/>
          <w:szCs w:val="24"/>
        </w:rPr>
        <w:t>language, usability and user experience. This feedback is used to improve the documents.</w:t>
      </w:r>
    </w:p>
    <w:p w:rsidR="00FF359A" w:rsidRDefault="00FF359A" w:rsidP="0076209D">
      <w:pPr>
        <w:pStyle w:val="ListParagraph"/>
        <w:keepNext/>
        <w:numPr>
          <w:ilvl w:val="1"/>
          <w:numId w:val="9"/>
        </w:numPr>
        <w:spacing w:before="240" w:after="120"/>
        <w:jc w:val="both"/>
      </w:pPr>
      <w:r w:rsidRPr="00FF359A">
        <w:rPr>
          <w:b/>
        </w:rPr>
        <w:t>Optional Services.</w:t>
      </w:r>
      <w:r>
        <w:t xml:space="preserve"> Proposer </w:t>
      </w:r>
      <w:r w:rsidR="00A57A7E">
        <w:t>may but is not required to</w:t>
      </w:r>
      <w:r>
        <w:t xml:space="preserve"> include hourly fees for </w:t>
      </w:r>
      <w:r w:rsidR="006F06B4">
        <w:t>additional services they may offer</w:t>
      </w:r>
      <w:r>
        <w:t xml:space="preserve">. Information in this optional section will not </w:t>
      </w:r>
      <w:r w:rsidR="006E38AD">
        <w:t>impact the evaluation of</w:t>
      </w:r>
      <w:r>
        <w:t xml:space="preserve"> proposals.</w:t>
      </w:r>
      <w:r w:rsidR="00A57A7E">
        <w:t xml:space="preserve"> The additional services are defined as follows:</w:t>
      </w:r>
    </w:p>
    <w:p w:rsidR="00FF359A" w:rsidRPr="003F3736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</w:pPr>
      <w:r w:rsidRPr="00F977D6">
        <w:t xml:space="preserve">Consultation - Providing review and consultation for outside translation performed </w:t>
      </w:r>
      <w:r>
        <w:t>by the JBE to</w:t>
      </w:r>
      <w:r w:rsidRPr="00F977D6">
        <w:t xml:space="preserve"> ensure that</w:t>
      </w:r>
      <w:r>
        <w:t xml:space="preserve"> the translation is competent. </w:t>
      </w:r>
      <w:r w:rsidRPr="00F977D6">
        <w:t xml:space="preserve">Consultation may be of the full document or to provide guidance to any in-house translator </w:t>
      </w:r>
      <w:r w:rsidRPr="00661903">
        <w:t xml:space="preserve">at the </w:t>
      </w:r>
      <w:r w:rsidRPr="004A0CFD">
        <w:t>JBE</w:t>
      </w:r>
      <w:r w:rsidRPr="00F977D6">
        <w:t xml:space="preserve"> regarding an approach to the translation or assistance with complicated language</w:t>
      </w:r>
      <w:r>
        <w:t>.</w:t>
      </w:r>
    </w:p>
    <w:p w:rsidR="00FF359A" w:rsidRPr="00FF359A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Voice Talent - People who speak the target language clearly and fluently. They may be used for audio recording of documents such as instruction sheets or website content</w:t>
      </w:r>
      <w:r>
        <w:t>.</w:t>
      </w:r>
    </w:p>
    <w:p w:rsidR="00FF359A" w:rsidRPr="00FF359A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Language Director - Person who directs the recording of an audio d</w:t>
      </w:r>
      <w:r>
        <w:t>ocument into another language. </w:t>
      </w:r>
      <w:r w:rsidRPr="00F977D6">
        <w:t xml:space="preserve">They must understand the target language </w:t>
      </w:r>
      <w:r w:rsidRPr="00F977D6">
        <w:lastRenderedPageBreak/>
        <w:t>fluently and be able to identify any errors or points where the content should be rerecorded</w:t>
      </w:r>
      <w:r>
        <w:t>.</w:t>
      </w:r>
    </w:p>
    <w:p w:rsidR="00FF359A" w:rsidRPr="00FF359A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Recording Studio Fees</w:t>
      </w:r>
      <w:r>
        <w:t xml:space="preserve"> </w:t>
      </w:r>
      <w:r w:rsidRPr="00F977D6">
        <w:t xml:space="preserve">-These fees are for recordings of any audio translations such as instructional </w:t>
      </w:r>
      <w:r w:rsidR="004B355B">
        <w:t>m</w:t>
      </w:r>
      <w:r w:rsidRPr="00F977D6">
        <w:t>aterials or website in order to deliver a professional level of recording</w:t>
      </w:r>
      <w:r>
        <w:t>.</w:t>
      </w:r>
    </w:p>
    <w:p w:rsidR="00FF359A" w:rsidRPr="005F02BB" w:rsidRDefault="00FF359A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 w:rsidRPr="00F977D6">
        <w:t>Community Review -This involves getting feedback from certified translators and others within a target language community about the most appropriate words to use or tone to take in a document or for web</w:t>
      </w:r>
      <w:r>
        <w:t xml:space="preserve"> </w:t>
      </w:r>
      <w:r w:rsidRPr="00F977D6">
        <w:t>content directed to a specific communit</w:t>
      </w:r>
      <w:r>
        <w:t>y.</w:t>
      </w:r>
    </w:p>
    <w:p w:rsidR="005F02BB" w:rsidRDefault="005F02BB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 w:after="120"/>
        <w:jc w:val="both"/>
        <w:rPr>
          <w:bCs/>
          <w:szCs w:val="24"/>
        </w:rPr>
      </w:pPr>
      <w:r>
        <w:rPr>
          <w:bCs/>
          <w:szCs w:val="24"/>
        </w:rPr>
        <w:t>Plain Language Editing – This work involves reviewing an English source text and revising the text in accordance with principles of plain language or plain English.</w:t>
      </w:r>
    </w:p>
    <w:p w:rsidR="005F02BB" w:rsidRPr="00A57A7E" w:rsidRDefault="005F02BB" w:rsidP="0076209D">
      <w:pPr>
        <w:pStyle w:val="ListParagraph"/>
        <w:keepNext/>
        <w:numPr>
          <w:ilvl w:val="2"/>
          <w:numId w:val="11"/>
        </w:numPr>
        <w:tabs>
          <w:tab w:val="left" w:pos="2250"/>
        </w:tabs>
        <w:spacing w:before="240"/>
        <w:jc w:val="both"/>
        <w:rPr>
          <w:bCs/>
          <w:szCs w:val="24"/>
        </w:rPr>
      </w:pPr>
      <w:r>
        <w:rPr>
          <w:bCs/>
          <w:szCs w:val="24"/>
        </w:rPr>
        <w:t xml:space="preserve">Readability and Usability Review – This type of review involves feedback and revisions to the design and visual elements of a document and may also include a functional review of fillable form features. </w:t>
      </w:r>
    </w:p>
    <w:bookmarkEnd w:id="0"/>
    <w:p w:rsidR="00A57A7E" w:rsidRPr="00FF359A" w:rsidRDefault="00A57A7E" w:rsidP="0076209D">
      <w:pPr>
        <w:pStyle w:val="ListParagraph"/>
        <w:keepNext/>
        <w:ind w:left="2160"/>
        <w:jc w:val="both"/>
        <w:rPr>
          <w:bCs/>
          <w:szCs w:val="24"/>
        </w:rPr>
      </w:pPr>
    </w:p>
    <w:p w:rsidR="003F0605" w:rsidRPr="003F0605" w:rsidRDefault="00A57A7E" w:rsidP="0076209D">
      <w:pPr>
        <w:pStyle w:val="ListParagraph"/>
        <w:numPr>
          <w:ilvl w:val="0"/>
          <w:numId w:val="8"/>
        </w:numPr>
        <w:spacing w:line="276" w:lineRule="auto"/>
        <w:jc w:val="both"/>
        <w:rPr>
          <w:bCs/>
          <w:szCs w:val="24"/>
        </w:rPr>
      </w:pPr>
      <w:r w:rsidRPr="00E261D4">
        <w:rPr>
          <w:b/>
          <w:bCs/>
          <w:szCs w:val="24"/>
        </w:rPr>
        <w:t xml:space="preserve">Turnaround Times for Services. </w:t>
      </w:r>
    </w:p>
    <w:p w:rsidR="00A57A7E" w:rsidRDefault="00A57A7E" w:rsidP="0076209D">
      <w:pPr>
        <w:pStyle w:val="ListParagraph"/>
        <w:spacing w:after="200" w:line="276" w:lineRule="auto"/>
        <w:jc w:val="both"/>
        <w:rPr>
          <w:bCs/>
          <w:szCs w:val="24"/>
        </w:rPr>
      </w:pPr>
      <w:bookmarkStart w:id="1" w:name="_Hlk14176050"/>
      <w:r w:rsidRPr="00C94FBC">
        <w:rPr>
          <w:bCs/>
          <w:szCs w:val="24"/>
        </w:rPr>
        <w:t>Proposer must submit its fees for translation per word a</w:t>
      </w:r>
      <w:bookmarkStart w:id="2" w:name="_GoBack"/>
      <w:bookmarkEnd w:id="2"/>
      <w:r w:rsidRPr="00C94FBC">
        <w:rPr>
          <w:bCs/>
          <w:szCs w:val="24"/>
        </w:rPr>
        <w:t xml:space="preserve">nd hourly rates for formatting and </w:t>
      </w:r>
      <w:r w:rsidR="00FD029A">
        <w:rPr>
          <w:bCs/>
          <w:szCs w:val="24"/>
        </w:rPr>
        <w:t>modifications</w:t>
      </w:r>
      <w:r w:rsidRPr="00C94FBC">
        <w:rPr>
          <w:bCs/>
          <w:szCs w:val="24"/>
        </w:rPr>
        <w:t xml:space="preserve"> in accordance with the turnaround times set forth below</w:t>
      </w:r>
      <w:r w:rsidR="00FD029A">
        <w:rPr>
          <w:bCs/>
          <w:szCs w:val="24"/>
        </w:rPr>
        <w:t xml:space="preserve"> for the initial two-year contract term</w:t>
      </w:r>
      <w:r w:rsidRPr="00C94FBC">
        <w:rPr>
          <w:bCs/>
          <w:szCs w:val="24"/>
        </w:rPr>
        <w:t xml:space="preserve">. </w:t>
      </w:r>
      <w:r w:rsidR="00FD029A">
        <w:rPr>
          <w:bCs/>
          <w:szCs w:val="24"/>
        </w:rPr>
        <w:t xml:space="preserve">Turnaround times for field testing and translation projects of more than 25,000 words to be negotiated. </w:t>
      </w:r>
      <w:r w:rsidRPr="00C94FBC">
        <w:rPr>
          <w:bCs/>
          <w:szCs w:val="24"/>
        </w:rPr>
        <w:t>The agreed upon turnaround time shall be stated on the Purchase Order.</w:t>
      </w:r>
      <w:r w:rsidR="00FD029A">
        <w:rPr>
          <w:bCs/>
          <w:szCs w:val="24"/>
        </w:rPr>
        <w:t xml:space="preserve"> </w:t>
      </w:r>
    </w:p>
    <w:tbl>
      <w:tblPr>
        <w:tblW w:w="9900" w:type="dxa"/>
        <w:tblInd w:w="-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2733"/>
        <w:gridCol w:w="1530"/>
        <w:gridCol w:w="1530"/>
        <w:gridCol w:w="1620"/>
      </w:tblGrid>
      <w:tr w:rsidR="00C94FBC" w:rsidRPr="00234E4F" w:rsidTr="000255E5">
        <w:trPr>
          <w:trHeight w:hRule="exact" w:val="605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A634A8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90" w:right="13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757"/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pStyle w:val="ExhibitC2"/>
              <w:keepNext/>
              <w:numPr>
                <w:ilvl w:val="0"/>
                <w:numId w:val="0"/>
              </w:numPr>
              <w:ind w:left="360"/>
              <w:rPr>
                <w:b/>
                <w:noProof w:val="0"/>
                <w:szCs w:val="24"/>
              </w:rPr>
            </w:pPr>
            <w:r w:rsidRPr="00234E4F">
              <w:rPr>
                <w:b/>
                <w:noProof w:val="0"/>
                <w:szCs w:val="24"/>
              </w:rPr>
              <w:t>Maximum turnaround times in days</w:t>
            </w:r>
            <w:r w:rsidR="004F052B">
              <w:rPr>
                <w:b/>
                <w:noProof w:val="0"/>
                <w:szCs w:val="24"/>
              </w:rPr>
              <w:t xml:space="preserve"> for translation, formatting and modifications</w:t>
            </w:r>
            <w:r w:rsidRPr="00234E4F">
              <w:rPr>
                <w:b/>
                <w:noProof w:val="0"/>
                <w:szCs w:val="24"/>
              </w:rPr>
              <w:t xml:space="preserve"> </w:t>
            </w:r>
          </w:p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598"/>
              <w:rPr>
                <w:sz w:val="24"/>
                <w:szCs w:val="24"/>
              </w:rPr>
            </w:pPr>
          </w:p>
        </w:tc>
      </w:tr>
      <w:tr w:rsidR="00C94FBC" w:rsidRPr="00D93CB7" w:rsidTr="000255E5">
        <w:trPr>
          <w:trHeight w:hRule="exact" w:val="578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90" w:right="135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Number of English Words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Target Language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 xml:space="preserve">Regular </w:t>
            </w:r>
          </w:p>
          <w:p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(Non-Rush)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Rush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D93CB7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451"/>
              <w:rPr>
                <w:b/>
                <w:sz w:val="24"/>
                <w:szCs w:val="24"/>
              </w:rPr>
            </w:pPr>
            <w:r w:rsidRPr="00D93CB7">
              <w:rPr>
                <w:b/>
                <w:sz w:val="24"/>
                <w:szCs w:val="24"/>
              </w:rPr>
              <w:t>Urgent</w:t>
            </w:r>
          </w:p>
        </w:tc>
      </w:tr>
      <w:tr w:rsidR="00C94FBC" w:rsidRPr="00234E4F" w:rsidTr="000255E5">
        <w:trPr>
          <w:trHeight w:hRule="exact" w:val="407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&lt;5,000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2</w:t>
            </w:r>
          </w:p>
        </w:tc>
      </w:tr>
      <w:tr w:rsidR="00C94FBC" w:rsidRPr="00234E4F" w:rsidTr="000255E5">
        <w:trPr>
          <w:trHeight w:hRule="exact" w:val="290"/>
        </w:trPr>
        <w:tc>
          <w:tcPr>
            <w:tcW w:w="24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</w:tr>
      <w:tr w:rsidR="00C94FBC" w:rsidRPr="00234E4F" w:rsidTr="00C94FBC">
        <w:trPr>
          <w:trHeight w:hRule="exact" w:val="344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5,001 - 10,000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4</w:t>
            </w:r>
          </w:p>
        </w:tc>
      </w:tr>
      <w:tr w:rsidR="00C94FBC" w:rsidRPr="00234E4F" w:rsidTr="000255E5">
        <w:trPr>
          <w:trHeight w:hRule="exact" w:val="290"/>
        </w:trPr>
        <w:tc>
          <w:tcPr>
            <w:tcW w:w="24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9</w:t>
            </w:r>
          </w:p>
        </w:tc>
      </w:tr>
      <w:tr w:rsidR="00C94FBC" w:rsidRPr="00234E4F" w:rsidTr="000255E5">
        <w:trPr>
          <w:trHeight w:hRule="exact" w:val="290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10,001 - 25,000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8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7</w:t>
            </w:r>
          </w:p>
        </w:tc>
      </w:tr>
      <w:tr w:rsidR="00C94FBC" w:rsidRPr="00234E4F" w:rsidTr="000255E5">
        <w:trPr>
          <w:trHeight w:hRule="exact" w:val="290"/>
        </w:trPr>
        <w:tc>
          <w:tcPr>
            <w:tcW w:w="24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6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12</w:t>
            </w:r>
          </w:p>
        </w:tc>
      </w:tr>
      <w:tr w:rsidR="00C94FBC" w:rsidRPr="00234E4F" w:rsidTr="000255E5">
        <w:trPr>
          <w:trHeight w:hRule="exact" w:val="290"/>
        </w:trPr>
        <w:tc>
          <w:tcPr>
            <w:tcW w:w="2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spacing w:before="135"/>
              <w:ind w:left="90" w:right="13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&gt; 25,000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Negotiated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Negotiated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Negotiated</w:t>
            </w:r>
          </w:p>
        </w:tc>
      </w:tr>
      <w:tr w:rsidR="00C94FBC" w:rsidRPr="00234E4F" w:rsidTr="000255E5">
        <w:trPr>
          <w:trHeight w:hRule="exact" w:val="290"/>
        </w:trPr>
        <w:tc>
          <w:tcPr>
            <w:tcW w:w="24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All Other 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Negotiated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Negotiated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Negotiated</w:t>
            </w:r>
          </w:p>
        </w:tc>
      </w:tr>
      <w:tr w:rsidR="00C94FBC" w:rsidRPr="00234E4F" w:rsidTr="004F052B">
        <w:trPr>
          <w:trHeight w:hRule="exact" w:val="632"/>
        </w:trPr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ind w:left="90"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Field </w:t>
            </w:r>
            <w:r w:rsidR="00BF3676">
              <w:rPr>
                <w:sz w:val="24"/>
                <w:szCs w:val="24"/>
              </w:rPr>
              <w:t>testing and other hourly services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Languages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Negotiated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Negotiated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FBC" w:rsidRPr="00234E4F" w:rsidRDefault="00C94FBC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Negotiated</w:t>
            </w:r>
          </w:p>
        </w:tc>
      </w:tr>
      <w:bookmarkEnd w:id="1"/>
    </w:tbl>
    <w:p w:rsidR="00C94FBC" w:rsidRDefault="00C94FBC" w:rsidP="00C94FBC">
      <w:pPr>
        <w:pStyle w:val="ListParagraph"/>
        <w:spacing w:after="200" w:line="276" w:lineRule="auto"/>
        <w:rPr>
          <w:bCs/>
          <w:szCs w:val="24"/>
        </w:rPr>
      </w:pPr>
    </w:p>
    <w:p w:rsidR="00C94FBC" w:rsidRDefault="00C94FBC" w:rsidP="00C94FBC">
      <w:pPr>
        <w:pStyle w:val="ListParagraph"/>
        <w:spacing w:after="200" w:line="276" w:lineRule="auto"/>
        <w:rPr>
          <w:bCs/>
          <w:szCs w:val="24"/>
        </w:rPr>
      </w:pPr>
    </w:p>
    <w:p w:rsidR="00C94FBC" w:rsidRPr="00C94FBC" w:rsidRDefault="00C94FBC" w:rsidP="00C94FBC">
      <w:pPr>
        <w:pStyle w:val="ListParagraph"/>
        <w:spacing w:after="200" w:line="276" w:lineRule="auto"/>
        <w:rPr>
          <w:bCs/>
          <w:szCs w:val="24"/>
        </w:rPr>
      </w:pPr>
    </w:p>
    <w:p w:rsidR="00A634A8" w:rsidRPr="00FF359A" w:rsidRDefault="00C94FBC" w:rsidP="003F0605">
      <w:pPr>
        <w:pStyle w:val="ListParagraph"/>
        <w:numPr>
          <w:ilvl w:val="0"/>
          <w:numId w:val="8"/>
        </w:numPr>
        <w:spacing w:line="276" w:lineRule="auto"/>
        <w:rPr>
          <w:b/>
          <w:bCs/>
          <w:szCs w:val="24"/>
        </w:rPr>
      </w:pPr>
      <w:bookmarkStart w:id="3" w:name="_Hlk14176181"/>
      <w:r>
        <w:rPr>
          <w:b/>
          <w:bCs/>
          <w:szCs w:val="24"/>
        </w:rPr>
        <w:lastRenderedPageBreak/>
        <w:t>Per Word Pricing</w:t>
      </w:r>
      <w:r w:rsidR="00B70B8E">
        <w:rPr>
          <w:b/>
          <w:bCs/>
          <w:szCs w:val="24"/>
        </w:rPr>
        <w:t>: Regular (Non-Rush)</w:t>
      </w:r>
    </w:p>
    <w:p w:rsidR="00A57A7E" w:rsidRDefault="00B438E6" w:rsidP="00C94FBC">
      <w:pPr>
        <w:spacing w:after="200" w:line="276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Proposer should provide their per word translation rate for the following languages, </w:t>
      </w:r>
      <w:r w:rsidR="008873A6">
        <w:rPr>
          <w:bCs/>
          <w:sz w:val="24"/>
          <w:szCs w:val="24"/>
        </w:rPr>
        <w:t>for the initial two-year contract term.</w:t>
      </w:r>
    </w:p>
    <w:tbl>
      <w:tblPr>
        <w:tblW w:w="96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0"/>
        <w:gridCol w:w="1530"/>
        <w:gridCol w:w="1530"/>
        <w:gridCol w:w="1530"/>
        <w:gridCol w:w="1620"/>
      </w:tblGrid>
      <w:tr w:rsidR="00B70B8E" w:rsidRPr="00B70B8E" w:rsidTr="0079349D">
        <w:trPr>
          <w:trHeight w:hRule="exact" w:val="704"/>
          <w:jc w:val="center"/>
        </w:trPr>
        <w:tc>
          <w:tcPr>
            <w:tcW w:w="3410" w:type="dxa"/>
            <w:tcBorders>
              <w:bottom w:val="single" w:sz="4" w:space="0" w:color="auto"/>
              <w:right w:val="single" w:sz="4" w:space="0" w:color="auto"/>
            </w:tcBorders>
          </w:tcPr>
          <w:p w:rsidR="00B70B8E" w:rsidRPr="00B70B8E" w:rsidRDefault="00B70B8E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sz w:val="24"/>
                <w:szCs w:val="24"/>
              </w:rPr>
            </w:pPr>
          </w:p>
          <w:p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B70B8E">
              <w:rPr>
                <w:b/>
                <w:sz w:val="24"/>
                <w:szCs w:val="24"/>
              </w:rPr>
              <w:t>Regular (Non-Rush)</w:t>
            </w:r>
          </w:p>
          <w:p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sz w:val="24"/>
                <w:szCs w:val="24"/>
              </w:rPr>
            </w:pPr>
          </w:p>
        </w:tc>
      </w:tr>
      <w:tr w:rsidR="00B70B8E" w:rsidRPr="00B70B8E" w:rsidTr="0079349D">
        <w:trPr>
          <w:trHeight w:hRule="exact" w:val="974"/>
          <w:jc w:val="center"/>
        </w:trPr>
        <w:tc>
          <w:tcPr>
            <w:tcW w:w="3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B70B8E">
              <w:rPr>
                <w:b/>
                <w:sz w:val="24"/>
                <w:szCs w:val="24"/>
              </w:rPr>
              <w:t>Per English Source Word Into: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&lt;5,000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70B8E" w:rsidRPr="00B70B8E" w:rsidRDefault="00B70B8E" w:rsidP="006F06B4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5,001-10,000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70B8E" w:rsidRPr="00B70B8E" w:rsidRDefault="00B70B8E" w:rsidP="003F060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10,001-25,000 words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70B8E" w:rsidRPr="00B70B8E" w:rsidRDefault="00B70B8E" w:rsidP="00D93CB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&gt;25,000 words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Arabic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Armenian (Eastern)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Armenian (Western)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Chinese Simplified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Chinese Traditional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Farsi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Hmong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Khmer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Korean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Russian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Spanish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Tagalog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4F052B" w:rsidRPr="00B70B8E" w:rsidTr="000255E5">
        <w:trPr>
          <w:trHeight w:val="20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B70B8E" w:rsidRDefault="004F052B" w:rsidP="004F052B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B70B8E">
              <w:rPr>
                <w:sz w:val="24"/>
                <w:szCs w:val="24"/>
              </w:rPr>
              <w:t>Vietnamese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</w:tbl>
    <w:p w:rsidR="003F0605" w:rsidRPr="003F0605" w:rsidRDefault="003F0605" w:rsidP="003F0605">
      <w:pPr>
        <w:spacing w:before="240" w:after="120"/>
        <w:rPr>
          <w:b/>
          <w:bCs/>
          <w:szCs w:val="24"/>
        </w:rPr>
      </w:pPr>
    </w:p>
    <w:p w:rsidR="003F0605" w:rsidRDefault="003F0605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3F0605" w:rsidRDefault="003F0605" w:rsidP="003F0605">
      <w:pPr>
        <w:pStyle w:val="ListParagraph"/>
        <w:spacing w:before="240" w:after="120"/>
        <w:rPr>
          <w:b/>
          <w:bCs/>
          <w:szCs w:val="24"/>
        </w:rPr>
      </w:pPr>
    </w:p>
    <w:p w:rsidR="008C1523" w:rsidRPr="008C1523" w:rsidRDefault="008C1523" w:rsidP="008C1523">
      <w:pPr>
        <w:pStyle w:val="ListParagraph"/>
        <w:numPr>
          <w:ilvl w:val="0"/>
          <w:numId w:val="8"/>
        </w:numPr>
        <w:spacing w:before="240"/>
        <w:rPr>
          <w:b/>
          <w:bCs/>
          <w:szCs w:val="24"/>
        </w:rPr>
      </w:pPr>
      <w:r w:rsidRPr="008C1523">
        <w:rPr>
          <w:b/>
          <w:bCs/>
          <w:szCs w:val="24"/>
        </w:rPr>
        <w:t>Per Word Pricing: Rush</w:t>
      </w:r>
    </w:p>
    <w:p w:rsidR="008C1523" w:rsidRDefault="008C1523" w:rsidP="008C1523">
      <w:pPr>
        <w:spacing w:after="200" w:line="276" w:lineRule="auto"/>
        <w:ind w:left="360"/>
        <w:rPr>
          <w:bCs/>
          <w:sz w:val="24"/>
          <w:szCs w:val="24"/>
        </w:rPr>
      </w:pPr>
      <w:r w:rsidRPr="003F0605">
        <w:rPr>
          <w:bCs/>
          <w:sz w:val="24"/>
          <w:szCs w:val="24"/>
        </w:rPr>
        <w:t>Proposer should provide their per word translation rate for the following languages, for the initial two-year contract term.</w:t>
      </w:r>
    </w:p>
    <w:tbl>
      <w:tblPr>
        <w:tblW w:w="88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1540"/>
        <w:gridCol w:w="1530"/>
        <w:gridCol w:w="1530"/>
        <w:gridCol w:w="1620"/>
      </w:tblGrid>
      <w:tr w:rsidR="008C1523" w:rsidRPr="008C1523" w:rsidTr="001910FF">
        <w:trPr>
          <w:trHeight w:hRule="exact" w:val="704"/>
          <w:jc w:val="center"/>
        </w:trPr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</w:p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Rush</w:t>
            </w:r>
          </w:p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jc w:val="center"/>
              <w:rPr>
                <w:b/>
                <w:sz w:val="24"/>
                <w:szCs w:val="24"/>
              </w:rPr>
            </w:pPr>
          </w:p>
        </w:tc>
      </w:tr>
      <w:tr w:rsidR="008C1523" w:rsidRPr="008C1523" w:rsidTr="001910FF">
        <w:trPr>
          <w:trHeight w:hRule="exact" w:val="974"/>
          <w:jc w:val="center"/>
        </w:trPr>
        <w:tc>
          <w:tcPr>
            <w:tcW w:w="2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Per English Source Word Into: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&lt;5,000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5,001-10,000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10,001-25,000 words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&gt;25,000 words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Arabic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Armenian (Eastern)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Armenian (Western)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Simplified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Traditional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Farsi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Hmong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Khmer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Korean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Punjabi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Russian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Spanish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Tagalog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Vietnamese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</w:tbl>
    <w:p w:rsidR="008C1523" w:rsidRPr="008C1523" w:rsidRDefault="008C1523" w:rsidP="008C1523">
      <w:pPr>
        <w:spacing w:after="200" w:line="276" w:lineRule="auto"/>
        <w:ind w:left="360"/>
        <w:rPr>
          <w:bCs/>
          <w:sz w:val="24"/>
          <w:szCs w:val="24"/>
        </w:rPr>
      </w:pPr>
    </w:p>
    <w:p w:rsidR="008C1523" w:rsidRDefault="008C1523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Cs w:val="24"/>
        </w:rPr>
        <w:br w:type="page"/>
      </w:r>
    </w:p>
    <w:p w:rsidR="00B70B8E" w:rsidRDefault="00B70B8E" w:rsidP="008C1523">
      <w:pPr>
        <w:pStyle w:val="ListParagraph"/>
        <w:numPr>
          <w:ilvl w:val="0"/>
          <w:numId w:val="8"/>
        </w:numPr>
        <w:spacing w:before="24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Per Word Pricing: </w:t>
      </w:r>
      <w:r w:rsidR="008C1523">
        <w:rPr>
          <w:b/>
          <w:bCs/>
          <w:szCs w:val="24"/>
        </w:rPr>
        <w:t>Urgent</w:t>
      </w:r>
    </w:p>
    <w:p w:rsidR="003F0605" w:rsidRDefault="003F0605" w:rsidP="003F0605">
      <w:pPr>
        <w:spacing w:after="200" w:line="276" w:lineRule="auto"/>
        <w:ind w:left="360"/>
        <w:rPr>
          <w:bCs/>
          <w:sz w:val="24"/>
          <w:szCs w:val="24"/>
        </w:rPr>
      </w:pPr>
      <w:r w:rsidRPr="003F0605">
        <w:rPr>
          <w:bCs/>
          <w:sz w:val="24"/>
          <w:szCs w:val="24"/>
        </w:rPr>
        <w:t>Proposer should provide their per word translation rate for the following languages, for the initial two-year contract term.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1540"/>
        <w:gridCol w:w="1530"/>
        <w:gridCol w:w="1530"/>
        <w:gridCol w:w="1530"/>
      </w:tblGrid>
      <w:tr w:rsidR="008C1523" w:rsidRPr="008C1523" w:rsidTr="001910FF">
        <w:trPr>
          <w:trHeight w:hRule="exact" w:val="704"/>
          <w:jc w:val="center"/>
        </w:trPr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Urgent</w:t>
            </w:r>
          </w:p>
        </w:tc>
      </w:tr>
      <w:tr w:rsidR="008C1523" w:rsidRPr="008C1523" w:rsidTr="001910FF">
        <w:trPr>
          <w:trHeight w:hRule="exact" w:val="974"/>
          <w:jc w:val="center"/>
        </w:trPr>
        <w:tc>
          <w:tcPr>
            <w:tcW w:w="2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 w:rsidRPr="008C1523">
              <w:rPr>
                <w:b/>
                <w:sz w:val="24"/>
                <w:szCs w:val="24"/>
              </w:rPr>
              <w:t>Per English Source Word Into: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&lt;5,000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5,001-10,000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10,001-25,000 words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&gt;25,000 words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Arabic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Armenian (Eastern)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Armenian (Western)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Simplified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Chinese Traditional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Farsi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Hmong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Khmer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Korean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Punjabi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Russian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Spanish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Tagalog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  <w:tr w:rsidR="008C1523" w:rsidRPr="008C1523" w:rsidTr="001910FF">
        <w:trPr>
          <w:trHeight w:val="20"/>
          <w:jc w:val="center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523" w:rsidRPr="008C1523" w:rsidRDefault="008C1523" w:rsidP="001910FF">
            <w:pPr>
              <w:keepNext/>
              <w:keepLines/>
              <w:spacing w:before="120" w:after="120"/>
              <w:ind w:left="121"/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Vietnamese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8C1523" w:rsidRPr="008C1523" w:rsidRDefault="008C1523" w:rsidP="001910FF">
            <w:pPr>
              <w:rPr>
                <w:sz w:val="24"/>
                <w:szCs w:val="24"/>
              </w:rPr>
            </w:pPr>
            <w:r w:rsidRPr="008C1523">
              <w:rPr>
                <w:sz w:val="24"/>
                <w:szCs w:val="24"/>
              </w:rPr>
              <w:t>$</w:t>
            </w:r>
          </w:p>
        </w:tc>
      </w:tr>
    </w:tbl>
    <w:p w:rsidR="008C1523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:rsidR="008C1523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:rsidR="008C1523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:rsidR="008C1523" w:rsidRPr="003F0605" w:rsidRDefault="008C1523" w:rsidP="003F0605">
      <w:pPr>
        <w:spacing w:after="200" w:line="276" w:lineRule="auto"/>
        <w:ind w:left="360"/>
        <w:rPr>
          <w:bCs/>
          <w:sz w:val="24"/>
          <w:szCs w:val="24"/>
        </w:rPr>
      </w:pPr>
    </w:p>
    <w:p w:rsidR="00B70B8E" w:rsidRDefault="00B70B8E" w:rsidP="00B70B8E">
      <w:pPr>
        <w:spacing w:before="240" w:after="120"/>
        <w:rPr>
          <w:b/>
          <w:bCs/>
          <w:szCs w:val="24"/>
        </w:rPr>
      </w:pPr>
    </w:p>
    <w:p w:rsidR="00B70B8E" w:rsidRDefault="00B70B8E" w:rsidP="00B70B8E">
      <w:pPr>
        <w:spacing w:before="240" w:after="120"/>
        <w:rPr>
          <w:b/>
          <w:bCs/>
          <w:szCs w:val="24"/>
        </w:rPr>
      </w:pPr>
    </w:p>
    <w:p w:rsidR="00F07FED" w:rsidRDefault="00A139D9" w:rsidP="008C1523">
      <w:pPr>
        <w:pStyle w:val="ListParagraph"/>
        <w:numPr>
          <w:ilvl w:val="0"/>
          <w:numId w:val="8"/>
        </w:numPr>
        <w:spacing w:before="240"/>
        <w:rPr>
          <w:b/>
          <w:bCs/>
          <w:szCs w:val="24"/>
        </w:rPr>
      </w:pPr>
      <w:r w:rsidRPr="00C94FBC">
        <w:rPr>
          <w:b/>
          <w:bCs/>
          <w:szCs w:val="24"/>
        </w:rPr>
        <w:lastRenderedPageBreak/>
        <w:t>Per Hour Pricing</w:t>
      </w:r>
    </w:p>
    <w:p w:rsidR="008873A6" w:rsidRPr="008873A6" w:rsidRDefault="008873A6" w:rsidP="008873A6">
      <w:pPr>
        <w:spacing w:after="200" w:line="276" w:lineRule="auto"/>
        <w:ind w:left="360"/>
        <w:rPr>
          <w:bCs/>
          <w:sz w:val="24"/>
          <w:szCs w:val="24"/>
        </w:rPr>
      </w:pPr>
      <w:r w:rsidRPr="008873A6">
        <w:rPr>
          <w:bCs/>
          <w:sz w:val="24"/>
          <w:szCs w:val="24"/>
        </w:rPr>
        <w:t xml:space="preserve">Proposer should provide their </w:t>
      </w:r>
      <w:r>
        <w:rPr>
          <w:bCs/>
          <w:sz w:val="24"/>
          <w:szCs w:val="24"/>
        </w:rPr>
        <w:t>hourly rates</w:t>
      </w:r>
      <w:r w:rsidRPr="008873A6">
        <w:rPr>
          <w:bCs/>
          <w:sz w:val="24"/>
          <w:szCs w:val="24"/>
        </w:rPr>
        <w:t xml:space="preserve"> for the following </w:t>
      </w:r>
      <w:r>
        <w:rPr>
          <w:bCs/>
          <w:sz w:val="24"/>
          <w:szCs w:val="24"/>
        </w:rPr>
        <w:t>services</w:t>
      </w:r>
      <w:r w:rsidRPr="008873A6">
        <w:rPr>
          <w:bCs/>
          <w:sz w:val="24"/>
          <w:szCs w:val="24"/>
        </w:rPr>
        <w:t>, for the initial two-year contract term.</w:t>
      </w:r>
      <w:r w:rsidR="002F0431">
        <w:rPr>
          <w:bCs/>
          <w:sz w:val="24"/>
          <w:szCs w:val="24"/>
        </w:rPr>
        <w:t xml:space="preserve"> Field testing </w:t>
      </w:r>
      <w:r w:rsidR="00BF3676">
        <w:rPr>
          <w:bCs/>
          <w:sz w:val="24"/>
          <w:szCs w:val="24"/>
        </w:rPr>
        <w:t>turnaround times to be negotiated.</w:t>
      </w:r>
    </w:p>
    <w:tbl>
      <w:tblPr>
        <w:tblW w:w="8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1710"/>
        <w:gridCol w:w="1710"/>
        <w:gridCol w:w="2230"/>
      </w:tblGrid>
      <w:tr w:rsidR="00A139D9" w:rsidRPr="00234E4F" w:rsidTr="0076209D">
        <w:trPr>
          <w:trHeight w:hRule="exact" w:val="974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39D9" w:rsidRPr="00D93CB7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Hourly Rate</w:t>
            </w:r>
            <w:r w:rsidR="004B355B">
              <w:rPr>
                <w:b/>
                <w:sz w:val="24"/>
                <w:szCs w:val="24"/>
              </w:rPr>
              <w:t xml:space="preserve"> for: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A139D9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Regular </w:t>
            </w:r>
          </w:p>
          <w:p w:rsidR="00A139D9" w:rsidRPr="00234E4F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(Non-Rush)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A139D9" w:rsidRPr="00234E4F" w:rsidRDefault="00A139D9" w:rsidP="000255E5">
            <w:pPr>
              <w:kinsoku w:val="0"/>
              <w:overflowPunct w:val="0"/>
              <w:autoSpaceDE w:val="0"/>
              <w:autoSpaceDN w:val="0"/>
              <w:adjustRightInd w:val="0"/>
              <w:ind w:left="17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Rush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A139D9" w:rsidRPr="00234E4F" w:rsidRDefault="00A139D9" w:rsidP="004B355B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Urgent</w:t>
            </w:r>
          </w:p>
        </w:tc>
      </w:tr>
      <w:tr w:rsidR="004F052B" w:rsidRPr="00234E4F" w:rsidTr="0076209D">
        <w:trPr>
          <w:trHeight w:val="20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234E4F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234E4F" w:rsidTr="0076209D">
        <w:trPr>
          <w:trHeight w:val="20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234E4F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4F052B" w:rsidRPr="00234E4F" w:rsidTr="0076209D">
        <w:trPr>
          <w:trHeight w:val="20"/>
          <w:jc w:val="center"/>
        </w:trPr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052B" w:rsidRPr="00234E4F" w:rsidRDefault="004F052B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Testing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4F052B" w:rsidRPr="00234E4F" w:rsidRDefault="004F052B" w:rsidP="004F052B">
            <w:pPr>
              <w:rPr>
                <w:sz w:val="24"/>
                <w:szCs w:val="24"/>
              </w:rPr>
            </w:pPr>
          </w:p>
        </w:tc>
      </w:tr>
    </w:tbl>
    <w:p w:rsidR="00F07FED" w:rsidRDefault="00F07FED" w:rsidP="00F07FED">
      <w:pPr>
        <w:ind w:left="360"/>
        <w:rPr>
          <w:sz w:val="24"/>
          <w:szCs w:val="24"/>
        </w:rPr>
      </w:pPr>
    </w:p>
    <w:p w:rsidR="003F0605" w:rsidRDefault="003F0605" w:rsidP="00F07FED">
      <w:pPr>
        <w:ind w:left="360"/>
        <w:rPr>
          <w:sz w:val="24"/>
          <w:szCs w:val="24"/>
        </w:rPr>
      </w:pPr>
    </w:p>
    <w:p w:rsidR="00A139D9" w:rsidRDefault="00A139D9" w:rsidP="008C1523">
      <w:pPr>
        <w:pStyle w:val="ListParagraph"/>
        <w:numPr>
          <w:ilvl w:val="0"/>
          <w:numId w:val="8"/>
        </w:numPr>
        <w:rPr>
          <w:b/>
          <w:szCs w:val="24"/>
        </w:rPr>
      </w:pPr>
      <w:r w:rsidRPr="004B355B">
        <w:rPr>
          <w:b/>
          <w:szCs w:val="24"/>
        </w:rPr>
        <w:t>Optional Services Pricing</w:t>
      </w:r>
    </w:p>
    <w:p w:rsidR="0079349D" w:rsidRPr="0079349D" w:rsidRDefault="0079349D" w:rsidP="0079349D">
      <w:pPr>
        <w:pStyle w:val="ListParagraph"/>
        <w:spacing w:after="200" w:line="276" w:lineRule="auto"/>
        <w:rPr>
          <w:bCs/>
          <w:szCs w:val="24"/>
        </w:rPr>
      </w:pPr>
      <w:r w:rsidRPr="0079349D">
        <w:rPr>
          <w:bCs/>
          <w:szCs w:val="24"/>
        </w:rPr>
        <w:t xml:space="preserve">Proposer </w:t>
      </w:r>
      <w:r>
        <w:rPr>
          <w:bCs/>
          <w:szCs w:val="24"/>
        </w:rPr>
        <w:t>may</w:t>
      </w:r>
      <w:r w:rsidRPr="0079349D">
        <w:rPr>
          <w:bCs/>
          <w:szCs w:val="24"/>
        </w:rPr>
        <w:t xml:space="preserve"> provide hourly rates for </w:t>
      </w:r>
      <w:r>
        <w:rPr>
          <w:bCs/>
          <w:szCs w:val="24"/>
        </w:rPr>
        <w:t xml:space="preserve">any of </w:t>
      </w:r>
      <w:r w:rsidRPr="0079349D">
        <w:rPr>
          <w:bCs/>
          <w:szCs w:val="24"/>
        </w:rPr>
        <w:t xml:space="preserve">the following </w:t>
      </w:r>
      <w:r>
        <w:rPr>
          <w:bCs/>
          <w:szCs w:val="24"/>
        </w:rPr>
        <w:t xml:space="preserve">additional </w:t>
      </w:r>
      <w:r w:rsidRPr="0079349D">
        <w:rPr>
          <w:bCs/>
          <w:szCs w:val="24"/>
        </w:rPr>
        <w:t>services</w:t>
      </w:r>
      <w:r>
        <w:rPr>
          <w:bCs/>
          <w:szCs w:val="24"/>
        </w:rPr>
        <w:t xml:space="preserve"> they offer</w:t>
      </w:r>
      <w:r w:rsidRPr="0079349D">
        <w:rPr>
          <w:bCs/>
          <w:szCs w:val="24"/>
        </w:rPr>
        <w:t>, for the initial two-year contract term.</w:t>
      </w:r>
      <w:r w:rsidR="00BF3676">
        <w:rPr>
          <w:bCs/>
          <w:szCs w:val="24"/>
        </w:rPr>
        <w:t xml:space="preserve"> Turnaround times for each of these services to be negotiated.</w:t>
      </w:r>
    </w:p>
    <w:p w:rsidR="00A139D9" w:rsidRDefault="00A139D9" w:rsidP="00A139D9">
      <w:pPr>
        <w:rPr>
          <w:szCs w:val="24"/>
        </w:rPr>
      </w:pPr>
    </w:p>
    <w:tbl>
      <w:tblPr>
        <w:tblW w:w="89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3950"/>
      </w:tblGrid>
      <w:tr w:rsidR="00BF3676" w:rsidRPr="00234E4F" w:rsidTr="0076209D">
        <w:trPr>
          <w:trHeight w:hRule="exact" w:val="974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F3676" w:rsidRPr="00D93CB7" w:rsidRDefault="00BF3676" w:rsidP="000255E5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Hourly Rate for: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Default="00BF3676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Regular </w:t>
            </w:r>
          </w:p>
          <w:p w:rsidR="00BF3676" w:rsidRPr="00234E4F" w:rsidRDefault="00BF3676" w:rsidP="000255E5">
            <w:pPr>
              <w:kinsoku w:val="0"/>
              <w:overflowPunct w:val="0"/>
              <w:autoSpaceDE w:val="0"/>
              <w:autoSpaceDN w:val="0"/>
              <w:adjustRightInd w:val="0"/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(Non-Rush)</w:t>
            </w:r>
          </w:p>
        </w:tc>
      </w:tr>
      <w:tr w:rsidR="00BF3676" w:rsidRPr="00234E4F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676" w:rsidRPr="00234E4F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Consultation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676" w:rsidRPr="00234E4F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Talent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676" w:rsidRPr="00234E4F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Director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Pr="00234E4F" w:rsidRDefault="00BF3676" w:rsidP="004F0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F3676" w:rsidRPr="00234E4F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 w:rsidRPr="004B355B">
              <w:rPr>
                <w:sz w:val="24"/>
                <w:szCs w:val="24"/>
              </w:rPr>
              <w:t>Recording Studio Fees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Review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Language Editing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BF3676" w:rsidRPr="00234E4F" w:rsidTr="0076209D">
        <w:trPr>
          <w:trHeight w:val="20"/>
          <w:jc w:val="center"/>
        </w:trPr>
        <w:tc>
          <w:tcPr>
            <w:tcW w:w="4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3676" w:rsidRDefault="00BF3676" w:rsidP="004F052B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Readability and Usability Review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</w:tcPr>
          <w:p w:rsidR="00BF3676" w:rsidRPr="00234E4F" w:rsidRDefault="00BF3676" w:rsidP="004F052B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</w:tbl>
    <w:p w:rsidR="00A139D9" w:rsidRDefault="00A139D9" w:rsidP="00A139D9">
      <w:pPr>
        <w:rPr>
          <w:szCs w:val="24"/>
        </w:rPr>
      </w:pPr>
    </w:p>
    <w:p w:rsidR="00A139D9" w:rsidRPr="00A139D9" w:rsidRDefault="00A139D9" w:rsidP="00A139D9">
      <w:pPr>
        <w:rPr>
          <w:szCs w:val="24"/>
        </w:rPr>
      </w:pPr>
    </w:p>
    <w:p w:rsidR="0079349D" w:rsidRPr="0079349D" w:rsidRDefault="00F07FED" w:rsidP="008C1523">
      <w:pPr>
        <w:pStyle w:val="ListParagraph"/>
        <w:keepNext/>
        <w:numPr>
          <w:ilvl w:val="0"/>
          <w:numId w:val="8"/>
        </w:numPr>
        <w:rPr>
          <w:szCs w:val="24"/>
        </w:rPr>
      </w:pPr>
      <w:r w:rsidRPr="00C94FBC">
        <w:rPr>
          <w:b/>
          <w:bCs/>
          <w:szCs w:val="24"/>
        </w:rPr>
        <w:lastRenderedPageBreak/>
        <w:t>Minimum Fees</w:t>
      </w:r>
      <w:r w:rsidR="004B355B" w:rsidRPr="00C94FBC">
        <w:rPr>
          <w:b/>
          <w:bCs/>
          <w:szCs w:val="24"/>
        </w:rPr>
        <w:t xml:space="preserve">. </w:t>
      </w:r>
    </w:p>
    <w:p w:rsidR="00F07FED" w:rsidRDefault="004B355B" w:rsidP="0079349D">
      <w:pPr>
        <w:pStyle w:val="ListParagraph"/>
        <w:keepNext/>
        <w:rPr>
          <w:szCs w:val="24"/>
        </w:rPr>
      </w:pPr>
      <w:r w:rsidRPr="00C94FBC">
        <w:rPr>
          <w:szCs w:val="24"/>
        </w:rPr>
        <w:t xml:space="preserve">Provide a description of any applicable minimum charges for the </w:t>
      </w:r>
      <w:r w:rsidR="003F0605">
        <w:rPr>
          <w:szCs w:val="24"/>
        </w:rPr>
        <w:t>i</w:t>
      </w:r>
      <w:r w:rsidRPr="00C94FBC">
        <w:rPr>
          <w:szCs w:val="24"/>
        </w:rPr>
        <w:t xml:space="preserve">nitial </w:t>
      </w:r>
      <w:r w:rsidR="003F0605">
        <w:rPr>
          <w:szCs w:val="24"/>
        </w:rPr>
        <w:t>two-year contract term.</w:t>
      </w:r>
    </w:p>
    <w:tbl>
      <w:tblPr>
        <w:tblW w:w="9468" w:type="dxa"/>
        <w:tblInd w:w="108" w:type="dxa"/>
        <w:tblLook w:val="01E0" w:firstRow="1" w:lastRow="1" w:firstColumn="1" w:lastColumn="1" w:noHBand="0" w:noVBand="0"/>
      </w:tblPr>
      <w:tblGrid>
        <w:gridCol w:w="2844"/>
        <w:gridCol w:w="2196"/>
        <w:gridCol w:w="2160"/>
        <w:gridCol w:w="2268"/>
      </w:tblGrid>
      <w:tr w:rsidR="00F07FED" w:rsidRPr="00234E4F" w:rsidTr="0079349D">
        <w:trPr>
          <w:trHeight w:val="868"/>
          <w:tblHeader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7FED" w:rsidRPr="0079349D" w:rsidRDefault="00F07FED" w:rsidP="0079349D">
            <w:pPr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Translat</w:t>
            </w:r>
            <w:r w:rsidR="0079349D">
              <w:rPr>
                <w:b/>
                <w:sz w:val="24"/>
                <w:szCs w:val="24"/>
              </w:rPr>
              <w:t>ions from English to: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07FED" w:rsidRPr="0079349D" w:rsidRDefault="003F0605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Regular</w:t>
            </w:r>
          </w:p>
          <w:p w:rsidR="00F07FED" w:rsidRPr="0079349D" w:rsidRDefault="00F07FE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(Non-Rush)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07FED" w:rsidRPr="0079349D" w:rsidRDefault="003F0605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Rush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07FED" w:rsidRPr="0079349D" w:rsidRDefault="003F0605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Urgent</w:t>
            </w:r>
          </w:p>
        </w:tc>
      </w:tr>
      <w:tr w:rsidR="00F07FED" w:rsidRPr="00234E4F" w:rsidTr="003F0605">
        <w:trPr>
          <w:trHeight w:val="269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Arabic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3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Armenian (Eastern)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314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Armenian (Western)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30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Chinese Simplified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251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Chinese Traditional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287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Farsi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Hmong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7423A4" w:rsidRPr="00234E4F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4" w:rsidRPr="00234E4F" w:rsidRDefault="007423A4" w:rsidP="0079349D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Khmer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423A4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423A4" w:rsidRPr="00C94FBC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423A4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27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Korean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35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Punjabi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305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Russian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251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Spanish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296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Tagalog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F07FED" w:rsidRPr="00234E4F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ED" w:rsidRPr="00234E4F" w:rsidRDefault="00F07FED" w:rsidP="0079349D">
            <w:pPr>
              <w:keepNext/>
              <w:keepLines/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Vietnamese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07FED" w:rsidRPr="00C94FBC" w:rsidRDefault="00F07FED" w:rsidP="0079349D">
            <w:pPr>
              <w:rPr>
                <w:sz w:val="24"/>
                <w:szCs w:val="24"/>
              </w:rPr>
            </w:pPr>
            <w:r w:rsidRPr="00C94FBC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FED" w:rsidRPr="00234E4F" w:rsidRDefault="00F07FE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79349D" w:rsidRPr="00234E4F" w:rsidTr="0079349D">
        <w:trPr>
          <w:trHeight w:val="868"/>
          <w:tblHeader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9D" w:rsidRPr="0079349D" w:rsidRDefault="0079349D" w:rsidP="0079349D">
            <w:pPr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Hourly Service</w:t>
            </w:r>
            <w:r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Regular</w:t>
            </w:r>
          </w:p>
          <w:p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(Non-Rush)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Rush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79349D" w:rsidRPr="0079349D" w:rsidRDefault="0079349D" w:rsidP="0079349D">
            <w:pPr>
              <w:jc w:val="center"/>
              <w:rPr>
                <w:b/>
                <w:sz w:val="24"/>
                <w:szCs w:val="24"/>
              </w:rPr>
            </w:pPr>
            <w:r w:rsidRPr="0079349D">
              <w:rPr>
                <w:b/>
                <w:sz w:val="24"/>
                <w:szCs w:val="24"/>
              </w:rPr>
              <w:t>Urgent</w:t>
            </w:r>
          </w:p>
        </w:tc>
      </w:tr>
      <w:tr w:rsidR="0079349D" w:rsidRPr="00234E4F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Modifications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79349D" w:rsidRPr="00234E4F" w:rsidTr="003F0605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Formatting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Testing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Consultation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Voice Talent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Pr="00234E4F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Director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 w:rsidRPr="004B355B">
              <w:rPr>
                <w:sz w:val="24"/>
                <w:szCs w:val="24"/>
              </w:rPr>
              <w:t>Recording Studio Fees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Review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Plain Language Editing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  <w:tr w:rsidR="0079349D" w:rsidRPr="00234E4F" w:rsidTr="00BF3676">
        <w:trPr>
          <w:trHeight w:val="323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9D" w:rsidRDefault="0079349D" w:rsidP="0079349D">
            <w:pPr>
              <w:kinsoku w:val="0"/>
              <w:overflowPunct w:val="0"/>
              <w:autoSpaceDE w:val="0"/>
              <w:autoSpaceDN w:val="0"/>
              <w:adjustRightInd w:val="0"/>
              <w:ind w:left="121"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Readability and Usability Review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  <w:r w:rsidRPr="00234E4F">
              <w:rPr>
                <w:sz w:val="24"/>
                <w:szCs w:val="24"/>
              </w:rPr>
              <w:t>$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349D" w:rsidRPr="00234E4F" w:rsidRDefault="0079349D" w:rsidP="0079349D">
            <w:pPr>
              <w:rPr>
                <w:sz w:val="24"/>
                <w:szCs w:val="24"/>
              </w:rPr>
            </w:pPr>
          </w:p>
        </w:tc>
      </w:tr>
    </w:tbl>
    <w:p w:rsidR="00FC3A59" w:rsidRPr="00234E4F" w:rsidRDefault="00FC3A59" w:rsidP="00FC3A59">
      <w:pPr>
        <w:ind w:left="360"/>
        <w:rPr>
          <w:sz w:val="24"/>
          <w:szCs w:val="24"/>
        </w:rPr>
      </w:pPr>
    </w:p>
    <w:p w:rsidR="00FC3A59" w:rsidRPr="00C94FBC" w:rsidRDefault="00FC3A59" w:rsidP="008C1523">
      <w:pPr>
        <w:pStyle w:val="ListParagraph"/>
        <w:keepNext/>
        <w:numPr>
          <w:ilvl w:val="0"/>
          <w:numId w:val="8"/>
        </w:numPr>
        <w:rPr>
          <w:b/>
          <w:bCs/>
          <w:szCs w:val="24"/>
        </w:rPr>
      </w:pPr>
      <w:r w:rsidRPr="00C94FBC">
        <w:rPr>
          <w:b/>
          <w:bCs/>
          <w:szCs w:val="24"/>
        </w:rPr>
        <w:t>Fees for Additional Services</w:t>
      </w:r>
    </w:p>
    <w:p w:rsidR="00C94FBC" w:rsidRDefault="00FC3A59" w:rsidP="00FC3A59">
      <w:pPr>
        <w:keepNext/>
        <w:ind w:left="360"/>
        <w:rPr>
          <w:sz w:val="24"/>
          <w:szCs w:val="24"/>
        </w:rPr>
      </w:pPr>
      <w:r w:rsidRPr="00234E4F">
        <w:rPr>
          <w:sz w:val="24"/>
          <w:szCs w:val="24"/>
        </w:rPr>
        <w:t>Describe any additional services and pricing for the Initial Term, including</w:t>
      </w:r>
      <w:r w:rsidR="00C94FBC">
        <w:rPr>
          <w:sz w:val="24"/>
          <w:szCs w:val="24"/>
        </w:rPr>
        <w:t>:</w:t>
      </w:r>
    </w:p>
    <w:p w:rsidR="00C94FBC" w:rsidRDefault="00C94FBC" w:rsidP="00FC3A59">
      <w:pPr>
        <w:keepNext/>
        <w:ind w:left="360"/>
        <w:rPr>
          <w:sz w:val="24"/>
          <w:szCs w:val="24"/>
        </w:rPr>
      </w:pPr>
    </w:p>
    <w:p w:rsidR="00C94FBC" w:rsidRPr="004F052B" w:rsidRDefault="00C94FBC" w:rsidP="004F052B">
      <w:pPr>
        <w:pStyle w:val="ListParagraph"/>
        <w:keepNext/>
        <w:numPr>
          <w:ilvl w:val="0"/>
          <w:numId w:val="14"/>
        </w:numPr>
        <w:rPr>
          <w:szCs w:val="24"/>
        </w:rPr>
      </w:pPr>
      <w:r w:rsidRPr="004F052B">
        <w:rPr>
          <w:szCs w:val="24"/>
        </w:rPr>
        <w:t>Additional languages</w:t>
      </w:r>
    </w:p>
    <w:p w:rsidR="00C94FBC" w:rsidRPr="004F052B" w:rsidRDefault="00C94FBC" w:rsidP="004F052B">
      <w:pPr>
        <w:pStyle w:val="ListParagraph"/>
        <w:keepNext/>
        <w:numPr>
          <w:ilvl w:val="0"/>
          <w:numId w:val="14"/>
        </w:numPr>
        <w:rPr>
          <w:szCs w:val="24"/>
        </w:rPr>
      </w:pPr>
      <w:r w:rsidRPr="004F052B">
        <w:rPr>
          <w:szCs w:val="24"/>
        </w:rPr>
        <w:t>Per word and per hour rates for work in additional languages, in accordance with the stated turnaround times. Include maximum translation fee for languages not listed in the proposal.</w:t>
      </w:r>
    </w:p>
    <w:p w:rsidR="00FC3A59" w:rsidRPr="004F052B" w:rsidRDefault="00C94FBC" w:rsidP="004F052B">
      <w:pPr>
        <w:pStyle w:val="ListParagraph"/>
        <w:keepNext/>
        <w:numPr>
          <w:ilvl w:val="0"/>
          <w:numId w:val="14"/>
        </w:numPr>
        <w:rPr>
          <w:szCs w:val="24"/>
        </w:rPr>
      </w:pPr>
      <w:r w:rsidRPr="004F052B">
        <w:rPr>
          <w:szCs w:val="24"/>
        </w:rPr>
        <w:t>Pricing structure and rates for additional services not included in this Pricing List.</w:t>
      </w:r>
    </w:p>
    <w:bookmarkEnd w:id="3"/>
    <w:p w:rsidR="00EA241C" w:rsidRPr="00234E4F" w:rsidRDefault="00EA241C" w:rsidP="00EE4252">
      <w:pPr>
        <w:rPr>
          <w:sz w:val="24"/>
          <w:szCs w:val="24"/>
        </w:rPr>
      </w:pPr>
    </w:p>
    <w:sectPr w:rsidR="00EA241C" w:rsidRPr="00234E4F" w:rsidSect="00275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8B1" w:rsidRDefault="009368B1" w:rsidP="006037DD">
      <w:r>
        <w:separator/>
      </w:r>
    </w:p>
  </w:endnote>
  <w:endnote w:type="continuationSeparator" w:id="0">
    <w:p w:rsidR="009368B1" w:rsidRDefault="009368B1" w:rsidP="0060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E" w:rsidRDefault="006B1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5E5" w:rsidRDefault="000255E5">
    <w:pPr>
      <w:pStyle w:val="Footer"/>
      <w:jc w:val="right"/>
    </w:pPr>
    <w:r w:rsidRPr="00275ECE">
      <w:t xml:space="preserve"> </w:t>
    </w:r>
    <w:sdt>
      <w:sdtPr>
        <w:id w:val="565050523"/>
        <w:docPartObj>
          <w:docPartGallery w:val="Page Numbers (Top of Page)"/>
          <w:docPartUnique/>
        </w:docPartObj>
      </w:sdtPr>
      <w:sdtEndPr/>
      <w:sdtContent>
        <w:r w:rsidRPr="00EF330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  <w:r w:rsidRPr="00EF330D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E" w:rsidRDefault="006B1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8B1" w:rsidRDefault="009368B1" w:rsidP="006037DD">
      <w:r>
        <w:separator/>
      </w:r>
    </w:p>
  </w:footnote>
  <w:footnote w:type="continuationSeparator" w:id="0">
    <w:p w:rsidR="009368B1" w:rsidRDefault="009368B1" w:rsidP="0060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E" w:rsidRDefault="006B1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52" w:rsidRDefault="008C6052" w:rsidP="008C6052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RFP # CFCC-2019-0</w:t>
    </w:r>
    <w:r w:rsidR="00065C82">
      <w:rPr>
        <w:rFonts w:ascii="Arial" w:hAnsi="Arial" w:cs="Arial"/>
        <w:caps w:val="0"/>
        <w:sz w:val="18"/>
        <w:szCs w:val="18"/>
      </w:rPr>
      <w:t>8</w:t>
    </w:r>
    <w:r>
      <w:rPr>
        <w:rFonts w:ascii="Arial" w:hAnsi="Arial" w:cs="Arial"/>
        <w:caps w:val="0"/>
        <w:sz w:val="18"/>
        <w:szCs w:val="18"/>
      </w:rPr>
      <w:t>-MS</w:t>
    </w:r>
  </w:p>
  <w:p w:rsidR="008C6052" w:rsidRDefault="008C6052" w:rsidP="008C6052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Statewide Translation Services</w:t>
    </w:r>
  </w:p>
  <w:p w:rsidR="000255E5" w:rsidRDefault="00025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E" w:rsidRDefault="006B1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075"/>
    <w:multiLevelType w:val="hybridMultilevel"/>
    <w:tmpl w:val="8920F170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106"/>
        </w:tabs>
        <w:ind w:left="210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2A8D11B3"/>
    <w:multiLevelType w:val="hybridMultilevel"/>
    <w:tmpl w:val="FEE06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6784"/>
    <w:multiLevelType w:val="multilevel"/>
    <w:tmpl w:val="1F9C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 w15:restartNumberingAfterBreak="0">
    <w:nsid w:val="3DF234AF"/>
    <w:multiLevelType w:val="hybridMultilevel"/>
    <w:tmpl w:val="9CA037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AE17E6"/>
    <w:multiLevelType w:val="hybridMultilevel"/>
    <w:tmpl w:val="1B7CCC08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530C4"/>
    <w:multiLevelType w:val="hybridMultilevel"/>
    <w:tmpl w:val="0206FB2A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C04A5"/>
    <w:multiLevelType w:val="multilevel"/>
    <w:tmpl w:val="ED94ED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368"/>
        </w:tabs>
        <w:ind w:left="1368" w:hanging="432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cs="Times New Roman"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cs="Times New Roman"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3FD60BD"/>
    <w:multiLevelType w:val="multilevel"/>
    <w:tmpl w:val="86B0924A"/>
    <w:lvl w:ilvl="0">
      <w:start w:val="1"/>
      <w:numFmt w:val="decimal"/>
      <w:pStyle w:val="ExhibitC2"/>
      <w:lvlText w:val="%1."/>
      <w:lvlJc w:val="left"/>
      <w:pPr>
        <w:tabs>
          <w:tab w:val="num" w:pos="1710"/>
        </w:tabs>
        <w:ind w:left="171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6B6521D"/>
    <w:multiLevelType w:val="hybridMultilevel"/>
    <w:tmpl w:val="2AA675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A646CE"/>
    <w:multiLevelType w:val="hybridMultilevel"/>
    <w:tmpl w:val="8920F170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0E0E"/>
    <w:multiLevelType w:val="hybridMultilevel"/>
    <w:tmpl w:val="DACE88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24B7"/>
    <w:multiLevelType w:val="multilevel"/>
    <w:tmpl w:val="403A8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 Bold" w:hAnsi="Times New Roman Bold" w:cs="Times New Roman" w:hint="default"/>
        <w:b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368"/>
        </w:tabs>
        <w:ind w:left="1368" w:hanging="432"/>
      </w:pPr>
      <w:rPr>
        <w:rFonts w:ascii="Times New Roman Bold" w:hAnsi="Times New Roman Bold" w:cs="Times New Roman"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cs="Times New Roman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cs="Times New Roman"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cs="Times New Roman"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9274BE"/>
    <w:multiLevelType w:val="hybridMultilevel"/>
    <w:tmpl w:val="E4C28CA0"/>
    <w:lvl w:ilvl="0" w:tplc="FAA08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6070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2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9"/>
  </w:num>
  <w:num w:numId="13">
    <w:abstractNumId w:val="1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94"/>
    <w:rsid w:val="000255E5"/>
    <w:rsid w:val="00065C82"/>
    <w:rsid w:val="00094E5C"/>
    <w:rsid w:val="000C1E66"/>
    <w:rsid w:val="000D04DF"/>
    <w:rsid w:val="000E4FAE"/>
    <w:rsid w:val="0011220F"/>
    <w:rsid w:val="001134C1"/>
    <w:rsid w:val="00146F48"/>
    <w:rsid w:val="00153664"/>
    <w:rsid w:val="00160155"/>
    <w:rsid w:val="00183692"/>
    <w:rsid w:val="00192222"/>
    <w:rsid w:val="001935D1"/>
    <w:rsid w:val="001A4EC2"/>
    <w:rsid w:val="001A61D6"/>
    <w:rsid w:val="00202865"/>
    <w:rsid w:val="00211E4D"/>
    <w:rsid w:val="00234E4F"/>
    <w:rsid w:val="0024251C"/>
    <w:rsid w:val="002541EC"/>
    <w:rsid w:val="00271C5E"/>
    <w:rsid w:val="00275ECE"/>
    <w:rsid w:val="002A1397"/>
    <w:rsid w:val="002B2642"/>
    <w:rsid w:val="002B4880"/>
    <w:rsid w:val="002F0431"/>
    <w:rsid w:val="00317980"/>
    <w:rsid w:val="00322485"/>
    <w:rsid w:val="00332C12"/>
    <w:rsid w:val="00366C9B"/>
    <w:rsid w:val="00394671"/>
    <w:rsid w:val="003B687B"/>
    <w:rsid w:val="003C2EE7"/>
    <w:rsid w:val="003E0B30"/>
    <w:rsid w:val="003F0605"/>
    <w:rsid w:val="004050EC"/>
    <w:rsid w:val="00426CB0"/>
    <w:rsid w:val="00490E01"/>
    <w:rsid w:val="004A7398"/>
    <w:rsid w:val="004B355B"/>
    <w:rsid w:val="004D25D3"/>
    <w:rsid w:val="004F052B"/>
    <w:rsid w:val="005321B1"/>
    <w:rsid w:val="00573622"/>
    <w:rsid w:val="00583584"/>
    <w:rsid w:val="005C0C8A"/>
    <w:rsid w:val="005C3F2A"/>
    <w:rsid w:val="005C6F02"/>
    <w:rsid w:val="005F02BB"/>
    <w:rsid w:val="005F462B"/>
    <w:rsid w:val="006037DD"/>
    <w:rsid w:val="00630D4E"/>
    <w:rsid w:val="006414FD"/>
    <w:rsid w:val="0064350C"/>
    <w:rsid w:val="006870FF"/>
    <w:rsid w:val="006B160E"/>
    <w:rsid w:val="006B6DAD"/>
    <w:rsid w:val="006D5EE9"/>
    <w:rsid w:val="006E0155"/>
    <w:rsid w:val="006E38AD"/>
    <w:rsid w:val="006F06B4"/>
    <w:rsid w:val="006F59D3"/>
    <w:rsid w:val="006F7CD1"/>
    <w:rsid w:val="00701743"/>
    <w:rsid w:val="007179CE"/>
    <w:rsid w:val="007423A4"/>
    <w:rsid w:val="007458FB"/>
    <w:rsid w:val="0076209D"/>
    <w:rsid w:val="00777627"/>
    <w:rsid w:val="007778E4"/>
    <w:rsid w:val="007845D2"/>
    <w:rsid w:val="0079349D"/>
    <w:rsid w:val="007D5D46"/>
    <w:rsid w:val="007E16AC"/>
    <w:rsid w:val="007E21A1"/>
    <w:rsid w:val="0081111A"/>
    <w:rsid w:val="0083170B"/>
    <w:rsid w:val="008353DB"/>
    <w:rsid w:val="0083647A"/>
    <w:rsid w:val="008544F6"/>
    <w:rsid w:val="00882264"/>
    <w:rsid w:val="008873A6"/>
    <w:rsid w:val="0089014A"/>
    <w:rsid w:val="008B1A7C"/>
    <w:rsid w:val="008C1523"/>
    <w:rsid w:val="008C5E35"/>
    <w:rsid w:val="008C6052"/>
    <w:rsid w:val="008E5B3B"/>
    <w:rsid w:val="009078AA"/>
    <w:rsid w:val="00913E96"/>
    <w:rsid w:val="00925D45"/>
    <w:rsid w:val="009368B1"/>
    <w:rsid w:val="009422FA"/>
    <w:rsid w:val="00951904"/>
    <w:rsid w:val="00980C72"/>
    <w:rsid w:val="00981D3D"/>
    <w:rsid w:val="009B3C04"/>
    <w:rsid w:val="009C142C"/>
    <w:rsid w:val="009C45A7"/>
    <w:rsid w:val="00A139D9"/>
    <w:rsid w:val="00A1557A"/>
    <w:rsid w:val="00A21A89"/>
    <w:rsid w:val="00A316F7"/>
    <w:rsid w:val="00A338BF"/>
    <w:rsid w:val="00A40461"/>
    <w:rsid w:val="00A4299F"/>
    <w:rsid w:val="00A56077"/>
    <w:rsid w:val="00A57A7E"/>
    <w:rsid w:val="00A634A8"/>
    <w:rsid w:val="00A74A0F"/>
    <w:rsid w:val="00A90758"/>
    <w:rsid w:val="00AA751B"/>
    <w:rsid w:val="00AB0F9C"/>
    <w:rsid w:val="00B07941"/>
    <w:rsid w:val="00B35057"/>
    <w:rsid w:val="00B438E6"/>
    <w:rsid w:val="00B70B8E"/>
    <w:rsid w:val="00B74333"/>
    <w:rsid w:val="00BB49D8"/>
    <w:rsid w:val="00BB59EB"/>
    <w:rsid w:val="00BC3477"/>
    <w:rsid w:val="00BF3676"/>
    <w:rsid w:val="00C10231"/>
    <w:rsid w:val="00C64C94"/>
    <w:rsid w:val="00C94A9B"/>
    <w:rsid w:val="00C94FBC"/>
    <w:rsid w:val="00CA4F40"/>
    <w:rsid w:val="00D53138"/>
    <w:rsid w:val="00D55DC4"/>
    <w:rsid w:val="00D80B1F"/>
    <w:rsid w:val="00D84AC2"/>
    <w:rsid w:val="00D87944"/>
    <w:rsid w:val="00D93CB7"/>
    <w:rsid w:val="00DB05A0"/>
    <w:rsid w:val="00DB5AA3"/>
    <w:rsid w:val="00E16CE3"/>
    <w:rsid w:val="00E261D4"/>
    <w:rsid w:val="00E37AB1"/>
    <w:rsid w:val="00E53FAB"/>
    <w:rsid w:val="00EA1521"/>
    <w:rsid w:val="00EA241C"/>
    <w:rsid w:val="00EB1A27"/>
    <w:rsid w:val="00EE087D"/>
    <w:rsid w:val="00EE4252"/>
    <w:rsid w:val="00EF25F4"/>
    <w:rsid w:val="00F03798"/>
    <w:rsid w:val="00F06975"/>
    <w:rsid w:val="00F07FED"/>
    <w:rsid w:val="00F15B08"/>
    <w:rsid w:val="00F34D15"/>
    <w:rsid w:val="00F363E7"/>
    <w:rsid w:val="00F36882"/>
    <w:rsid w:val="00F41D17"/>
    <w:rsid w:val="00F8671B"/>
    <w:rsid w:val="00F95E80"/>
    <w:rsid w:val="00FB1923"/>
    <w:rsid w:val="00FC3A59"/>
    <w:rsid w:val="00FD029A"/>
    <w:rsid w:val="00FD0EBC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97AA7E9-0063-419F-B27D-846A9DAE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C94"/>
    <w:pPr>
      <w:spacing w:after="0" w:line="240" w:lineRule="auto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037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1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11A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C64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64C94"/>
    <w:rPr>
      <w:rFonts w:ascii="Courier New" w:hAnsi="Courier New" w:cs="Courier New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rsid w:val="003224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2485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248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2485"/>
    <w:rPr>
      <w:rFonts w:eastAsia="Times New Roman" w:cs="Times New Roman"/>
      <w:b/>
      <w:bCs/>
    </w:rPr>
  </w:style>
  <w:style w:type="paragraph" w:customStyle="1" w:styleId="Heading10">
    <w:name w:val="Heading10"/>
    <w:basedOn w:val="Heading9"/>
    <w:rsid w:val="00F03798"/>
    <w:pPr>
      <w:keepLines w:val="0"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 w:cs="Times New Roman"/>
      <w:b/>
      <w:bCs/>
      <w:i w:val="0"/>
      <w:iCs w:val="0"/>
      <w:caps/>
      <w:color w:val="auto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037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D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DD"/>
    <w:rPr>
      <w:sz w:val="20"/>
      <w:szCs w:val="20"/>
    </w:rPr>
  </w:style>
  <w:style w:type="paragraph" w:customStyle="1" w:styleId="ExhibitC1">
    <w:name w:val="ExhibitC1"/>
    <w:basedOn w:val="Normal"/>
    <w:rsid w:val="00583584"/>
    <w:pPr>
      <w:numPr>
        <w:numId w:val="1"/>
      </w:numPr>
    </w:pPr>
    <w:rPr>
      <w:noProof/>
      <w:sz w:val="24"/>
      <w:u w:val="single"/>
    </w:rPr>
  </w:style>
  <w:style w:type="paragraph" w:customStyle="1" w:styleId="ExhibitC2">
    <w:name w:val="ExhibitC2"/>
    <w:basedOn w:val="Normal"/>
    <w:rsid w:val="00583584"/>
    <w:pPr>
      <w:numPr>
        <w:numId w:val="2"/>
      </w:numPr>
      <w:tabs>
        <w:tab w:val="clear" w:pos="1710"/>
        <w:tab w:val="num" w:pos="1440"/>
      </w:tabs>
      <w:ind w:left="1440"/>
    </w:pPr>
    <w:rPr>
      <w:noProof/>
      <w:sz w:val="24"/>
    </w:rPr>
  </w:style>
  <w:style w:type="paragraph" w:customStyle="1" w:styleId="ExhibitC3">
    <w:name w:val="ExhibitC3"/>
    <w:basedOn w:val="Normal"/>
    <w:rsid w:val="00583584"/>
    <w:pPr>
      <w:keepNext/>
      <w:numPr>
        <w:ilvl w:val="2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 w:val="24"/>
    </w:rPr>
  </w:style>
  <w:style w:type="paragraph" w:styleId="ListParagraph">
    <w:name w:val="List Paragraph"/>
    <w:basedOn w:val="Normal"/>
    <w:uiPriority w:val="34"/>
    <w:qFormat/>
    <w:rsid w:val="00F07FED"/>
    <w:pPr>
      <w:ind w:left="720"/>
    </w:pPr>
    <w:rPr>
      <w:sz w:val="24"/>
    </w:rPr>
  </w:style>
  <w:style w:type="table" w:styleId="TableGrid">
    <w:name w:val="Table Grid"/>
    <w:basedOn w:val="TableNormal"/>
    <w:uiPriority w:val="99"/>
    <w:locked/>
    <w:rsid w:val="00F07F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C4">
    <w:name w:val="ExhibitC4"/>
    <w:basedOn w:val="Normal"/>
    <w:rsid w:val="00F07FED"/>
    <w:pPr>
      <w:tabs>
        <w:tab w:val="num" w:pos="2448"/>
      </w:tabs>
      <w:spacing w:before="120" w:after="120"/>
      <w:ind w:left="2448" w:hanging="432"/>
    </w:pPr>
    <w:rPr>
      <w:sz w:val="24"/>
    </w:rPr>
  </w:style>
  <w:style w:type="paragraph" w:customStyle="1" w:styleId="ExhibitC5">
    <w:name w:val="ExhibitC5"/>
    <w:basedOn w:val="Normal"/>
    <w:rsid w:val="00F07FED"/>
    <w:pPr>
      <w:tabs>
        <w:tab w:val="num" w:pos="3024"/>
      </w:tabs>
      <w:spacing w:before="120" w:after="120"/>
      <w:ind w:left="3024" w:hanging="576"/>
    </w:pPr>
    <w:rPr>
      <w:sz w:val="24"/>
    </w:rPr>
  </w:style>
  <w:style w:type="paragraph" w:customStyle="1" w:styleId="ExhibitC6">
    <w:name w:val="ExhibitC6"/>
    <w:basedOn w:val="Normal"/>
    <w:rsid w:val="00F07FED"/>
    <w:pPr>
      <w:tabs>
        <w:tab w:val="num" w:pos="3600"/>
      </w:tabs>
      <w:spacing w:before="120" w:after="120"/>
      <w:ind w:left="3600" w:hanging="576"/>
    </w:pPr>
    <w:rPr>
      <w:sz w:val="24"/>
    </w:rPr>
  </w:style>
  <w:style w:type="paragraph" w:customStyle="1" w:styleId="ExhibitC7">
    <w:name w:val="ExhibitC7"/>
    <w:basedOn w:val="Normal"/>
    <w:rsid w:val="00F07FED"/>
    <w:pPr>
      <w:tabs>
        <w:tab w:val="num" w:pos="4176"/>
      </w:tabs>
      <w:spacing w:before="120" w:after="120"/>
      <w:ind w:left="4176" w:hanging="576"/>
    </w:pPr>
    <w:rPr>
      <w:sz w:val="24"/>
    </w:rPr>
  </w:style>
  <w:style w:type="paragraph" w:customStyle="1" w:styleId="JCCReportCoverSubhead">
    <w:name w:val="JCC Report Cover Subhead"/>
    <w:basedOn w:val="Normal"/>
    <w:rsid w:val="0076209D"/>
    <w:pPr>
      <w:spacing w:line="400" w:lineRule="atLeast"/>
    </w:pPr>
    <w:rPr>
      <w:rFonts w:ascii="Goudy Old Style" w:hAnsi="Goudy Old Style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IRAN CONTRACTING ACT</vt:lpstr>
    </vt:vector>
  </TitlesOfParts>
  <Company>Department of General Services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CONTRACTING ACT</dc:title>
  <dc:creator>adewees</dc:creator>
  <cp:lastModifiedBy>Smith, Marissa</cp:lastModifiedBy>
  <cp:revision>2</cp:revision>
  <cp:lastPrinted>2016-03-09T17:44:00Z</cp:lastPrinted>
  <dcterms:created xsi:type="dcterms:W3CDTF">2019-08-21T20:08:00Z</dcterms:created>
  <dcterms:modified xsi:type="dcterms:W3CDTF">2019-08-21T20:08:00Z</dcterms:modified>
</cp:coreProperties>
</file>