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7A5" w:rsidRPr="003C7E17" w:rsidRDefault="004757A5" w:rsidP="000B2D1F">
      <w:pPr>
        <w:autoSpaceDE w:val="0"/>
        <w:autoSpaceDN w:val="0"/>
        <w:adjustRightInd w:val="0"/>
        <w:ind w:left="-180" w:hanging="540"/>
        <w:jc w:val="center"/>
        <w:rPr>
          <w:b/>
          <w:bCs/>
          <w:color w:val="000000" w:themeColor="text1"/>
          <w:sz w:val="28"/>
          <w:szCs w:val="28"/>
        </w:rPr>
      </w:pPr>
      <w:r w:rsidRPr="003C7E17">
        <w:rPr>
          <w:b/>
          <w:bCs/>
          <w:color w:val="000000" w:themeColor="text1"/>
          <w:sz w:val="28"/>
          <w:szCs w:val="28"/>
        </w:rPr>
        <w:t>ADMINISTRATIVE OFFICE OF THE COURTS</w:t>
      </w:r>
    </w:p>
    <w:p w:rsidR="004757A5" w:rsidRPr="003C7E17" w:rsidRDefault="004757A5" w:rsidP="000B2D1F">
      <w:pPr>
        <w:autoSpaceDE w:val="0"/>
        <w:autoSpaceDN w:val="0"/>
        <w:adjustRightInd w:val="0"/>
        <w:ind w:left="-180" w:hanging="540"/>
        <w:jc w:val="center"/>
        <w:rPr>
          <w:b/>
          <w:bCs/>
          <w:color w:val="000000" w:themeColor="text1"/>
          <w:sz w:val="16"/>
          <w:szCs w:val="16"/>
        </w:rPr>
      </w:pPr>
    </w:p>
    <w:p w:rsidR="004757A5" w:rsidRPr="003C7E17" w:rsidRDefault="004757A5" w:rsidP="000B2D1F">
      <w:pPr>
        <w:autoSpaceDE w:val="0"/>
        <w:autoSpaceDN w:val="0"/>
        <w:adjustRightInd w:val="0"/>
        <w:ind w:left="-180" w:hanging="540"/>
        <w:jc w:val="center"/>
        <w:rPr>
          <w:b/>
          <w:bCs/>
          <w:color w:val="000000" w:themeColor="text1"/>
          <w:sz w:val="28"/>
          <w:szCs w:val="28"/>
        </w:rPr>
      </w:pPr>
      <w:r w:rsidRPr="003C7E17">
        <w:rPr>
          <w:b/>
          <w:bCs/>
          <w:color w:val="000000" w:themeColor="text1"/>
          <w:sz w:val="28"/>
          <w:szCs w:val="28"/>
        </w:rPr>
        <w:t>QUESTIONS AND ANSWERS</w:t>
      </w:r>
    </w:p>
    <w:p w:rsidR="004757A5" w:rsidRPr="003C7E17" w:rsidRDefault="004757A5" w:rsidP="000B2D1F">
      <w:pPr>
        <w:autoSpaceDE w:val="0"/>
        <w:autoSpaceDN w:val="0"/>
        <w:adjustRightInd w:val="0"/>
        <w:ind w:left="-180" w:hanging="540"/>
        <w:jc w:val="center"/>
        <w:rPr>
          <w:b/>
          <w:bCs/>
          <w:color w:val="000000" w:themeColor="text1"/>
          <w:sz w:val="16"/>
          <w:szCs w:val="16"/>
        </w:rPr>
      </w:pPr>
    </w:p>
    <w:p w:rsidR="004757A5" w:rsidRPr="003C7E17" w:rsidRDefault="004757A5" w:rsidP="000B2D1F">
      <w:pPr>
        <w:autoSpaceDE w:val="0"/>
        <w:autoSpaceDN w:val="0"/>
        <w:adjustRightInd w:val="0"/>
        <w:ind w:left="-180" w:hanging="540"/>
        <w:jc w:val="center"/>
        <w:rPr>
          <w:b/>
          <w:bCs/>
          <w:color w:val="000000" w:themeColor="text1"/>
          <w:sz w:val="28"/>
          <w:szCs w:val="28"/>
        </w:rPr>
      </w:pPr>
    </w:p>
    <w:p w:rsidR="00263C8D" w:rsidRPr="003C7E17" w:rsidRDefault="00263C8D" w:rsidP="000B2D1F">
      <w:pPr>
        <w:autoSpaceDE w:val="0"/>
        <w:autoSpaceDN w:val="0"/>
        <w:adjustRightInd w:val="0"/>
        <w:ind w:left="-180" w:hanging="540"/>
        <w:jc w:val="center"/>
        <w:rPr>
          <w:b/>
          <w:bCs/>
          <w:color w:val="000000" w:themeColor="text1"/>
          <w:sz w:val="28"/>
          <w:szCs w:val="28"/>
        </w:rPr>
      </w:pPr>
      <w:r w:rsidRPr="003C7E17">
        <w:rPr>
          <w:b/>
          <w:bCs/>
          <w:color w:val="000000" w:themeColor="text1"/>
          <w:sz w:val="28"/>
          <w:szCs w:val="28"/>
        </w:rPr>
        <w:t xml:space="preserve">RFP Number: </w:t>
      </w:r>
      <w:r w:rsidR="003C5A6D" w:rsidRPr="003C7E17">
        <w:rPr>
          <w:b/>
          <w:bCs/>
          <w:color w:val="000000" w:themeColor="text1"/>
          <w:sz w:val="28"/>
          <w:szCs w:val="28"/>
        </w:rPr>
        <w:t xml:space="preserve">CFCC </w:t>
      </w:r>
      <w:r w:rsidR="00CD25D0" w:rsidRPr="003C7E17">
        <w:rPr>
          <w:b/>
          <w:bCs/>
          <w:color w:val="000000" w:themeColor="text1"/>
          <w:sz w:val="28"/>
          <w:szCs w:val="28"/>
        </w:rPr>
        <w:t>1</w:t>
      </w:r>
      <w:r w:rsidR="008E65D8" w:rsidRPr="003C7E17">
        <w:rPr>
          <w:b/>
          <w:bCs/>
          <w:color w:val="000000" w:themeColor="text1"/>
          <w:sz w:val="28"/>
          <w:szCs w:val="28"/>
        </w:rPr>
        <w:t>0-</w:t>
      </w:r>
      <w:r w:rsidR="003C5A6D" w:rsidRPr="003C7E17">
        <w:rPr>
          <w:b/>
          <w:bCs/>
          <w:color w:val="000000" w:themeColor="text1"/>
          <w:sz w:val="28"/>
          <w:szCs w:val="28"/>
        </w:rPr>
        <w:t>1</w:t>
      </w:r>
      <w:r w:rsidR="00CD25D0" w:rsidRPr="003C7E17">
        <w:rPr>
          <w:b/>
          <w:bCs/>
          <w:color w:val="000000" w:themeColor="text1"/>
          <w:sz w:val="28"/>
          <w:szCs w:val="28"/>
        </w:rPr>
        <w:t>3</w:t>
      </w:r>
      <w:r w:rsidR="003C5A6D" w:rsidRPr="003C7E17">
        <w:rPr>
          <w:b/>
          <w:bCs/>
          <w:color w:val="000000" w:themeColor="text1"/>
          <w:sz w:val="28"/>
          <w:szCs w:val="28"/>
        </w:rPr>
        <w:t>-</w:t>
      </w:r>
      <w:r w:rsidR="008E65D8" w:rsidRPr="003C7E17">
        <w:rPr>
          <w:b/>
          <w:bCs/>
          <w:color w:val="000000" w:themeColor="text1"/>
          <w:sz w:val="28"/>
          <w:szCs w:val="28"/>
        </w:rPr>
        <w:t>LM</w:t>
      </w:r>
      <w:r w:rsidR="00D362AD" w:rsidRPr="003C7E17">
        <w:rPr>
          <w:b/>
          <w:bCs/>
          <w:color w:val="000000" w:themeColor="text1"/>
          <w:sz w:val="28"/>
          <w:szCs w:val="28"/>
        </w:rPr>
        <w:t xml:space="preserve"> </w:t>
      </w:r>
    </w:p>
    <w:p w:rsidR="00263C8D" w:rsidRPr="003C7E17" w:rsidRDefault="00263C8D" w:rsidP="000B2D1F">
      <w:pPr>
        <w:autoSpaceDE w:val="0"/>
        <w:autoSpaceDN w:val="0"/>
        <w:adjustRightInd w:val="0"/>
        <w:ind w:left="-180" w:hanging="540"/>
        <w:jc w:val="center"/>
        <w:rPr>
          <w:b/>
          <w:bCs/>
          <w:color w:val="000000" w:themeColor="text1"/>
          <w:sz w:val="16"/>
          <w:szCs w:val="16"/>
        </w:rPr>
      </w:pPr>
    </w:p>
    <w:p w:rsidR="00263C8D" w:rsidRPr="003C7E17" w:rsidRDefault="00CD25D0" w:rsidP="000B2D1F">
      <w:pPr>
        <w:autoSpaceDE w:val="0"/>
        <w:autoSpaceDN w:val="0"/>
        <w:adjustRightInd w:val="0"/>
        <w:ind w:left="-180" w:hanging="540"/>
        <w:jc w:val="center"/>
        <w:rPr>
          <w:b/>
          <w:bCs/>
          <w:color w:val="000000" w:themeColor="text1"/>
          <w:sz w:val="28"/>
          <w:szCs w:val="28"/>
        </w:rPr>
      </w:pPr>
      <w:r w:rsidRPr="003C7E17">
        <w:rPr>
          <w:b/>
          <w:bCs/>
          <w:color w:val="000000" w:themeColor="text1"/>
          <w:sz w:val="28"/>
          <w:szCs w:val="28"/>
        </w:rPr>
        <w:t>EL Dorado</w:t>
      </w:r>
      <w:r w:rsidR="003C5A6D" w:rsidRPr="003C7E17">
        <w:rPr>
          <w:b/>
          <w:bCs/>
          <w:color w:val="000000" w:themeColor="text1"/>
          <w:sz w:val="28"/>
          <w:szCs w:val="28"/>
        </w:rPr>
        <w:t xml:space="preserve"> Dependency Representation</w:t>
      </w:r>
    </w:p>
    <w:p w:rsidR="004757A5" w:rsidRPr="003C7E17" w:rsidRDefault="004757A5" w:rsidP="000B2D1F">
      <w:pPr>
        <w:autoSpaceDE w:val="0"/>
        <w:autoSpaceDN w:val="0"/>
        <w:adjustRightInd w:val="0"/>
        <w:ind w:left="-180" w:hanging="540"/>
        <w:jc w:val="center"/>
        <w:rPr>
          <w:b/>
          <w:bCs/>
          <w:color w:val="000000" w:themeColor="text1"/>
          <w:sz w:val="28"/>
          <w:szCs w:val="28"/>
        </w:rPr>
      </w:pPr>
    </w:p>
    <w:p w:rsidR="004757A5" w:rsidRPr="003C7E17" w:rsidRDefault="004757A5" w:rsidP="000B2D1F">
      <w:pPr>
        <w:autoSpaceDE w:val="0"/>
        <w:autoSpaceDN w:val="0"/>
        <w:adjustRightInd w:val="0"/>
        <w:ind w:left="-180" w:hanging="540"/>
        <w:jc w:val="center"/>
        <w:rPr>
          <w:b/>
          <w:bCs/>
          <w:color w:val="000000" w:themeColor="text1"/>
          <w:sz w:val="16"/>
          <w:szCs w:val="16"/>
        </w:rPr>
      </w:pPr>
    </w:p>
    <w:p w:rsidR="004757A5" w:rsidRPr="003C7E17" w:rsidRDefault="00121F6D" w:rsidP="000B2D1F">
      <w:pPr>
        <w:autoSpaceDE w:val="0"/>
        <w:autoSpaceDN w:val="0"/>
        <w:adjustRightInd w:val="0"/>
        <w:ind w:left="-180" w:hanging="540"/>
        <w:jc w:val="center"/>
        <w:rPr>
          <w:b/>
          <w:color w:val="000000" w:themeColor="text1"/>
          <w:sz w:val="26"/>
          <w:szCs w:val="26"/>
        </w:rPr>
      </w:pPr>
      <w:r w:rsidRPr="003C7E17">
        <w:rPr>
          <w:b/>
          <w:color w:val="000000" w:themeColor="text1"/>
          <w:sz w:val="26"/>
          <w:szCs w:val="26"/>
        </w:rPr>
        <w:t>November 22</w:t>
      </w:r>
      <w:r w:rsidR="00610910" w:rsidRPr="003C7E17">
        <w:rPr>
          <w:b/>
          <w:color w:val="000000" w:themeColor="text1"/>
          <w:sz w:val="26"/>
          <w:szCs w:val="26"/>
        </w:rPr>
        <w:t>, 20</w:t>
      </w:r>
      <w:r w:rsidR="003C5A6D" w:rsidRPr="003C7E17">
        <w:rPr>
          <w:b/>
          <w:color w:val="000000" w:themeColor="text1"/>
          <w:sz w:val="26"/>
          <w:szCs w:val="26"/>
        </w:rPr>
        <w:t>1</w:t>
      </w:r>
      <w:r w:rsidRPr="003C7E17">
        <w:rPr>
          <w:b/>
          <w:color w:val="000000" w:themeColor="text1"/>
          <w:sz w:val="26"/>
          <w:szCs w:val="26"/>
        </w:rPr>
        <w:t>3</w:t>
      </w:r>
    </w:p>
    <w:p w:rsidR="004757A5" w:rsidRPr="003C7E17" w:rsidRDefault="004757A5" w:rsidP="000B2D1F">
      <w:pPr>
        <w:pBdr>
          <w:bottom w:val="thinThickSmallGap" w:sz="24" w:space="1" w:color="auto"/>
        </w:pBdr>
        <w:autoSpaceDE w:val="0"/>
        <w:autoSpaceDN w:val="0"/>
        <w:adjustRightInd w:val="0"/>
        <w:spacing w:after="240"/>
        <w:ind w:left="-180" w:hanging="540"/>
        <w:rPr>
          <w:color w:val="000000" w:themeColor="text1"/>
        </w:rPr>
      </w:pPr>
    </w:p>
    <w:p w:rsidR="007D094B" w:rsidRPr="003C7E17" w:rsidRDefault="007D094B" w:rsidP="000B2D1F">
      <w:pPr>
        <w:pStyle w:val="ListParagraph"/>
        <w:numPr>
          <w:ilvl w:val="0"/>
          <w:numId w:val="3"/>
        </w:numPr>
        <w:tabs>
          <w:tab w:val="clear" w:pos="720"/>
        </w:tabs>
        <w:autoSpaceDE w:val="0"/>
        <w:autoSpaceDN w:val="0"/>
        <w:adjustRightInd w:val="0"/>
        <w:spacing w:before="42" w:after="120"/>
        <w:ind w:left="-180" w:hanging="540"/>
        <w:jc w:val="both"/>
        <w:rPr>
          <w:rStyle w:val="s3"/>
          <w:rFonts w:ascii="Times New Roman" w:hAnsi="Times New Roman"/>
          <w:color w:val="000000" w:themeColor="text1"/>
          <w:sz w:val="24"/>
          <w:szCs w:val="24"/>
        </w:rPr>
      </w:pPr>
      <w:r w:rsidRPr="003C7E17">
        <w:rPr>
          <w:rStyle w:val="s3"/>
          <w:rFonts w:ascii="Times New Roman" w:hAnsi="Times New Roman"/>
          <w:color w:val="000000" w:themeColor="text1"/>
          <w:sz w:val="24"/>
          <w:szCs w:val="24"/>
        </w:rPr>
        <w:t>What is the current configuration of service providers in El Dorado County listed by type of organization?</w:t>
      </w:r>
    </w:p>
    <w:p w:rsidR="00116993" w:rsidRPr="003C7E17" w:rsidRDefault="00116993" w:rsidP="00394EC2">
      <w:pPr>
        <w:pStyle w:val="s6"/>
        <w:spacing w:before="0" w:beforeAutospacing="0" w:after="120" w:afterAutospacing="0"/>
        <w:ind w:left="720" w:hanging="900"/>
        <w:jc w:val="both"/>
        <w:rPr>
          <w:color w:val="000000" w:themeColor="text1"/>
        </w:rPr>
      </w:pPr>
      <w:r w:rsidRPr="003C7E17">
        <w:rPr>
          <w:color w:val="000000" w:themeColor="text1"/>
        </w:rPr>
        <w:t>Answer:</w:t>
      </w:r>
      <w:r w:rsidR="00A60824" w:rsidRPr="003C7E17">
        <w:rPr>
          <w:color w:val="000000" w:themeColor="text1"/>
        </w:rPr>
        <w:t xml:space="preserve"> </w:t>
      </w:r>
      <w:r w:rsidRPr="003C7E17">
        <w:rPr>
          <w:color w:val="000000" w:themeColor="text1"/>
        </w:rPr>
        <w:t xml:space="preserve">The current contracted service providers in El Dorado County are configured as </w:t>
      </w:r>
      <w:r w:rsidR="00394EC2" w:rsidRPr="003C7E17">
        <w:rPr>
          <w:color w:val="000000" w:themeColor="text1"/>
        </w:rPr>
        <w:t>eight (</w:t>
      </w:r>
      <w:r w:rsidRPr="003C7E17">
        <w:rPr>
          <w:color w:val="000000" w:themeColor="text1"/>
        </w:rPr>
        <w:t>8</w:t>
      </w:r>
      <w:r w:rsidR="00394EC2" w:rsidRPr="003C7E17">
        <w:rPr>
          <w:color w:val="000000" w:themeColor="text1"/>
        </w:rPr>
        <w:t>)</w:t>
      </w:r>
      <w:r w:rsidRPr="003C7E17">
        <w:rPr>
          <w:color w:val="000000" w:themeColor="text1"/>
        </w:rPr>
        <w:t xml:space="preserve"> sol</w:t>
      </w:r>
      <w:r w:rsidR="00394EC2" w:rsidRPr="003C7E17">
        <w:rPr>
          <w:color w:val="000000" w:themeColor="text1"/>
        </w:rPr>
        <w:t xml:space="preserve">e </w:t>
      </w:r>
      <w:r w:rsidRPr="003C7E17">
        <w:rPr>
          <w:color w:val="000000" w:themeColor="text1"/>
        </w:rPr>
        <w:t xml:space="preserve">practitioners. </w:t>
      </w:r>
    </w:p>
    <w:p w:rsidR="008D62D0" w:rsidRPr="003C7E17" w:rsidRDefault="008D62D0" w:rsidP="000B2D1F">
      <w:pPr>
        <w:pStyle w:val="s6"/>
        <w:numPr>
          <w:ilvl w:val="0"/>
          <w:numId w:val="3"/>
        </w:numPr>
        <w:tabs>
          <w:tab w:val="clear" w:pos="720"/>
        </w:tabs>
        <w:spacing w:before="0" w:beforeAutospacing="0" w:after="120" w:afterAutospacing="0"/>
        <w:ind w:left="-180" w:hanging="540"/>
        <w:jc w:val="both"/>
        <w:rPr>
          <w:rStyle w:val="s3"/>
          <w:color w:val="000000" w:themeColor="text1"/>
        </w:rPr>
      </w:pPr>
      <w:r w:rsidRPr="003C7E17">
        <w:rPr>
          <w:rStyle w:val="s3"/>
          <w:color w:val="000000" w:themeColor="text1"/>
        </w:rPr>
        <w:t>Who are the contractors that are currently providing service for the County?</w:t>
      </w:r>
    </w:p>
    <w:p w:rsidR="00651DCF" w:rsidRPr="003C7E17" w:rsidRDefault="00651DCF" w:rsidP="000B2D1F">
      <w:pPr>
        <w:pStyle w:val="s6"/>
        <w:spacing w:before="0" w:beforeAutospacing="0" w:after="120" w:afterAutospacing="0"/>
        <w:ind w:left="-180" w:hanging="540"/>
        <w:jc w:val="both"/>
        <w:rPr>
          <w:color w:val="000000" w:themeColor="text1"/>
        </w:rPr>
      </w:pPr>
      <w:r w:rsidRPr="003C7E17">
        <w:rPr>
          <w:color w:val="000000" w:themeColor="text1"/>
        </w:rPr>
        <w:tab/>
        <w:t xml:space="preserve">Answer: </w:t>
      </w:r>
      <w:r w:rsidR="008D62D0" w:rsidRPr="003C7E17">
        <w:rPr>
          <w:color w:val="000000" w:themeColor="text1"/>
        </w:rPr>
        <w:t xml:space="preserve">The holders of the current contracts for dependency services have no bearing on this </w:t>
      </w:r>
      <w:r w:rsidR="00386500" w:rsidRPr="003C7E17">
        <w:rPr>
          <w:color w:val="000000" w:themeColor="text1"/>
        </w:rPr>
        <w:tab/>
      </w:r>
      <w:r w:rsidR="00386500" w:rsidRPr="003C7E17">
        <w:rPr>
          <w:color w:val="000000" w:themeColor="text1"/>
        </w:rPr>
        <w:tab/>
      </w:r>
      <w:r w:rsidR="008D62D0" w:rsidRPr="003C7E17">
        <w:rPr>
          <w:color w:val="000000" w:themeColor="text1"/>
        </w:rPr>
        <w:t>solicitation</w:t>
      </w:r>
      <w:r w:rsidR="009C44D5" w:rsidRPr="003C7E17">
        <w:rPr>
          <w:color w:val="000000" w:themeColor="text1"/>
        </w:rPr>
        <w:t>.</w:t>
      </w:r>
    </w:p>
    <w:p w:rsidR="00311C9D" w:rsidRPr="003C7E17" w:rsidRDefault="00311C9D" w:rsidP="000B2D1F">
      <w:pPr>
        <w:pStyle w:val="s6"/>
        <w:numPr>
          <w:ilvl w:val="0"/>
          <w:numId w:val="3"/>
        </w:numPr>
        <w:tabs>
          <w:tab w:val="clear" w:pos="720"/>
        </w:tabs>
        <w:spacing w:before="0" w:beforeAutospacing="0" w:after="120" w:afterAutospacing="0"/>
        <w:ind w:left="-180" w:hanging="540"/>
        <w:jc w:val="both"/>
        <w:rPr>
          <w:color w:val="000000" w:themeColor="text1"/>
        </w:rPr>
      </w:pPr>
      <w:r w:rsidRPr="003C7E17">
        <w:rPr>
          <w:color w:val="000000" w:themeColor="text1"/>
        </w:rPr>
        <w:t xml:space="preserve">The RFP is for El Dorado County as a whole.  Due to geography, </w:t>
      </w:r>
      <w:r w:rsidR="005C2910" w:rsidRPr="003C7E17">
        <w:rPr>
          <w:color w:val="000000" w:themeColor="text1"/>
        </w:rPr>
        <w:t xml:space="preserve">there is </w:t>
      </w:r>
      <w:r w:rsidRPr="003C7E17">
        <w:rPr>
          <w:color w:val="000000" w:themeColor="text1"/>
        </w:rPr>
        <w:t xml:space="preserve">typically a panel for South Lake Tahoe and then one for Placerville.  Is it correct </w:t>
      </w:r>
      <w:r w:rsidR="005C2910" w:rsidRPr="003C7E17">
        <w:rPr>
          <w:color w:val="000000" w:themeColor="text1"/>
        </w:rPr>
        <w:t>the proposer</w:t>
      </w:r>
      <w:r w:rsidRPr="003C7E17">
        <w:rPr>
          <w:color w:val="000000" w:themeColor="text1"/>
        </w:rPr>
        <w:t xml:space="preserve"> </w:t>
      </w:r>
      <w:r w:rsidR="00F251B4" w:rsidRPr="003C7E17">
        <w:rPr>
          <w:color w:val="000000" w:themeColor="text1"/>
        </w:rPr>
        <w:t>c</w:t>
      </w:r>
      <w:r w:rsidRPr="003C7E17">
        <w:rPr>
          <w:color w:val="000000" w:themeColor="text1"/>
        </w:rPr>
        <w:t xml:space="preserve">ould bid the area </w:t>
      </w:r>
      <w:r w:rsidR="005C2910" w:rsidRPr="003C7E17">
        <w:rPr>
          <w:color w:val="000000" w:themeColor="text1"/>
        </w:rPr>
        <w:t xml:space="preserve">they </w:t>
      </w:r>
      <w:r w:rsidRPr="003C7E17">
        <w:rPr>
          <w:color w:val="000000" w:themeColor="text1"/>
        </w:rPr>
        <w:t>are interested in representing?</w:t>
      </w:r>
    </w:p>
    <w:p w:rsidR="00311C9D" w:rsidRPr="003C7E17" w:rsidRDefault="00386500" w:rsidP="000B2D1F">
      <w:pPr>
        <w:pStyle w:val="s6"/>
        <w:spacing w:before="0" w:beforeAutospacing="0" w:after="120" w:afterAutospacing="0"/>
        <w:ind w:left="720" w:hanging="1440"/>
        <w:jc w:val="both"/>
        <w:rPr>
          <w:color w:val="000000" w:themeColor="text1"/>
        </w:rPr>
      </w:pPr>
      <w:r w:rsidRPr="003C7E17">
        <w:rPr>
          <w:color w:val="000000" w:themeColor="text1"/>
        </w:rPr>
        <w:t xml:space="preserve">         </w:t>
      </w:r>
      <w:r w:rsidR="00311C9D" w:rsidRPr="003C7E17">
        <w:rPr>
          <w:color w:val="000000" w:themeColor="text1"/>
        </w:rPr>
        <w:t xml:space="preserve">Answer: </w:t>
      </w:r>
      <w:r w:rsidRPr="003C7E17">
        <w:rPr>
          <w:color w:val="000000" w:themeColor="text1"/>
        </w:rPr>
        <w:t xml:space="preserve"> </w:t>
      </w:r>
      <w:r w:rsidR="00311C9D" w:rsidRPr="003C7E17">
        <w:rPr>
          <w:color w:val="000000" w:themeColor="text1"/>
        </w:rPr>
        <w:t xml:space="preserve">As described in the </w:t>
      </w:r>
      <w:r w:rsidR="00311C9D" w:rsidRPr="003C7E17">
        <w:rPr>
          <w:i/>
          <w:color w:val="000000" w:themeColor="text1"/>
        </w:rPr>
        <w:t xml:space="preserve">Introduction </w:t>
      </w:r>
      <w:r w:rsidR="00311C9D" w:rsidRPr="003C7E17">
        <w:rPr>
          <w:color w:val="000000" w:themeColor="text1"/>
        </w:rPr>
        <w:t xml:space="preserve">on page 1 of the RFP, this RFP seeks service providers for representation for parties in juvenile dependency proceedings for the Superior Court of California, County of El Dorado.  There are no requirements to bid for services in a specified geographic area.  </w:t>
      </w:r>
      <w:r w:rsidR="00647DD2" w:rsidRPr="003C7E17">
        <w:rPr>
          <w:color w:val="000000" w:themeColor="text1"/>
        </w:rPr>
        <w:t>Proposers</w:t>
      </w:r>
      <w:r w:rsidR="00311C9D" w:rsidRPr="003C7E17">
        <w:rPr>
          <w:color w:val="000000" w:themeColor="text1"/>
        </w:rPr>
        <w:t xml:space="preserve"> who prefer to provide services in a particular region of the county may explain their preference as part of their </w:t>
      </w:r>
      <w:r w:rsidR="00311C9D" w:rsidRPr="003C7E17">
        <w:rPr>
          <w:i/>
          <w:color w:val="000000" w:themeColor="text1"/>
        </w:rPr>
        <w:t>Description of Services to be Provided</w:t>
      </w:r>
      <w:r w:rsidR="00311C9D" w:rsidRPr="003C7E17">
        <w:rPr>
          <w:color w:val="000000" w:themeColor="text1"/>
        </w:rPr>
        <w:t xml:space="preserve"> (see </w:t>
      </w:r>
      <w:r w:rsidR="00311C9D" w:rsidRPr="003C7E17">
        <w:rPr>
          <w:i/>
          <w:color w:val="000000" w:themeColor="text1"/>
        </w:rPr>
        <w:t>RFP section 7.1.3</w:t>
      </w:r>
      <w:r w:rsidR="00311C9D" w:rsidRPr="003C7E17">
        <w:rPr>
          <w:color w:val="000000" w:themeColor="text1"/>
        </w:rPr>
        <w:t xml:space="preserve"> on page 6).  </w:t>
      </w:r>
    </w:p>
    <w:p w:rsidR="00565697" w:rsidRPr="003C7E17" w:rsidRDefault="00565697" w:rsidP="000B2D1F">
      <w:pPr>
        <w:pStyle w:val="s6"/>
        <w:numPr>
          <w:ilvl w:val="0"/>
          <w:numId w:val="3"/>
        </w:numPr>
        <w:tabs>
          <w:tab w:val="clear" w:pos="720"/>
          <w:tab w:val="num" w:pos="-180"/>
        </w:tabs>
        <w:spacing w:before="0" w:beforeAutospacing="0" w:after="120" w:afterAutospacing="0"/>
        <w:ind w:left="-180" w:hanging="540"/>
        <w:jc w:val="both"/>
        <w:rPr>
          <w:color w:val="000000" w:themeColor="text1"/>
        </w:rPr>
      </w:pPr>
      <w:r w:rsidRPr="003C7E17">
        <w:rPr>
          <w:color w:val="000000" w:themeColor="text1"/>
        </w:rPr>
        <w:t>Regarding full-time positions available, will there be a possibility of an award/contract for a full-time attorney position in the Placerville court (Department 8)?  In the South Lake Tahoe court (Department 12)?</w:t>
      </w:r>
    </w:p>
    <w:p w:rsidR="00565697" w:rsidRPr="003C7E17" w:rsidRDefault="00565697" w:rsidP="00684254">
      <w:pPr>
        <w:pStyle w:val="s6"/>
        <w:tabs>
          <w:tab w:val="left" w:pos="720"/>
        </w:tabs>
        <w:spacing w:before="0" w:beforeAutospacing="0" w:after="120" w:afterAutospacing="0"/>
        <w:ind w:left="720" w:hanging="900"/>
        <w:jc w:val="both"/>
        <w:rPr>
          <w:color w:val="000000" w:themeColor="text1"/>
        </w:rPr>
      </w:pPr>
      <w:r w:rsidRPr="003C7E17">
        <w:rPr>
          <w:rStyle w:val="s3"/>
          <w:color w:val="000000" w:themeColor="text1"/>
        </w:rPr>
        <w:t>Answer:</w:t>
      </w:r>
      <w:r w:rsidR="00DF4F40" w:rsidRPr="003C7E17">
        <w:rPr>
          <w:rStyle w:val="s3"/>
          <w:color w:val="000000" w:themeColor="text1"/>
        </w:rPr>
        <w:t xml:space="preserve"> </w:t>
      </w:r>
      <w:r w:rsidRPr="003C7E17">
        <w:rPr>
          <w:color w:val="000000" w:themeColor="text1"/>
        </w:rPr>
        <w:t xml:space="preserve">It is possible for a proposer to apply for a full-time position representing parties in juvenile dependency proceedings for the Superior Court of California, County of </w:t>
      </w:r>
      <w:r w:rsidR="00684254" w:rsidRPr="003C7E17">
        <w:rPr>
          <w:color w:val="000000" w:themeColor="text1"/>
        </w:rPr>
        <w:t xml:space="preserve">         </w:t>
      </w:r>
      <w:r w:rsidRPr="003C7E17">
        <w:rPr>
          <w:color w:val="000000" w:themeColor="text1"/>
        </w:rPr>
        <w:t xml:space="preserve">El Dorado.  </w:t>
      </w:r>
      <w:r w:rsidR="00FB27D9" w:rsidRPr="003C7E17">
        <w:rPr>
          <w:color w:val="000000" w:themeColor="text1"/>
        </w:rPr>
        <w:t>R</w:t>
      </w:r>
      <w:r w:rsidRPr="003C7E17">
        <w:rPr>
          <w:color w:val="000000" w:themeColor="text1"/>
        </w:rPr>
        <w:t xml:space="preserve">efer to the specifications in </w:t>
      </w:r>
      <w:r w:rsidRPr="003C7E17">
        <w:rPr>
          <w:i/>
          <w:color w:val="000000" w:themeColor="text1"/>
        </w:rPr>
        <w:t xml:space="preserve">RFP section 7.2.2 </w:t>
      </w:r>
      <w:r w:rsidRPr="003C7E17">
        <w:rPr>
          <w:color w:val="000000" w:themeColor="text1"/>
        </w:rPr>
        <w:t xml:space="preserve">on the Caseload Funding Model parameters and </w:t>
      </w:r>
      <w:r w:rsidRPr="003C7E17">
        <w:rPr>
          <w:i/>
          <w:color w:val="000000" w:themeColor="text1"/>
        </w:rPr>
        <w:t>section 7.1.3(e)</w:t>
      </w:r>
      <w:r w:rsidRPr="003C7E17">
        <w:rPr>
          <w:color w:val="000000" w:themeColor="text1"/>
        </w:rPr>
        <w:t xml:space="preserve"> on handling conflict cases. </w:t>
      </w:r>
      <w:r w:rsidR="00950A3D" w:rsidRPr="003C7E17">
        <w:rPr>
          <w:color w:val="000000" w:themeColor="text1"/>
        </w:rPr>
        <w:t xml:space="preserve">See </w:t>
      </w:r>
      <w:r w:rsidR="00D072CA" w:rsidRPr="003C7E17">
        <w:rPr>
          <w:color w:val="000000" w:themeColor="text1"/>
        </w:rPr>
        <w:t xml:space="preserve">number </w:t>
      </w:r>
      <w:r w:rsidR="00950A3D" w:rsidRPr="003C7E17">
        <w:rPr>
          <w:color w:val="000000" w:themeColor="text1"/>
        </w:rPr>
        <w:t>3</w:t>
      </w:r>
      <w:r w:rsidR="00D072CA" w:rsidRPr="003C7E17">
        <w:rPr>
          <w:color w:val="000000" w:themeColor="text1"/>
        </w:rPr>
        <w:t>, above</w:t>
      </w:r>
      <w:r w:rsidR="00950A3D" w:rsidRPr="003C7E17">
        <w:rPr>
          <w:color w:val="000000" w:themeColor="text1"/>
        </w:rPr>
        <w:t xml:space="preserve">. </w:t>
      </w:r>
      <w:r w:rsidR="00647DD2" w:rsidRPr="003C7E17">
        <w:rPr>
          <w:color w:val="000000" w:themeColor="text1"/>
        </w:rPr>
        <w:t>Proposers</w:t>
      </w:r>
      <w:r w:rsidRPr="003C7E17">
        <w:rPr>
          <w:color w:val="000000" w:themeColor="text1"/>
        </w:rPr>
        <w:t xml:space="preserve"> who prefer to provide services in a particular region of the county</w:t>
      </w:r>
      <w:r w:rsidR="00684254" w:rsidRPr="003C7E17">
        <w:rPr>
          <w:color w:val="000000" w:themeColor="text1"/>
        </w:rPr>
        <w:t xml:space="preserve"> </w:t>
      </w:r>
      <w:r w:rsidRPr="003C7E17">
        <w:rPr>
          <w:color w:val="000000" w:themeColor="text1"/>
        </w:rPr>
        <w:t xml:space="preserve">may explain their preference as part of their </w:t>
      </w:r>
      <w:r w:rsidRPr="003C7E17">
        <w:rPr>
          <w:i/>
          <w:color w:val="000000" w:themeColor="text1"/>
        </w:rPr>
        <w:t>Description of Services to be Provided</w:t>
      </w:r>
      <w:r w:rsidR="00296C81" w:rsidRPr="003C7E17">
        <w:rPr>
          <w:i/>
          <w:color w:val="000000" w:themeColor="text1"/>
        </w:rPr>
        <w:t>. S</w:t>
      </w:r>
      <w:r w:rsidRPr="003C7E17">
        <w:rPr>
          <w:color w:val="000000" w:themeColor="text1"/>
        </w:rPr>
        <w:t xml:space="preserve">ee </w:t>
      </w:r>
      <w:r w:rsidRPr="003C7E17">
        <w:rPr>
          <w:i/>
          <w:color w:val="000000" w:themeColor="text1"/>
        </w:rPr>
        <w:t>RFP</w:t>
      </w:r>
      <w:r w:rsidR="00C353DD" w:rsidRPr="003C7E17">
        <w:rPr>
          <w:i/>
          <w:color w:val="000000" w:themeColor="text1"/>
        </w:rPr>
        <w:t xml:space="preserve"> </w:t>
      </w:r>
      <w:r w:rsidRPr="003C7E17">
        <w:rPr>
          <w:i/>
          <w:color w:val="000000" w:themeColor="text1"/>
        </w:rPr>
        <w:t>section 7.1.3</w:t>
      </w:r>
      <w:r w:rsidRPr="003C7E17">
        <w:rPr>
          <w:color w:val="000000" w:themeColor="text1"/>
        </w:rPr>
        <w:t xml:space="preserve"> on page 6.</w:t>
      </w:r>
    </w:p>
    <w:p w:rsidR="00595655" w:rsidRPr="003C7E17" w:rsidRDefault="00595655" w:rsidP="000B2D1F">
      <w:pPr>
        <w:pStyle w:val="s6"/>
        <w:widowControl w:val="0"/>
        <w:numPr>
          <w:ilvl w:val="0"/>
          <w:numId w:val="3"/>
        </w:numPr>
        <w:tabs>
          <w:tab w:val="clear" w:pos="720"/>
        </w:tabs>
        <w:spacing w:before="0" w:beforeAutospacing="0" w:after="120" w:afterAutospacing="0"/>
        <w:ind w:left="-180" w:hanging="540"/>
        <w:rPr>
          <w:color w:val="000000" w:themeColor="text1"/>
        </w:rPr>
      </w:pPr>
      <w:r w:rsidRPr="003C7E17">
        <w:rPr>
          <w:color w:val="000000" w:themeColor="text1"/>
        </w:rPr>
        <w:t xml:space="preserve">Is this RFP for the exclusive contract of just handling conflicts?  </w:t>
      </w:r>
    </w:p>
    <w:p w:rsidR="00666EC5" w:rsidRPr="003C7E17" w:rsidRDefault="00666EC5" w:rsidP="00296C81">
      <w:pPr>
        <w:pStyle w:val="s6"/>
        <w:widowControl w:val="0"/>
        <w:tabs>
          <w:tab w:val="left" w:pos="720"/>
        </w:tabs>
        <w:spacing w:before="0" w:beforeAutospacing="0" w:after="120" w:afterAutospacing="0"/>
        <w:ind w:left="720" w:hanging="900"/>
        <w:jc w:val="both"/>
        <w:rPr>
          <w:color w:val="000000" w:themeColor="text1"/>
        </w:rPr>
      </w:pPr>
      <w:r w:rsidRPr="003C7E17">
        <w:rPr>
          <w:color w:val="000000" w:themeColor="text1"/>
        </w:rPr>
        <w:t xml:space="preserve">Answer: </w:t>
      </w:r>
      <w:r w:rsidR="00C353DD" w:rsidRPr="003C7E17">
        <w:rPr>
          <w:color w:val="000000" w:themeColor="text1"/>
        </w:rPr>
        <w:t>It is not.</w:t>
      </w:r>
      <w:r w:rsidRPr="003C7E17">
        <w:rPr>
          <w:color w:val="000000" w:themeColor="text1"/>
        </w:rPr>
        <w:t xml:space="preserve">  </w:t>
      </w:r>
      <w:r w:rsidR="00684254" w:rsidRPr="003C7E17">
        <w:rPr>
          <w:color w:val="000000" w:themeColor="text1"/>
        </w:rPr>
        <w:t>See</w:t>
      </w:r>
      <w:r w:rsidRPr="003C7E17">
        <w:rPr>
          <w:color w:val="000000" w:themeColor="text1"/>
        </w:rPr>
        <w:t xml:space="preserve"> the </w:t>
      </w:r>
      <w:r w:rsidRPr="003C7E17">
        <w:rPr>
          <w:i/>
          <w:color w:val="000000" w:themeColor="text1"/>
        </w:rPr>
        <w:t>RFP Introduction</w:t>
      </w:r>
      <w:r w:rsidRPr="003C7E17">
        <w:rPr>
          <w:color w:val="000000" w:themeColor="text1"/>
        </w:rPr>
        <w:t xml:space="preserve"> on page 1, which states, “The representation</w:t>
      </w:r>
      <w:r w:rsidR="00DF4F40" w:rsidRPr="003C7E17">
        <w:rPr>
          <w:color w:val="000000" w:themeColor="text1"/>
        </w:rPr>
        <w:t xml:space="preserve"> </w:t>
      </w:r>
      <w:r w:rsidR="00C353DD" w:rsidRPr="003C7E17">
        <w:rPr>
          <w:color w:val="000000" w:themeColor="text1"/>
        </w:rPr>
        <w:tab/>
      </w:r>
      <w:r w:rsidR="00CD7C84" w:rsidRPr="003C7E17">
        <w:rPr>
          <w:color w:val="000000" w:themeColor="text1"/>
        </w:rPr>
        <w:t xml:space="preserve">is for </w:t>
      </w:r>
      <w:r w:rsidR="00DF4F40" w:rsidRPr="003C7E17">
        <w:rPr>
          <w:color w:val="000000" w:themeColor="text1"/>
        </w:rPr>
        <w:t>all</w:t>
      </w:r>
      <w:r w:rsidR="00C353DD" w:rsidRPr="003C7E17">
        <w:rPr>
          <w:color w:val="000000" w:themeColor="text1"/>
        </w:rPr>
        <w:t xml:space="preserve"> </w:t>
      </w:r>
      <w:r w:rsidR="00CD7C84" w:rsidRPr="003C7E17">
        <w:rPr>
          <w:color w:val="000000" w:themeColor="text1"/>
        </w:rPr>
        <w:t xml:space="preserve">children and parents in juvenile dependency proceedings in El Dorado County, including all </w:t>
      </w:r>
      <w:r w:rsidRPr="003C7E17">
        <w:rPr>
          <w:color w:val="000000" w:themeColor="text1"/>
        </w:rPr>
        <w:t>parent or child cases in which there is a conflict of interest.”</w:t>
      </w:r>
    </w:p>
    <w:p w:rsidR="00FC399E" w:rsidRPr="003C7E17" w:rsidRDefault="00FC399E" w:rsidP="000B2D1F">
      <w:pPr>
        <w:pStyle w:val="s6"/>
        <w:numPr>
          <w:ilvl w:val="0"/>
          <w:numId w:val="3"/>
        </w:numPr>
        <w:tabs>
          <w:tab w:val="clear" w:pos="720"/>
        </w:tabs>
        <w:spacing w:before="0" w:beforeAutospacing="0" w:after="120" w:afterAutospacing="0"/>
        <w:ind w:left="-180" w:hanging="540"/>
        <w:rPr>
          <w:color w:val="000000" w:themeColor="text1"/>
        </w:rPr>
      </w:pPr>
      <w:r w:rsidRPr="003C7E17">
        <w:rPr>
          <w:color w:val="000000" w:themeColor="text1"/>
        </w:rPr>
        <w:lastRenderedPageBreak/>
        <w:t>Would the proposal be either for parents or children and/or is it for both? </w:t>
      </w:r>
    </w:p>
    <w:p w:rsidR="00DE6C0A" w:rsidRPr="003C7E17" w:rsidRDefault="00DE6C0A" w:rsidP="000B2D1F">
      <w:pPr>
        <w:tabs>
          <w:tab w:val="left" w:pos="720"/>
        </w:tabs>
        <w:autoSpaceDE w:val="0"/>
        <w:autoSpaceDN w:val="0"/>
        <w:adjustRightInd w:val="0"/>
        <w:spacing w:after="120"/>
        <w:ind w:left="-180"/>
        <w:jc w:val="both"/>
        <w:rPr>
          <w:color w:val="000000" w:themeColor="text1"/>
          <w:sz w:val="24"/>
          <w:szCs w:val="24"/>
        </w:rPr>
      </w:pPr>
      <w:r w:rsidRPr="003C7E17">
        <w:rPr>
          <w:color w:val="000000" w:themeColor="text1"/>
          <w:sz w:val="24"/>
          <w:szCs w:val="24"/>
        </w:rPr>
        <w:t xml:space="preserve">Answer: </w:t>
      </w:r>
      <w:r w:rsidR="0009139C" w:rsidRPr="003C7E17">
        <w:rPr>
          <w:color w:val="000000" w:themeColor="text1"/>
          <w:sz w:val="24"/>
          <w:szCs w:val="24"/>
        </w:rPr>
        <w:t xml:space="preserve"> </w:t>
      </w:r>
      <w:r w:rsidR="00647DD2" w:rsidRPr="003C7E17">
        <w:rPr>
          <w:rFonts w:cstheme="minorHAnsi"/>
          <w:color w:val="000000" w:themeColor="text1"/>
          <w:sz w:val="24"/>
          <w:szCs w:val="24"/>
        </w:rPr>
        <w:t>Proposers</w:t>
      </w:r>
      <w:r w:rsidRPr="003C7E17">
        <w:rPr>
          <w:rFonts w:cstheme="minorHAnsi"/>
          <w:color w:val="000000" w:themeColor="text1"/>
          <w:sz w:val="24"/>
          <w:szCs w:val="24"/>
        </w:rPr>
        <w:t xml:space="preserve"> may propose to represent only parents, only children, or both</w:t>
      </w:r>
      <w:r w:rsidR="00D945A5" w:rsidRPr="003C7E17">
        <w:rPr>
          <w:rFonts w:cstheme="minorHAnsi"/>
          <w:color w:val="000000" w:themeColor="text1"/>
          <w:sz w:val="24"/>
          <w:szCs w:val="24"/>
        </w:rPr>
        <w:t xml:space="preserve"> p</w:t>
      </w:r>
      <w:r w:rsidRPr="003C7E17">
        <w:rPr>
          <w:rFonts w:cstheme="minorHAnsi"/>
          <w:color w:val="000000" w:themeColor="text1"/>
          <w:sz w:val="24"/>
          <w:szCs w:val="24"/>
        </w:rPr>
        <w:t xml:space="preserve">arents </w:t>
      </w:r>
      <w:r w:rsidR="002E2C60" w:rsidRPr="003C7E17">
        <w:rPr>
          <w:rFonts w:cstheme="minorHAnsi"/>
          <w:color w:val="000000" w:themeColor="text1"/>
          <w:sz w:val="24"/>
          <w:szCs w:val="24"/>
        </w:rPr>
        <w:tab/>
      </w:r>
      <w:r w:rsidRPr="003C7E17">
        <w:rPr>
          <w:rFonts w:cstheme="minorHAnsi"/>
          <w:color w:val="000000" w:themeColor="text1"/>
          <w:sz w:val="24"/>
          <w:szCs w:val="24"/>
        </w:rPr>
        <w:t>and children.</w:t>
      </w:r>
      <w:r w:rsidRPr="003C7E17">
        <w:rPr>
          <w:rFonts w:cstheme="minorHAnsi"/>
          <w:color w:val="000000" w:themeColor="text1"/>
        </w:rPr>
        <w:t xml:space="preserve">  </w:t>
      </w:r>
      <w:r w:rsidR="00684254" w:rsidRPr="003C7E17">
        <w:rPr>
          <w:color w:val="000000" w:themeColor="text1"/>
          <w:sz w:val="24"/>
          <w:szCs w:val="24"/>
        </w:rPr>
        <w:t>S</w:t>
      </w:r>
      <w:r w:rsidRPr="003C7E17">
        <w:rPr>
          <w:color w:val="000000" w:themeColor="text1"/>
          <w:sz w:val="24"/>
          <w:szCs w:val="24"/>
        </w:rPr>
        <w:t xml:space="preserve">ee the </w:t>
      </w:r>
      <w:r w:rsidRPr="003C7E17">
        <w:rPr>
          <w:i/>
          <w:color w:val="000000" w:themeColor="text1"/>
          <w:sz w:val="24"/>
          <w:szCs w:val="24"/>
        </w:rPr>
        <w:t>RFP Introduction</w:t>
      </w:r>
      <w:r w:rsidRPr="003C7E17">
        <w:rPr>
          <w:color w:val="000000" w:themeColor="text1"/>
          <w:sz w:val="24"/>
          <w:szCs w:val="24"/>
        </w:rPr>
        <w:t xml:space="preserve"> on page 1, which states:</w:t>
      </w:r>
    </w:p>
    <w:p w:rsidR="00DE6C0A" w:rsidRPr="003C7E17" w:rsidRDefault="00DE6C0A" w:rsidP="000B2D1F">
      <w:pPr>
        <w:tabs>
          <w:tab w:val="left" w:pos="720"/>
          <w:tab w:val="left" w:pos="1800"/>
        </w:tabs>
        <w:autoSpaceDE w:val="0"/>
        <w:autoSpaceDN w:val="0"/>
        <w:adjustRightInd w:val="0"/>
        <w:spacing w:after="120"/>
        <w:ind w:left="720"/>
        <w:jc w:val="both"/>
        <w:rPr>
          <w:color w:val="000000" w:themeColor="text1"/>
          <w:sz w:val="24"/>
          <w:szCs w:val="24"/>
        </w:rPr>
      </w:pPr>
      <w:r w:rsidRPr="003C7E17">
        <w:rPr>
          <w:color w:val="000000" w:themeColor="text1"/>
          <w:sz w:val="24"/>
          <w:szCs w:val="24"/>
        </w:rPr>
        <w:t>“Proposers may submit a proposal to provide services for one or more of the following Lots, as described below</w:t>
      </w:r>
      <w:r w:rsidRPr="003C7E17">
        <w:rPr>
          <w:color w:val="000000" w:themeColor="text1"/>
          <w:sz w:val="24"/>
          <w:szCs w:val="24"/>
          <w:vertAlign w:val="superscript"/>
        </w:rPr>
        <w:footnoteReference w:id="1"/>
      </w:r>
      <w:r w:rsidRPr="003C7E17">
        <w:rPr>
          <w:color w:val="000000" w:themeColor="text1"/>
          <w:sz w:val="24"/>
          <w:szCs w:val="24"/>
        </w:rPr>
        <w:t>:</w:t>
      </w:r>
    </w:p>
    <w:p w:rsidR="00DE6C0A" w:rsidRPr="003C7E17" w:rsidRDefault="00DE6C0A" w:rsidP="000B2D1F">
      <w:pPr>
        <w:tabs>
          <w:tab w:val="left" w:pos="720"/>
          <w:tab w:val="left" w:pos="1800"/>
        </w:tabs>
        <w:autoSpaceDE w:val="0"/>
        <w:autoSpaceDN w:val="0"/>
        <w:adjustRightInd w:val="0"/>
        <w:spacing w:after="120"/>
        <w:ind w:left="720"/>
        <w:jc w:val="both"/>
        <w:rPr>
          <w:color w:val="000000" w:themeColor="text1"/>
          <w:sz w:val="24"/>
          <w:szCs w:val="24"/>
        </w:rPr>
      </w:pPr>
      <w:r w:rsidRPr="003C7E17">
        <w:rPr>
          <w:color w:val="000000" w:themeColor="text1"/>
          <w:sz w:val="24"/>
          <w:szCs w:val="24"/>
        </w:rPr>
        <w:t>Lot 1 – Sole practitioner representing a specified number of clients, either parents, children or both. The minimum number of clients to specify in the application is 70.</w:t>
      </w:r>
    </w:p>
    <w:p w:rsidR="00DE6C0A" w:rsidRPr="003C7E17" w:rsidRDefault="00DE6C0A" w:rsidP="000B2D1F">
      <w:pPr>
        <w:pStyle w:val="s6"/>
        <w:tabs>
          <w:tab w:val="left" w:pos="720"/>
        </w:tabs>
        <w:spacing w:before="0" w:beforeAutospacing="0" w:after="120" w:afterAutospacing="0"/>
        <w:ind w:left="720"/>
        <w:jc w:val="both"/>
        <w:rPr>
          <w:color w:val="000000" w:themeColor="text1"/>
        </w:rPr>
      </w:pPr>
      <w:r w:rsidRPr="003C7E17">
        <w:rPr>
          <w:color w:val="000000" w:themeColor="text1"/>
        </w:rPr>
        <w:t xml:space="preserve">Lot 2 – Partnership, non-profit organization, or other configuration representing a specified number of clients, </w:t>
      </w:r>
      <w:r w:rsidR="001C3E43" w:rsidRPr="003C7E17">
        <w:rPr>
          <w:color w:val="000000" w:themeColor="text1"/>
        </w:rPr>
        <w:t>parents</w:t>
      </w:r>
      <w:r w:rsidRPr="003C7E17">
        <w:rPr>
          <w:color w:val="000000" w:themeColor="text1"/>
        </w:rPr>
        <w:t>, children or both. The minimum number of clients to specify in the application is 140.”</w:t>
      </w:r>
    </w:p>
    <w:p w:rsidR="0009139C" w:rsidRPr="003C7E17" w:rsidRDefault="007475C1" w:rsidP="000B2D1F">
      <w:pPr>
        <w:pStyle w:val="s6"/>
        <w:numPr>
          <w:ilvl w:val="0"/>
          <w:numId w:val="3"/>
        </w:numPr>
        <w:tabs>
          <w:tab w:val="clear" w:pos="720"/>
        </w:tabs>
        <w:spacing w:before="0" w:beforeAutospacing="0" w:after="120" w:afterAutospacing="0"/>
        <w:ind w:left="-180" w:hanging="540"/>
        <w:jc w:val="both"/>
        <w:rPr>
          <w:rStyle w:val="s3"/>
          <w:color w:val="000000" w:themeColor="text1"/>
        </w:rPr>
      </w:pPr>
      <w:r w:rsidRPr="003C7E17">
        <w:rPr>
          <w:color w:val="000000" w:themeColor="text1"/>
        </w:rPr>
        <w:t>My</w:t>
      </w:r>
      <w:r w:rsidR="0009139C" w:rsidRPr="003C7E17">
        <w:rPr>
          <w:color w:val="000000" w:themeColor="text1"/>
        </w:rPr>
        <w:t xml:space="preserve"> practice </w:t>
      </w:r>
      <w:r w:rsidRPr="003C7E17">
        <w:rPr>
          <w:color w:val="000000" w:themeColor="text1"/>
        </w:rPr>
        <w:t xml:space="preserve">is that of </w:t>
      </w:r>
      <w:r w:rsidR="0009139C" w:rsidRPr="003C7E17">
        <w:rPr>
          <w:color w:val="000000" w:themeColor="text1"/>
        </w:rPr>
        <w:t>a sol</w:t>
      </w:r>
      <w:r w:rsidR="00866B30" w:rsidRPr="003C7E17">
        <w:rPr>
          <w:color w:val="000000" w:themeColor="text1"/>
        </w:rPr>
        <w:t>e</w:t>
      </w:r>
      <w:r w:rsidR="0009139C" w:rsidRPr="003C7E17">
        <w:rPr>
          <w:color w:val="000000" w:themeColor="text1"/>
        </w:rPr>
        <w:t xml:space="preserve"> practitioner; </w:t>
      </w:r>
      <w:r w:rsidRPr="003C7E17">
        <w:rPr>
          <w:color w:val="000000" w:themeColor="text1"/>
        </w:rPr>
        <w:t>h</w:t>
      </w:r>
      <w:r w:rsidR="0009139C" w:rsidRPr="003C7E17">
        <w:rPr>
          <w:color w:val="000000" w:themeColor="text1"/>
        </w:rPr>
        <w:t xml:space="preserve">owever, </w:t>
      </w:r>
      <w:r w:rsidRPr="003C7E17">
        <w:rPr>
          <w:color w:val="000000" w:themeColor="text1"/>
        </w:rPr>
        <w:t xml:space="preserve">it is </w:t>
      </w:r>
      <w:r w:rsidR="0009139C" w:rsidRPr="003C7E17">
        <w:rPr>
          <w:color w:val="000000" w:themeColor="text1"/>
        </w:rPr>
        <w:t xml:space="preserve">organized as a corporation licensed to do business in California.  Should </w:t>
      </w:r>
      <w:r w:rsidR="00F67ED2" w:rsidRPr="003C7E17">
        <w:rPr>
          <w:color w:val="000000" w:themeColor="text1"/>
        </w:rPr>
        <w:t>the proposal be</w:t>
      </w:r>
      <w:r w:rsidR="0009139C" w:rsidRPr="003C7E17">
        <w:rPr>
          <w:color w:val="000000" w:themeColor="text1"/>
        </w:rPr>
        <w:t xml:space="preserve"> bid as an individual and then have the business structure as a </w:t>
      </w:r>
      <w:r w:rsidR="00F67ED2" w:rsidRPr="003C7E17">
        <w:rPr>
          <w:color w:val="000000" w:themeColor="text1"/>
        </w:rPr>
        <w:t>p</w:t>
      </w:r>
      <w:r w:rsidR="0009139C" w:rsidRPr="003C7E17">
        <w:rPr>
          <w:color w:val="000000" w:themeColor="text1"/>
        </w:rPr>
        <w:t xml:space="preserve">rofessional </w:t>
      </w:r>
      <w:r w:rsidR="00F67ED2" w:rsidRPr="003C7E17">
        <w:rPr>
          <w:color w:val="000000" w:themeColor="text1"/>
        </w:rPr>
        <w:t>c</w:t>
      </w:r>
      <w:r w:rsidR="0009139C" w:rsidRPr="003C7E17">
        <w:rPr>
          <w:color w:val="000000" w:themeColor="text1"/>
        </w:rPr>
        <w:t xml:space="preserve">orporation, or should </w:t>
      </w:r>
      <w:r w:rsidR="00522D5E" w:rsidRPr="003C7E17">
        <w:rPr>
          <w:color w:val="000000" w:themeColor="text1"/>
        </w:rPr>
        <w:t xml:space="preserve">the proposal be bid as a </w:t>
      </w:r>
      <w:r w:rsidR="0009139C" w:rsidRPr="003C7E17">
        <w:rPr>
          <w:color w:val="000000" w:themeColor="text1"/>
        </w:rPr>
        <w:t>corporation?</w:t>
      </w:r>
    </w:p>
    <w:p w:rsidR="00666EC5" w:rsidRPr="003C7E17" w:rsidRDefault="00D945A5" w:rsidP="000B2D1F">
      <w:pPr>
        <w:pStyle w:val="s6"/>
        <w:spacing w:before="0" w:beforeAutospacing="0" w:after="120" w:afterAutospacing="0"/>
        <w:ind w:left="720" w:hanging="900"/>
        <w:jc w:val="both"/>
        <w:rPr>
          <w:color w:val="000000" w:themeColor="text1"/>
        </w:rPr>
      </w:pPr>
      <w:r w:rsidRPr="003C7E17">
        <w:rPr>
          <w:color w:val="000000" w:themeColor="text1"/>
        </w:rPr>
        <w:t xml:space="preserve">Answer: </w:t>
      </w:r>
      <w:r w:rsidRPr="003C7E17">
        <w:rPr>
          <w:rStyle w:val="s3"/>
          <w:color w:val="000000" w:themeColor="text1"/>
        </w:rPr>
        <w:t xml:space="preserve">The AOC is unable to advise proposers on </w:t>
      </w:r>
      <w:r w:rsidR="00522D5E" w:rsidRPr="003C7E17">
        <w:rPr>
          <w:rStyle w:val="s3"/>
          <w:color w:val="000000" w:themeColor="text1"/>
        </w:rPr>
        <w:t xml:space="preserve">how their proposal should be bid or </w:t>
      </w:r>
      <w:r w:rsidR="007A205E" w:rsidRPr="003C7E17">
        <w:rPr>
          <w:rStyle w:val="s3"/>
          <w:color w:val="000000" w:themeColor="text1"/>
        </w:rPr>
        <w:t xml:space="preserve">its </w:t>
      </w:r>
      <w:r w:rsidRPr="003C7E17">
        <w:rPr>
          <w:rStyle w:val="s3"/>
          <w:color w:val="000000" w:themeColor="text1"/>
        </w:rPr>
        <w:t xml:space="preserve">content.  </w:t>
      </w:r>
      <w:r w:rsidR="00FB27D9" w:rsidRPr="003C7E17">
        <w:rPr>
          <w:rStyle w:val="s3"/>
          <w:color w:val="000000" w:themeColor="text1"/>
        </w:rPr>
        <w:t>R</w:t>
      </w:r>
      <w:r w:rsidRPr="003C7E17">
        <w:rPr>
          <w:rStyle w:val="s3"/>
          <w:color w:val="000000" w:themeColor="text1"/>
        </w:rPr>
        <w:t xml:space="preserve">efer to </w:t>
      </w:r>
      <w:r w:rsidRPr="003C7E17">
        <w:rPr>
          <w:rStyle w:val="s3"/>
          <w:i/>
          <w:color w:val="000000" w:themeColor="text1"/>
        </w:rPr>
        <w:t xml:space="preserve">RFP section 7.1.1(d) </w:t>
      </w:r>
      <w:r w:rsidRPr="003C7E17">
        <w:rPr>
          <w:rStyle w:val="s3"/>
          <w:color w:val="000000" w:themeColor="text1"/>
        </w:rPr>
        <w:t xml:space="preserve">and </w:t>
      </w:r>
      <w:r w:rsidRPr="003C7E17">
        <w:rPr>
          <w:rStyle w:val="s3"/>
          <w:i/>
          <w:color w:val="000000" w:themeColor="text1"/>
        </w:rPr>
        <w:t>(e)</w:t>
      </w:r>
      <w:r w:rsidRPr="003C7E17">
        <w:rPr>
          <w:rStyle w:val="s3"/>
          <w:color w:val="000000" w:themeColor="text1"/>
        </w:rPr>
        <w:t xml:space="preserve"> for more information.  </w:t>
      </w:r>
      <w:r w:rsidR="006D0E4B" w:rsidRPr="003C7E17">
        <w:rPr>
          <w:rStyle w:val="s3"/>
          <w:color w:val="000000" w:themeColor="text1"/>
        </w:rPr>
        <w:t>T</w:t>
      </w:r>
      <w:r w:rsidRPr="003C7E17">
        <w:rPr>
          <w:rStyle w:val="s3"/>
          <w:color w:val="000000" w:themeColor="text1"/>
        </w:rPr>
        <w:t xml:space="preserve">o conduct business as a </w:t>
      </w:r>
      <w:r w:rsidR="009B7E68" w:rsidRPr="003C7E17">
        <w:rPr>
          <w:rStyle w:val="s3"/>
          <w:color w:val="000000" w:themeColor="text1"/>
        </w:rPr>
        <w:t>corporation</w:t>
      </w:r>
      <w:r w:rsidRPr="003C7E17">
        <w:rPr>
          <w:rStyle w:val="s3"/>
          <w:color w:val="000000" w:themeColor="text1"/>
        </w:rPr>
        <w:t xml:space="preserve">, identify yourself under </w:t>
      </w:r>
      <w:r w:rsidRPr="003C7E17">
        <w:rPr>
          <w:rStyle w:val="s3"/>
          <w:i/>
          <w:color w:val="000000" w:themeColor="text1"/>
        </w:rPr>
        <w:t>section (d)</w:t>
      </w:r>
      <w:r w:rsidRPr="003C7E17">
        <w:rPr>
          <w:rStyle w:val="s3"/>
          <w:color w:val="000000" w:themeColor="text1"/>
        </w:rPr>
        <w:t xml:space="preserve">. </w:t>
      </w:r>
      <w:r w:rsidR="006D0E4B" w:rsidRPr="003C7E17">
        <w:rPr>
          <w:rStyle w:val="s3"/>
          <w:color w:val="000000" w:themeColor="text1"/>
        </w:rPr>
        <w:t xml:space="preserve">To </w:t>
      </w:r>
      <w:r w:rsidR="002E4BBD" w:rsidRPr="003C7E17">
        <w:rPr>
          <w:rStyle w:val="s3"/>
          <w:color w:val="000000" w:themeColor="text1"/>
        </w:rPr>
        <w:t xml:space="preserve">bid with the representation model of a </w:t>
      </w:r>
      <w:r w:rsidRPr="003C7E17">
        <w:rPr>
          <w:rStyle w:val="s3"/>
          <w:color w:val="000000" w:themeColor="text1"/>
        </w:rPr>
        <w:t>sol</w:t>
      </w:r>
      <w:r w:rsidR="006D0E4B" w:rsidRPr="003C7E17">
        <w:rPr>
          <w:rStyle w:val="s3"/>
          <w:color w:val="000000" w:themeColor="text1"/>
        </w:rPr>
        <w:t>e</w:t>
      </w:r>
      <w:r w:rsidRPr="003C7E17">
        <w:rPr>
          <w:rStyle w:val="s3"/>
          <w:color w:val="000000" w:themeColor="text1"/>
        </w:rPr>
        <w:t xml:space="preserve"> practitioner, identify yourself under </w:t>
      </w:r>
      <w:r w:rsidRPr="003C7E17">
        <w:rPr>
          <w:rStyle w:val="s3"/>
          <w:i/>
          <w:color w:val="000000" w:themeColor="text1"/>
        </w:rPr>
        <w:t>section (e)</w:t>
      </w:r>
      <w:r w:rsidRPr="003C7E17">
        <w:rPr>
          <w:rStyle w:val="s3"/>
          <w:color w:val="000000" w:themeColor="text1"/>
        </w:rPr>
        <w:t>.</w:t>
      </w:r>
    </w:p>
    <w:p w:rsidR="00647DD2" w:rsidRPr="003C7E17" w:rsidRDefault="00647DD2" w:rsidP="000B2D1F">
      <w:pPr>
        <w:pStyle w:val="ListParagraph"/>
        <w:numPr>
          <w:ilvl w:val="0"/>
          <w:numId w:val="3"/>
        </w:numPr>
        <w:tabs>
          <w:tab w:val="clear" w:pos="720"/>
          <w:tab w:val="num" w:pos="-180"/>
        </w:tabs>
        <w:autoSpaceDE w:val="0"/>
        <w:autoSpaceDN w:val="0"/>
        <w:adjustRightInd w:val="0"/>
        <w:spacing w:after="120"/>
        <w:ind w:left="-180" w:hanging="540"/>
        <w:jc w:val="both"/>
        <w:rPr>
          <w:rStyle w:val="s3"/>
          <w:rFonts w:ascii="Times New Roman" w:hAnsi="Times New Roman"/>
          <w:color w:val="000000" w:themeColor="text1"/>
          <w:sz w:val="24"/>
          <w:szCs w:val="24"/>
        </w:rPr>
      </w:pPr>
      <w:r w:rsidRPr="003C7E17">
        <w:rPr>
          <w:rStyle w:val="s3"/>
          <w:rFonts w:ascii="Times New Roman" w:hAnsi="Times New Roman"/>
          <w:color w:val="000000" w:themeColor="text1"/>
          <w:sz w:val="24"/>
          <w:szCs w:val="24"/>
        </w:rPr>
        <w:t xml:space="preserve">Is it a requirement to have separate offices in Placerville and South Lake Tahoe, or is it </w:t>
      </w:r>
      <w:r w:rsidR="00E72F33" w:rsidRPr="003C7E17">
        <w:rPr>
          <w:rStyle w:val="s3"/>
          <w:rFonts w:ascii="Times New Roman" w:hAnsi="Times New Roman"/>
          <w:color w:val="000000" w:themeColor="text1"/>
          <w:sz w:val="24"/>
          <w:szCs w:val="24"/>
        </w:rPr>
        <w:t>p</w:t>
      </w:r>
      <w:r w:rsidRPr="003C7E17">
        <w:rPr>
          <w:rStyle w:val="s3"/>
          <w:rFonts w:ascii="Times New Roman" w:hAnsi="Times New Roman"/>
          <w:color w:val="000000" w:themeColor="text1"/>
          <w:sz w:val="24"/>
          <w:szCs w:val="24"/>
        </w:rPr>
        <w:t>ermissible to have a centralized office?</w:t>
      </w:r>
    </w:p>
    <w:p w:rsidR="009A56C4" w:rsidRPr="003C7E17" w:rsidRDefault="00E72F33" w:rsidP="000B2D1F">
      <w:pPr>
        <w:pStyle w:val="s6"/>
        <w:spacing w:before="0" w:beforeAutospacing="0" w:after="120" w:afterAutospacing="0"/>
        <w:ind w:hanging="180"/>
        <w:jc w:val="both"/>
        <w:rPr>
          <w:color w:val="000000" w:themeColor="text1"/>
        </w:rPr>
      </w:pPr>
      <w:r w:rsidRPr="003C7E17">
        <w:rPr>
          <w:rStyle w:val="s3"/>
          <w:color w:val="000000" w:themeColor="text1"/>
        </w:rPr>
        <w:t xml:space="preserve">Answer: </w:t>
      </w:r>
      <w:r w:rsidR="009A56C4" w:rsidRPr="003C7E17">
        <w:rPr>
          <w:color w:val="000000" w:themeColor="text1"/>
        </w:rPr>
        <w:t xml:space="preserve">There are no requirements to have separate offices in Placerville and South Lake Tahoe.  </w:t>
      </w:r>
      <w:r w:rsidR="00C86F22" w:rsidRPr="003C7E17">
        <w:rPr>
          <w:color w:val="000000" w:themeColor="text1"/>
        </w:rPr>
        <w:tab/>
      </w:r>
      <w:r w:rsidR="009A56C4" w:rsidRPr="003C7E17">
        <w:rPr>
          <w:color w:val="000000" w:themeColor="text1"/>
        </w:rPr>
        <w:t>It is permissible to have a centralized office.</w:t>
      </w:r>
    </w:p>
    <w:p w:rsidR="003B724F" w:rsidRPr="003C7E17" w:rsidRDefault="00C86F22" w:rsidP="000B2D1F">
      <w:pPr>
        <w:pStyle w:val="s6"/>
        <w:numPr>
          <w:ilvl w:val="0"/>
          <w:numId w:val="3"/>
        </w:numPr>
        <w:tabs>
          <w:tab w:val="clear" w:pos="720"/>
        </w:tabs>
        <w:spacing w:before="0" w:beforeAutospacing="0" w:after="120" w:afterAutospacing="0"/>
        <w:ind w:left="-180" w:hanging="540"/>
        <w:jc w:val="both"/>
        <w:rPr>
          <w:rStyle w:val="s3"/>
          <w:color w:val="000000" w:themeColor="text1"/>
        </w:rPr>
      </w:pPr>
      <w:r w:rsidRPr="003C7E17">
        <w:rPr>
          <w:rStyle w:val="s3"/>
          <w:color w:val="000000" w:themeColor="text1"/>
        </w:rPr>
        <w:t>If multiple offices are required, are they required to be open five days per week?</w:t>
      </w:r>
    </w:p>
    <w:p w:rsidR="00C86F22" w:rsidRPr="003C7E17" w:rsidRDefault="00AC266D" w:rsidP="00FD1DAF">
      <w:pPr>
        <w:pStyle w:val="s6"/>
        <w:spacing w:before="0" w:beforeAutospacing="0" w:after="120" w:afterAutospacing="0"/>
        <w:ind w:left="720" w:hanging="900"/>
        <w:jc w:val="both"/>
        <w:rPr>
          <w:color w:val="000000" w:themeColor="text1"/>
        </w:rPr>
      </w:pPr>
      <w:r w:rsidRPr="003C7E17">
        <w:rPr>
          <w:color w:val="000000" w:themeColor="text1"/>
        </w:rPr>
        <w:t xml:space="preserve">Answer: There are no requirements to have multiple offices, </w:t>
      </w:r>
      <w:r w:rsidR="00724B26" w:rsidRPr="003C7E17">
        <w:rPr>
          <w:color w:val="000000" w:themeColor="text1"/>
        </w:rPr>
        <w:t>as explained in</w:t>
      </w:r>
      <w:r w:rsidRPr="003C7E17">
        <w:rPr>
          <w:color w:val="000000" w:themeColor="text1"/>
        </w:rPr>
        <w:t xml:space="preserve"> number 8, above, and there are no requirements regarding office hours.</w:t>
      </w:r>
    </w:p>
    <w:p w:rsidR="00C86F22" w:rsidRPr="003C7E17" w:rsidRDefault="00C86F22" w:rsidP="000B2D1F">
      <w:pPr>
        <w:pStyle w:val="s6"/>
        <w:numPr>
          <w:ilvl w:val="0"/>
          <w:numId w:val="3"/>
        </w:numPr>
        <w:tabs>
          <w:tab w:val="clear" w:pos="720"/>
          <w:tab w:val="num" w:pos="-180"/>
        </w:tabs>
        <w:spacing w:before="0" w:beforeAutospacing="0" w:after="120" w:afterAutospacing="0"/>
        <w:ind w:hanging="1440"/>
        <w:jc w:val="both"/>
        <w:rPr>
          <w:rStyle w:val="s3"/>
          <w:color w:val="000000" w:themeColor="text1"/>
        </w:rPr>
      </w:pPr>
      <w:r w:rsidRPr="003C7E17">
        <w:rPr>
          <w:rStyle w:val="s3"/>
          <w:color w:val="000000" w:themeColor="text1"/>
        </w:rPr>
        <w:t xml:space="preserve">Is a home office acceptable </w:t>
      </w:r>
      <w:r w:rsidR="00AD1411" w:rsidRPr="003C7E17">
        <w:rPr>
          <w:rStyle w:val="s3"/>
          <w:color w:val="000000" w:themeColor="text1"/>
        </w:rPr>
        <w:t>if</w:t>
      </w:r>
      <w:r w:rsidRPr="003C7E17">
        <w:rPr>
          <w:rStyle w:val="s3"/>
          <w:color w:val="000000" w:themeColor="text1"/>
        </w:rPr>
        <w:t xml:space="preserve"> there is room for interviews and client contact?</w:t>
      </w:r>
    </w:p>
    <w:p w:rsidR="00C86F22" w:rsidRPr="003C7E17" w:rsidRDefault="00C86F22" w:rsidP="000B2D1F">
      <w:pPr>
        <w:pStyle w:val="s6"/>
        <w:spacing w:before="0" w:beforeAutospacing="0" w:after="120" w:afterAutospacing="0"/>
        <w:ind w:left="-180"/>
        <w:jc w:val="both"/>
        <w:rPr>
          <w:color w:val="000000" w:themeColor="text1"/>
        </w:rPr>
      </w:pPr>
      <w:r w:rsidRPr="003C7E17">
        <w:rPr>
          <w:color w:val="000000" w:themeColor="text1"/>
        </w:rPr>
        <w:t xml:space="preserve">Answer: A home office is acceptable.  As stated in </w:t>
      </w:r>
      <w:r w:rsidRPr="003C7E17">
        <w:rPr>
          <w:i/>
          <w:color w:val="000000" w:themeColor="text1"/>
        </w:rPr>
        <w:t xml:space="preserve">RFP section 7.1.3(f) </w:t>
      </w:r>
      <w:r w:rsidRPr="003C7E17">
        <w:rPr>
          <w:color w:val="000000" w:themeColor="text1"/>
        </w:rPr>
        <w:t xml:space="preserve">on page 8, “Proposers </w:t>
      </w:r>
      <w:r w:rsidR="00FD1DAF" w:rsidRPr="003C7E17">
        <w:rPr>
          <w:color w:val="000000" w:themeColor="text1"/>
        </w:rPr>
        <w:tab/>
      </w:r>
      <w:r w:rsidR="00FD1DAF" w:rsidRPr="003C7E17">
        <w:rPr>
          <w:color w:val="000000" w:themeColor="text1"/>
        </w:rPr>
        <w:tab/>
      </w:r>
      <w:r w:rsidRPr="003C7E17">
        <w:rPr>
          <w:color w:val="000000" w:themeColor="text1"/>
        </w:rPr>
        <w:t>must identify the proposed location(s) of office(s) and client interview facilities.”</w:t>
      </w:r>
    </w:p>
    <w:p w:rsidR="00A864FE" w:rsidRPr="003C7E17" w:rsidRDefault="00A864FE" w:rsidP="000B2D1F">
      <w:pPr>
        <w:pStyle w:val="s6"/>
        <w:numPr>
          <w:ilvl w:val="0"/>
          <w:numId w:val="3"/>
        </w:numPr>
        <w:tabs>
          <w:tab w:val="clear" w:pos="720"/>
        </w:tabs>
        <w:spacing w:before="0" w:beforeAutospacing="0" w:after="120" w:afterAutospacing="0"/>
        <w:ind w:left="-180" w:hanging="540"/>
        <w:rPr>
          <w:rStyle w:val="s3"/>
          <w:color w:val="000000" w:themeColor="text1"/>
        </w:rPr>
      </w:pPr>
      <w:r w:rsidRPr="003C7E17">
        <w:rPr>
          <w:rStyle w:val="s3"/>
          <w:color w:val="000000" w:themeColor="text1"/>
        </w:rPr>
        <w:t xml:space="preserve">What is the estimate of non-English speaking clients? </w:t>
      </w:r>
    </w:p>
    <w:p w:rsidR="00A864FE" w:rsidRPr="003C7E17" w:rsidRDefault="00A864FE" w:rsidP="00FD1DAF">
      <w:pPr>
        <w:pStyle w:val="s6"/>
        <w:spacing w:before="0" w:beforeAutospacing="0" w:after="150" w:afterAutospacing="0"/>
        <w:ind w:left="720" w:hanging="900"/>
        <w:jc w:val="both"/>
        <w:rPr>
          <w:color w:val="000000" w:themeColor="text1"/>
        </w:rPr>
      </w:pPr>
      <w:r w:rsidRPr="003C7E17">
        <w:rPr>
          <w:color w:val="000000" w:themeColor="text1"/>
        </w:rPr>
        <w:t>Answer: The AOC does not have data regarding the number of non-English speaking clients</w:t>
      </w:r>
      <w:r w:rsidR="00732757" w:rsidRPr="003C7E17">
        <w:rPr>
          <w:color w:val="000000" w:themeColor="text1"/>
        </w:rPr>
        <w:t xml:space="preserve"> in El Dorado County</w:t>
      </w:r>
      <w:r w:rsidRPr="003C7E17">
        <w:rPr>
          <w:color w:val="000000" w:themeColor="text1"/>
        </w:rPr>
        <w:t xml:space="preserve">.  However, proposers may consider the table below, which compares the race and ethnicity of all children in El Dorado County compared to those in foster care in </w:t>
      </w:r>
      <w:r w:rsidR="00732757" w:rsidRPr="003C7E17">
        <w:rPr>
          <w:color w:val="000000" w:themeColor="text1"/>
        </w:rPr>
        <w:t>the</w:t>
      </w:r>
      <w:r w:rsidRPr="003C7E17">
        <w:rPr>
          <w:color w:val="000000" w:themeColor="text1"/>
        </w:rPr>
        <w:t xml:space="preserve"> County.</w:t>
      </w:r>
    </w:p>
    <w:p w:rsidR="0043407B" w:rsidRPr="007D094B" w:rsidRDefault="0043407B" w:rsidP="000B2D1F">
      <w:pPr>
        <w:autoSpaceDE w:val="0"/>
        <w:autoSpaceDN w:val="0"/>
        <w:adjustRightInd w:val="0"/>
        <w:spacing w:after="240"/>
        <w:ind w:left="-180" w:hanging="540"/>
        <w:jc w:val="center"/>
        <w:rPr>
          <w:i/>
          <w:color w:val="auto"/>
        </w:rPr>
      </w:pPr>
    </w:p>
    <w:tbl>
      <w:tblPr>
        <w:tblW w:w="9000" w:type="dxa"/>
        <w:tblBorders>
          <w:top w:val="single" w:sz="12" w:space="0" w:color="auto"/>
          <w:left w:val="single" w:sz="12" w:space="0" w:color="auto"/>
          <w:bottom w:val="single" w:sz="12" w:space="0" w:color="auto"/>
          <w:right w:val="single" w:sz="12" w:space="0" w:color="auto"/>
        </w:tblBorders>
        <w:tblLook w:val="04A0"/>
      </w:tblPr>
      <w:tblGrid>
        <w:gridCol w:w="2430"/>
        <w:gridCol w:w="1260"/>
        <w:gridCol w:w="1170"/>
        <w:gridCol w:w="1170"/>
        <w:gridCol w:w="1530"/>
        <w:gridCol w:w="1440"/>
      </w:tblGrid>
      <w:tr w:rsidR="00DA4801" w:rsidRPr="00691A5D" w:rsidTr="00DA4801">
        <w:trPr>
          <w:trHeight w:val="366"/>
        </w:trPr>
        <w:tc>
          <w:tcPr>
            <w:tcW w:w="9000" w:type="dxa"/>
            <w:gridSpan w:val="6"/>
            <w:shd w:val="clear" w:color="000000" w:fill="3366FF"/>
            <w:noWrap/>
            <w:vAlign w:val="center"/>
            <w:hideMark/>
          </w:tcPr>
          <w:p w:rsidR="00DA4801" w:rsidRPr="00691A5D" w:rsidRDefault="00DA4801" w:rsidP="00CA3BE6">
            <w:pPr>
              <w:rPr>
                <w:rFonts w:cstheme="minorHAnsi"/>
                <w:bCs/>
                <w:color w:val="FFFFFF"/>
              </w:rPr>
            </w:pPr>
            <w:r>
              <w:rPr>
                <w:b/>
                <w:i/>
                <w:color w:val="auto"/>
                <w:sz w:val="24"/>
                <w:szCs w:val="24"/>
              </w:rPr>
              <w:lastRenderedPageBreak/>
              <w:tab/>
            </w:r>
            <w:r w:rsidRPr="00691A5D">
              <w:rPr>
                <w:rFonts w:cstheme="minorHAnsi"/>
                <w:bCs/>
                <w:color w:val="FFFFFF"/>
              </w:rPr>
              <w:t>Jul</w:t>
            </w:r>
            <w:r w:rsidR="00CA3BE6">
              <w:rPr>
                <w:rFonts w:cstheme="minorHAnsi"/>
                <w:bCs/>
                <w:color w:val="FFFFFF"/>
              </w:rPr>
              <w:t xml:space="preserve">y </w:t>
            </w:r>
            <w:r w:rsidRPr="00691A5D">
              <w:rPr>
                <w:rFonts w:cstheme="minorHAnsi"/>
                <w:bCs/>
                <w:color w:val="FFFFFF"/>
              </w:rPr>
              <w:t>1, 2012 children by race and ethnicity (ages 0-17): county and in foster care </w:t>
            </w:r>
          </w:p>
        </w:tc>
      </w:tr>
      <w:tr w:rsidR="00DA4801" w:rsidRPr="00691A5D" w:rsidTr="00DA4801">
        <w:trPr>
          <w:trHeight w:val="252"/>
        </w:trPr>
        <w:tc>
          <w:tcPr>
            <w:tcW w:w="9000" w:type="dxa"/>
            <w:gridSpan w:val="6"/>
            <w:shd w:val="clear" w:color="auto" w:fill="auto"/>
            <w:hideMark/>
          </w:tcPr>
          <w:p w:rsidR="00DA4801" w:rsidRPr="00691A5D" w:rsidRDefault="00DA4801" w:rsidP="000B2D1F">
            <w:pPr>
              <w:rPr>
                <w:rFonts w:cstheme="minorHAnsi"/>
              </w:rPr>
            </w:pPr>
            <w:r w:rsidRPr="00691A5D">
              <w:rPr>
                <w:rFonts w:cstheme="minorHAnsi"/>
              </w:rPr>
              <w:t>Children with missing ethnicity data are excluded.</w:t>
            </w:r>
          </w:p>
        </w:tc>
      </w:tr>
      <w:tr w:rsidR="00DA4801" w:rsidRPr="00691A5D" w:rsidTr="00DA4801">
        <w:trPr>
          <w:trHeight w:val="402"/>
        </w:trPr>
        <w:tc>
          <w:tcPr>
            <w:tcW w:w="2430" w:type="dxa"/>
            <w:shd w:val="clear" w:color="auto" w:fill="auto"/>
            <w:noWrap/>
            <w:vAlign w:val="center"/>
            <w:hideMark/>
          </w:tcPr>
          <w:p w:rsidR="00DA4801" w:rsidRPr="00691A5D" w:rsidRDefault="00DA4801" w:rsidP="000B2D1F">
            <w:pPr>
              <w:rPr>
                <w:rFonts w:cstheme="minorHAnsi"/>
                <w:bCs/>
              </w:rPr>
            </w:pPr>
          </w:p>
        </w:tc>
        <w:tc>
          <w:tcPr>
            <w:tcW w:w="1260" w:type="dxa"/>
            <w:shd w:val="clear" w:color="auto" w:fill="auto"/>
            <w:noWrap/>
            <w:vAlign w:val="center"/>
            <w:hideMark/>
          </w:tcPr>
          <w:p w:rsidR="00DA4801" w:rsidRPr="00691A5D" w:rsidRDefault="00DA4801" w:rsidP="000B2D1F">
            <w:pPr>
              <w:jc w:val="right"/>
              <w:rPr>
                <w:rFonts w:cstheme="minorHAnsi"/>
                <w:bCs/>
              </w:rPr>
            </w:pPr>
            <w:r w:rsidRPr="00691A5D">
              <w:rPr>
                <w:rFonts w:cstheme="minorHAnsi"/>
                <w:bCs/>
              </w:rPr>
              <w:t>Black</w:t>
            </w:r>
          </w:p>
        </w:tc>
        <w:tc>
          <w:tcPr>
            <w:tcW w:w="1170" w:type="dxa"/>
            <w:shd w:val="clear" w:color="auto" w:fill="auto"/>
            <w:noWrap/>
            <w:vAlign w:val="center"/>
            <w:hideMark/>
          </w:tcPr>
          <w:p w:rsidR="00DA4801" w:rsidRPr="00691A5D" w:rsidRDefault="00DA4801" w:rsidP="000B2D1F">
            <w:pPr>
              <w:jc w:val="right"/>
              <w:rPr>
                <w:rFonts w:cstheme="minorHAnsi"/>
                <w:bCs/>
              </w:rPr>
            </w:pPr>
            <w:r w:rsidRPr="00691A5D">
              <w:rPr>
                <w:rFonts w:cstheme="minorHAnsi"/>
                <w:bCs/>
              </w:rPr>
              <w:t>White</w:t>
            </w:r>
          </w:p>
        </w:tc>
        <w:tc>
          <w:tcPr>
            <w:tcW w:w="1170" w:type="dxa"/>
            <w:shd w:val="clear" w:color="auto" w:fill="auto"/>
            <w:noWrap/>
            <w:vAlign w:val="center"/>
            <w:hideMark/>
          </w:tcPr>
          <w:p w:rsidR="00DA4801" w:rsidRPr="00691A5D" w:rsidRDefault="00DA4801" w:rsidP="000B2D1F">
            <w:pPr>
              <w:jc w:val="right"/>
              <w:rPr>
                <w:rFonts w:cstheme="minorHAnsi"/>
                <w:bCs/>
              </w:rPr>
            </w:pPr>
            <w:r w:rsidRPr="00691A5D">
              <w:rPr>
                <w:rFonts w:cstheme="minorHAnsi"/>
                <w:bCs/>
              </w:rPr>
              <w:t>Latino</w:t>
            </w:r>
          </w:p>
        </w:tc>
        <w:tc>
          <w:tcPr>
            <w:tcW w:w="1530" w:type="dxa"/>
            <w:shd w:val="clear" w:color="auto" w:fill="auto"/>
            <w:noWrap/>
            <w:vAlign w:val="center"/>
            <w:hideMark/>
          </w:tcPr>
          <w:p w:rsidR="00DA4801" w:rsidRPr="00691A5D" w:rsidRDefault="00DA4801" w:rsidP="000B2D1F">
            <w:pPr>
              <w:jc w:val="right"/>
              <w:rPr>
                <w:rFonts w:cstheme="minorHAnsi"/>
                <w:bCs/>
              </w:rPr>
            </w:pPr>
            <w:r w:rsidRPr="00691A5D">
              <w:rPr>
                <w:rFonts w:cstheme="minorHAnsi"/>
                <w:bCs/>
              </w:rPr>
              <w:t>Asian / P.I.</w:t>
            </w:r>
          </w:p>
        </w:tc>
        <w:tc>
          <w:tcPr>
            <w:tcW w:w="1440" w:type="dxa"/>
            <w:shd w:val="clear" w:color="auto" w:fill="auto"/>
            <w:noWrap/>
            <w:vAlign w:val="center"/>
            <w:hideMark/>
          </w:tcPr>
          <w:p w:rsidR="00DA4801" w:rsidRPr="00691A5D" w:rsidRDefault="00DA4801" w:rsidP="000B2D1F">
            <w:pPr>
              <w:jc w:val="right"/>
              <w:rPr>
                <w:rFonts w:cstheme="minorHAnsi"/>
                <w:bCs/>
              </w:rPr>
            </w:pPr>
            <w:r w:rsidRPr="00691A5D">
              <w:rPr>
                <w:rFonts w:cstheme="minorHAnsi"/>
                <w:bCs/>
              </w:rPr>
              <w:t>Nat. Amer.</w:t>
            </w:r>
          </w:p>
        </w:tc>
      </w:tr>
      <w:tr w:rsidR="00DA4801" w:rsidRPr="00691A5D" w:rsidTr="00DA4801">
        <w:trPr>
          <w:trHeight w:val="402"/>
        </w:trPr>
        <w:tc>
          <w:tcPr>
            <w:tcW w:w="2430" w:type="dxa"/>
            <w:shd w:val="clear" w:color="auto" w:fill="auto"/>
            <w:noWrap/>
            <w:vAlign w:val="center"/>
            <w:hideMark/>
          </w:tcPr>
          <w:p w:rsidR="00DA4801" w:rsidRPr="00691A5D" w:rsidRDefault="00DA4801" w:rsidP="000B2D1F">
            <w:pPr>
              <w:rPr>
                <w:rFonts w:cstheme="minorHAnsi"/>
                <w:bCs/>
              </w:rPr>
            </w:pPr>
            <w:r w:rsidRPr="00691A5D">
              <w:rPr>
                <w:rFonts w:cstheme="minorHAnsi"/>
                <w:bCs/>
              </w:rPr>
              <w:t>County (N=37,210)</w:t>
            </w:r>
          </w:p>
        </w:tc>
        <w:tc>
          <w:tcPr>
            <w:tcW w:w="1260" w:type="dxa"/>
            <w:shd w:val="clear" w:color="auto" w:fill="auto"/>
            <w:noWrap/>
            <w:vAlign w:val="center"/>
            <w:hideMark/>
          </w:tcPr>
          <w:p w:rsidR="00DA4801" w:rsidRPr="00691A5D" w:rsidRDefault="00DA4801" w:rsidP="000B2D1F">
            <w:pPr>
              <w:jc w:val="right"/>
              <w:rPr>
                <w:rFonts w:cstheme="minorHAnsi"/>
                <w:bCs/>
              </w:rPr>
            </w:pPr>
            <w:r w:rsidRPr="00691A5D">
              <w:rPr>
                <w:rFonts w:cstheme="minorHAnsi"/>
                <w:bCs/>
              </w:rPr>
              <w:t>&lt;1%</w:t>
            </w:r>
          </w:p>
        </w:tc>
        <w:tc>
          <w:tcPr>
            <w:tcW w:w="1170" w:type="dxa"/>
            <w:shd w:val="clear" w:color="auto" w:fill="auto"/>
            <w:noWrap/>
            <w:vAlign w:val="center"/>
            <w:hideMark/>
          </w:tcPr>
          <w:p w:rsidR="00DA4801" w:rsidRPr="00691A5D" w:rsidRDefault="00DA4801" w:rsidP="000B2D1F">
            <w:pPr>
              <w:jc w:val="right"/>
              <w:rPr>
                <w:rFonts w:cstheme="minorHAnsi"/>
                <w:bCs/>
              </w:rPr>
            </w:pPr>
            <w:r w:rsidRPr="00691A5D">
              <w:rPr>
                <w:rFonts w:cstheme="minorHAnsi"/>
                <w:bCs/>
              </w:rPr>
              <w:t>72%</w:t>
            </w:r>
          </w:p>
        </w:tc>
        <w:tc>
          <w:tcPr>
            <w:tcW w:w="1170" w:type="dxa"/>
            <w:shd w:val="clear" w:color="auto" w:fill="auto"/>
            <w:noWrap/>
            <w:vAlign w:val="center"/>
            <w:hideMark/>
          </w:tcPr>
          <w:p w:rsidR="00DA4801" w:rsidRPr="00691A5D" w:rsidRDefault="00DA4801" w:rsidP="000B2D1F">
            <w:pPr>
              <w:jc w:val="right"/>
              <w:rPr>
                <w:rFonts w:cstheme="minorHAnsi"/>
                <w:bCs/>
              </w:rPr>
            </w:pPr>
            <w:r w:rsidRPr="00691A5D">
              <w:rPr>
                <w:rFonts w:cstheme="minorHAnsi"/>
                <w:bCs/>
              </w:rPr>
              <w:t>22%</w:t>
            </w:r>
          </w:p>
        </w:tc>
        <w:tc>
          <w:tcPr>
            <w:tcW w:w="1530" w:type="dxa"/>
            <w:shd w:val="clear" w:color="auto" w:fill="auto"/>
            <w:noWrap/>
            <w:vAlign w:val="center"/>
            <w:hideMark/>
          </w:tcPr>
          <w:p w:rsidR="00DA4801" w:rsidRPr="00691A5D" w:rsidRDefault="00DA4801" w:rsidP="000B2D1F">
            <w:pPr>
              <w:jc w:val="right"/>
              <w:rPr>
                <w:rFonts w:cstheme="minorHAnsi"/>
                <w:bCs/>
              </w:rPr>
            </w:pPr>
            <w:r w:rsidRPr="00691A5D">
              <w:rPr>
                <w:rFonts w:cstheme="minorHAnsi"/>
                <w:bCs/>
              </w:rPr>
              <w:t>5%</w:t>
            </w:r>
          </w:p>
        </w:tc>
        <w:tc>
          <w:tcPr>
            <w:tcW w:w="1440" w:type="dxa"/>
            <w:shd w:val="clear" w:color="auto" w:fill="auto"/>
            <w:noWrap/>
            <w:vAlign w:val="center"/>
            <w:hideMark/>
          </w:tcPr>
          <w:p w:rsidR="00DA4801" w:rsidRPr="00691A5D" w:rsidRDefault="00DA4801" w:rsidP="000B2D1F">
            <w:pPr>
              <w:jc w:val="right"/>
              <w:rPr>
                <w:rFonts w:cstheme="minorHAnsi"/>
                <w:bCs/>
              </w:rPr>
            </w:pPr>
            <w:r w:rsidRPr="00691A5D">
              <w:rPr>
                <w:rFonts w:cstheme="minorHAnsi"/>
                <w:bCs/>
              </w:rPr>
              <w:t>&lt;1%</w:t>
            </w:r>
          </w:p>
        </w:tc>
      </w:tr>
      <w:tr w:rsidR="00DA4801" w:rsidRPr="00691A5D" w:rsidTr="00DA4801">
        <w:trPr>
          <w:trHeight w:val="402"/>
        </w:trPr>
        <w:tc>
          <w:tcPr>
            <w:tcW w:w="2430" w:type="dxa"/>
            <w:shd w:val="clear" w:color="auto" w:fill="auto"/>
            <w:noWrap/>
            <w:vAlign w:val="center"/>
            <w:hideMark/>
          </w:tcPr>
          <w:p w:rsidR="00DA4801" w:rsidRPr="00691A5D" w:rsidRDefault="00DA4801" w:rsidP="000B2D1F">
            <w:pPr>
              <w:rPr>
                <w:rFonts w:cstheme="minorHAnsi"/>
                <w:bCs/>
              </w:rPr>
            </w:pPr>
            <w:r w:rsidRPr="00691A5D">
              <w:rPr>
                <w:rFonts w:cstheme="minorHAnsi"/>
                <w:bCs/>
              </w:rPr>
              <w:t>In foster care (N=263)</w:t>
            </w:r>
          </w:p>
        </w:tc>
        <w:tc>
          <w:tcPr>
            <w:tcW w:w="1260" w:type="dxa"/>
            <w:shd w:val="clear" w:color="auto" w:fill="auto"/>
            <w:noWrap/>
            <w:vAlign w:val="center"/>
            <w:hideMark/>
          </w:tcPr>
          <w:p w:rsidR="00DA4801" w:rsidRPr="00691A5D" w:rsidRDefault="00DA4801" w:rsidP="000B2D1F">
            <w:pPr>
              <w:jc w:val="right"/>
              <w:rPr>
                <w:rFonts w:cstheme="minorHAnsi"/>
                <w:bCs/>
              </w:rPr>
            </w:pPr>
            <w:r w:rsidRPr="00691A5D">
              <w:rPr>
                <w:rFonts w:cstheme="minorHAnsi"/>
                <w:bCs/>
              </w:rPr>
              <w:t>8%</w:t>
            </w:r>
          </w:p>
        </w:tc>
        <w:tc>
          <w:tcPr>
            <w:tcW w:w="1170" w:type="dxa"/>
            <w:shd w:val="clear" w:color="auto" w:fill="auto"/>
            <w:noWrap/>
            <w:vAlign w:val="center"/>
            <w:hideMark/>
          </w:tcPr>
          <w:p w:rsidR="00DA4801" w:rsidRPr="00691A5D" w:rsidRDefault="00DA4801" w:rsidP="000B2D1F">
            <w:pPr>
              <w:jc w:val="right"/>
              <w:rPr>
                <w:rFonts w:cstheme="minorHAnsi"/>
                <w:bCs/>
              </w:rPr>
            </w:pPr>
            <w:r w:rsidRPr="00691A5D">
              <w:rPr>
                <w:rFonts w:cstheme="minorHAnsi"/>
                <w:bCs/>
              </w:rPr>
              <w:t>68%</w:t>
            </w:r>
          </w:p>
        </w:tc>
        <w:tc>
          <w:tcPr>
            <w:tcW w:w="1170" w:type="dxa"/>
            <w:shd w:val="clear" w:color="auto" w:fill="auto"/>
            <w:noWrap/>
            <w:vAlign w:val="center"/>
            <w:hideMark/>
          </w:tcPr>
          <w:p w:rsidR="00DA4801" w:rsidRPr="00691A5D" w:rsidRDefault="00DA4801" w:rsidP="000B2D1F">
            <w:pPr>
              <w:jc w:val="right"/>
              <w:rPr>
                <w:rFonts w:cstheme="minorHAnsi"/>
                <w:bCs/>
              </w:rPr>
            </w:pPr>
            <w:r w:rsidRPr="00691A5D">
              <w:rPr>
                <w:rFonts w:cstheme="minorHAnsi"/>
                <w:bCs/>
              </w:rPr>
              <w:t>20%</w:t>
            </w:r>
          </w:p>
        </w:tc>
        <w:tc>
          <w:tcPr>
            <w:tcW w:w="1530" w:type="dxa"/>
            <w:shd w:val="clear" w:color="auto" w:fill="auto"/>
            <w:noWrap/>
            <w:vAlign w:val="center"/>
            <w:hideMark/>
          </w:tcPr>
          <w:p w:rsidR="00DA4801" w:rsidRPr="00691A5D" w:rsidRDefault="00DA4801" w:rsidP="000B2D1F">
            <w:pPr>
              <w:jc w:val="right"/>
              <w:rPr>
                <w:rFonts w:cstheme="minorHAnsi"/>
                <w:bCs/>
              </w:rPr>
            </w:pPr>
            <w:r w:rsidRPr="00691A5D">
              <w:rPr>
                <w:rFonts w:cstheme="minorHAnsi"/>
                <w:bCs/>
              </w:rPr>
              <w:t>2%</w:t>
            </w:r>
          </w:p>
        </w:tc>
        <w:tc>
          <w:tcPr>
            <w:tcW w:w="1440" w:type="dxa"/>
            <w:shd w:val="clear" w:color="auto" w:fill="auto"/>
            <w:noWrap/>
            <w:vAlign w:val="center"/>
            <w:hideMark/>
          </w:tcPr>
          <w:p w:rsidR="00DA4801" w:rsidRPr="00691A5D" w:rsidRDefault="00DA4801" w:rsidP="000B2D1F">
            <w:pPr>
              <w:jc w:val="right"/>
              <w:rPr>
                <w:rFonts w:cstheme="minorHAnsi"/>
                <w:bCs/>
              </w:rPr>
            </w:pPr>
            <w:r w:rsidRPr="00691A5D">
              <w:rPr>
                <w:rFonts w:cstheme="minorHAnsi"/>
                <w:bCs/>
              </w:rPr>
              <w:t>3%</w:t>
            </w:r>
          </w:p>
        </w:tc>
      </w:tr>
    </w:tbl>
    <w:p w:rsidR="00DA4801" w:rsidRPr="003C7E17" w:rsidRDefault="00DA4801" w:rsidP="000B2D1F">
      <w:pPr>
        <w:pStyle w:val="s6"/>
        <w:spacing w:before="0" w:beforeAutospacing="0" w:after="150" w:afterAutospacing="0"/>
        <w:rPr>
          <w:color w:val="000000" w:themeColor="text1"/>
          <w:sz w:val="20"/>
          <w:szCs w:val="20"/>
        </w:rPr>
      </w:pPr>
      <w:r w:rsidRPr="003C7E17">
        <w:rPr>
          <w:color w:val="000000" w:themeColor="text1"/>
          <w:sz w:val="20"/>
          <w:szCs w:val="20"/>
        </w:rPr>
        <w:t xml:space="preserve">Source: </w:t>
      </w:r>
      <w:hyperlink r:id="rId8" w:history="1">
        <w:r w:rsidRPr="003C7E17">
          <w:rPr>
            <w:rStyle w:val="Hyperlink"/>
            <w:color w:val="000000" w:themeColor="text1"/>
            <w:sz w:val="20"/>
            <w:szCs w:val="20"/>
          </w:rPr>
          <w:t>http://www.courts.ca.gov/documents/ElDoradoSupCourt_CWData_2012Q4.pdf</w:t>
        </w:r>
      </w:hyperlink>
    </w:p>
    <w:p w:rsidR="000B2D1F" w:rsidRPr="003C7E17" w:rsidRDefault="000B2D1F" w:rsidP="00FD1DAF">
      <w:pPr>
        <w:pStyle w:val="s6"/>
        <w:numPr>
          <w:ilvl w:val="0"/>
          <w:numId w:val="3"/>
        </w:numPr>
        <w:tabs>
          <w:tab w:val="clear" w:pos="720"/>
        </w:tabs>
        <w:spacing w:before="0" w:beforeAutospacing="0" w:after="120" w:afterAutospacing="0"/>
        <w:ind w:left="-180" w:hanging="540"/>
        <w:rPr>
          <w:rStyle w:val="s3"/>
          <w:rFonts w:cstheme="minorHAnsi"/>
          <w:color w:val="000000" w:themeColor="text1"/>
        </w:rPr>
      </w:pPr>
      <w:r w:rsidRPr="003C7E17">
        <w:rPr>
          <w:rStyle w:val="s3"/>
          <w:rFonts w:cstheme="minorHAnsi"/>
          <w:color w:val="000000" w:themeColor="text1"/>
        </w:rPr>
        <w:t xml:space="preserve">Is it permissible to use a telephone language line rather than a live interpreter? </w:t>
      </w:r>
    </w:p>
    <w:p w:rsidR="000B2D1F" w:rsidRPr="003C7E17" w:rsidRDefault="000B3D52" w:rsidP="000B3D52">
      <w:pPr>
        <w:autoSpaceDE w:val="0"/>
        <w:autoSpaceDN w:val="0"/>
        <w:adjustRightInd w:val="0"/>
        <w:spacing w:after="120"/>
        <w:ind w:left="720" w:hanging="900"/>
        <w:jc w:val="both"/>
        <w:rPr>
          <w:rFonts w:cstheme="minorHAnsi"/>
          <w:color w:val="000000" w:themeColor="text1"/>
          <w:sz w:val="24"/>
          <w:szCs w:val="24"/>
        </w:rPr>
      </w:pPr>
      <w:r w:rsidRPr="003C7E17">
        <w:rPr>
          <w:rFonts w:cstheme="minorHAnsi"/>
          <w:color w:val="000000" w:themeColor="text1"/>
          <w:sz w:val="24"/>
          <w:szCs w:val="24"/>
        </w:rPr>
        <w:t xml:space="preserve">Answer: </w:t>
      </w:r>
      <w:r w:rsidR="000B2D1F" w:rsidRPr="003C7E17">
        <w:rPr>
          <w:rFonts w:cstheme="minorHAnsi"/>
          <w:color w:val="000000" w:themeColor="text1"/>
          <w:sz w:val="24"/>
          <w:szCs w:val="24"/>
        </w:rPr>
        <w:t>If this question refer</w:t>
      </w:r>
      <w:r w:rsidR="00ED3577" w:rsidRPr="003C7E17">
        <w:rPr>
          <w:rFonts w:cstheme="minorHAnsi"/>
          <w:color w:val="000000" w:themeColor="text1"/>
          <w:sz w:val="24"/>
          <w:szCs w:val="24"/>
        </w:rPr>
        <w:t>s</w:t>
      </w:r>
      <w:r w:rsidR="000B2D1F" w:rsidRPr="003C7E17">
        <w:rPr>
          <w:rFonts w:cstheme="minorHAnsi"/>
          <w:color w:val="000000" w:themeColor="text1"/>
          <w:sz w:val="24"/>
          <w:szCs w:val="24"/>
        </w:rPr>
        <w:t xml:space="preserve"> to an attorney’s work with a client outside of the courtroom, there are no requirements regarding the type of language/interpreter services used.  If this question refer</w:t>
      </w:r>
      <w:r w:rsidR="00ED3577" w:rsidRPr="003C7E17">
        <w:rPr>
          <w:rFonts w:cstheme="minorHAnsi"/>
          <w:color w:val="000000" w:themeColor="text1"/>
          <w:sz w:val="24"/>
          <w:szCs w:val="24"/>
        </w:rPr>
        <w:t>s</w:t>
      </w:r>
      <w:r w:rsidR="000B2D1F" w:rsidRPr="003C7E17">
        <w:rPr>
          <w:rFonts w:cstheme="minorHAnsi"/>
          <w:color w:val="000000" w:themeColor="text1"/>
          <w:sz w:val="24"/>
          <w:szCs w:val="24"/>
        </w:rPr>
        <w:t xml:space="preserve"> to an attorney’s work in the courtroom, the court may provide a</w:t>
      </w:r>
      <w:r w:rsidR="00D0031F" w:rsidRPr="003C7E17">
        <w:rPr>
          <w:rFonts w:cstheme="minorHAnsi"/>
          <w:color w:val="000000" w:themeColor="text1"/>
          <w:sz w:val="24"/>
          <w:szCs w:val="24"/>
        </w:rPr>
        <w:t>n</w:t>
      </w:r>
      <w:r w:rsidR="000B2D1F" w:rsidRPr="003C7E17">
        <w:rPr>
          <w:rFonts w:cstheme="minorHAnsi"/>
          <w:color w:val="000000" w:themeColor="text1"/>
          <w:sz w:val="24"/>
          <w:szCs w:val="24"/>
        </w:rPr>
        <w:t xml:space="preserve"> interpreter, if available.</w:t>
      </w:r>
    </w:p>
    <w:p w:rsidR="000B2D1F" w:rsidRPr="003C7E17" w:rsidRDefault="000B2D1F" w:rsidP="00BA05DE">
      <w:pPr>
        <w:pStyle w:val="ListParagraph"/>
        <w:numPr>
          <w:ilvl w:val="0"/>
          <w:numId w:val="3"/>
        </w:numPr>
        <w:tabs>
          <w:tab w:val="clear" w:pos="720"/>
        </w:tabs>
        <w:autoSpaceDE w:val="0"/>
        <w:autoSpaceDN w:val="0"/>
        <w:adjustRightInd w:val="0"/>
        <w:spacing w:after="120"/>
        <w:ind w:left="-180" w:hanging="540"/>
        <w:jc w:val="both"/>
        <w:rPr>
          <w:rStyle w:val="s3"/>
          <w:rFonts w:ascii="Times New Roman" w:hAnsi="Times New Roman"/>
          <w:color w:val="000000" w:themeColor="text1"/>
          <w:sz w:val="24"/>
          <w:szCs w:val="24"/>
        </w:rPr>
      </w:pPr>
      <w:r w:rsidRPr="003C7E17">
        <w:rPr>
          <w:rStyle w:val="s3"/>
          <w:rFonts w:ascii="Times New Roman" w:hAnsi="Times New Roman"/>
          <w:color w:val="000000" w:themeColor="text1"/>
          <w:sz w:val="24"/>
          <w:szCs w:val="24"/>
        </w:rPr>
        <w:t>If a language line is permissible, what is the projected number of interviews that will need to be conducted using the service for each of the two contract years?</w:t>
      </w:r>
    </w:p>
    <w:p w:rsidR="00930AFE" w:rsidRPr="003C7E17" w:rsidRDefault="00930AFE" w:rsidP="00BA05DE">
      <w:pPr>
        <w:pStyle w:val="s6"/>
        <w:spacing w:before="0" w:beforeAutospacing="0" w:after="150" w:afterAutospacing="0"/>
        <w:ind w:left="720" w:hanging="900"/>
        <w:jc w:val="both"/>
        <w:rPr>
          <w:rFonts w:cstheme="minorHAnsi"/>
          <w:color w:val="000000" w:themeColor="text1"/>
        </w:rPr>
      </w:pPr>
      <w:r w:rsidRPr="003C7E17">
        <w:rPr>
          <w:rStyle w:val="s3"/>
          <w:color w:val="000000" w:themeColor="text1"/>
        </w:rPr>
        <w:t xml:space="preserve">Answer: </w:t>
      </w:r>
      <w:r w:rsidRPr="003C7E17">
        <w:rPr>
          <w:rFonts w:cstheme="minorHAnsi"/>
          <w:color w:val="000000" w:themeColor="text1"/>
        </w:rPr>
        <w:t>The projected number of interviews that will be conducted using a language line</w:t>
      </w:r>
      <w:r w:rsidR="00935E24" w:rsidRPr="003C7E17">
        <w:rPr>
          <w:rFonts w:cstheme="minorHAnsi"/>
          <w:color w:val="000000" w:themeColor="text1"/>
        </w:rPr>
        <w:t xml:space="preserve"> is indeterminable at this time</w:t>
      </w:r>
      <w:r w:rsidRPr="003C7E17">
        <w:rPr>
          <w:rFonts w:cstheme="minorHAnsi"/>
          <w:color w:val="000000" w:themeColor="text1"/>
        </w:rPr>
        <w:t xml:space="preserve">. </w:t>
      </w:r>
      <w:r w:rsidR="00D0031F" w:rsidRPr="003C7E17">
        <w:rPr>
          <w:rFonts w:cstheme="minorHAnsi"/>
          <w:color w:val="000000" w:themeColor="text1"/>
        </w:rPr>
        <w:t>Refer</w:t>
      </w:r>
      <w:r w:rsidRPr="003C7E17">
        <w:rPr>
          <w:rFonts w:cstheme="minorHAnsi"/>
          <w:color w:val="000000" w:themeColor="text1"/>
        </w:rPr>
        <w:t xml:space="preserve"> to number 11 </w:t>
      </w:r>
      <w:r w:rsidR="00F76B84" w:rsidRPr="003C7E17">
        <w:rPr>
          <w:rFonts w:cstheme="minorHAnsi"/>
          <w:color w:val="000000" w:themeColor="text1"/>
        </w:rPr>
        <w:t xml:space="preserve">regarding </w:t>
      </w:r>
      <w:r w:rsidRPr="003C7E17">
        <w:rPr>
          <w:rFonts w:cstheme="minorHAnsi"/>
          <w:color w:val="000000" w:themeColor="text1"/>
        </w:rPr>
        <w:t>demographic</w:t>
      </w:r>
      <w:r w:rsidR="00BE0ED3" w:rsidRPr="003C7E17">
        <w:rPr>
          <w:rFonts w:cstheme="minorHAnsi"/>
          <w:color w:val="000000" w:themeColor="text1"/>
        </w:rPr>
        <w:t>s</w:t>
      </w:r>
      <w:r w:rsidRPr="003C7E17">
        <w:rPr>
          <w:rFonts w:cstheme="minorHAnsi"/>
          <w:color w:val="000000" w:themeColor="text1"/>
        </w:rPr>
        <w:t xml:space="preserve"> </w:t>
      </w:r>
      <w:r w:rsidR="00F76B84" w:rsidRPr="003C7E17">
        <w:rPr>
          <w:rFonts w:cstheme="minorHAnsi"/>
          <w:color w:val="000000" w:themeColor="text1"/>
        </w:rPr>
        <w:t>pertaining</w:t>
      </w:r>
      <w:r w:rsidRPr="003C7E17">
        <w:rPr>
          <w:rFonts w:cstheme="minorHAnsi"/>
          <w:color w:val="000000" w:themeColor="text1"/>
        </w:rPr>
        <w:t xml:space="preserve"> to </w:t>
      </w:r>
      <w:r w:rsidR="009A69ED" w:rsidRPr="003C7E17">
        <w:rPr>
          <w:rFonts w:cstheme="minorHAnsi"/>
          <w:color w:val="000000" w:themeColor="text1"/>
        </w:rPr>
        <w:t xml:space="preserve"> </w:t>
      </w:r>
      <w:r w:rsidRPr="003C7E17">
        <w:rPr>
          <w:rFonts w:cstheme="minorHAnsi"/>
          <w:color w:val="000000" w:themeColor="text1"/>
        </w:rPr>
        <w:t xml:space="preserve">El Dorado County.  </w:t>
      </w:r>
    </w:p>
    <w:p w:rsidR="00772F9E" w:rsidRPr="003C7E17" w:rsidRDefault="00772F9E" w:rsidP="00BA05DE">
      <w:pPr>
        <w:pStyle w:val="ListParagraph"/>
        <w:numPr>
          <w:ilvl w:val="0"/>
          <w:numId w:val="3"/>
        </w:numPr>
        <w:tabs>
          <w:tab w:val="clear" w:pos="720"/>
          <w:tab w:val="num" w:pos="-180"/>
        </w:tabs>
        <w:autoSpaceDE w:val="0"/>
        <w:autoSpaceDN w:val="0"/>
        <w:adjustRightInd w:val="0"/>
        <w:spacing w:after="120"/>
        <w:ind w:left="-180" w:hanging="540"/>
        <w:jc w:val="both"/>
        <w:rPr>
          <w:rStyle w:val="s3"/>
          <w:rFonts w:ascii="Times New Roman" w:hAnsi="Times New Roman"/>
          <w:color w:val="000000" w:themeColor="text1"/>
          <w:sz w:val="24"/>
          <w:szCs w:val="24"/>
        </w:rPr>
      </w:pPr>
      <w:r w:rsidRPr="003C7E17">
        <w:rPr>
          <w:rStyle w:val="s3"/>
          <w:rFonts w:ascii="Times New Roman" w:hAnsi="Times New Roman"/>
          <w:color w:val="000000" w:themeColor="text1"/>
          <w:sz w:val="24"/>
          <w:szCs w:val="24"/>
        </w:rPr>
        <w:t>What was the total number of times an out</w:t>
      </w:r>
      <w:r w:rsidRPr="003C7E17">
        <w:rPr>
          <w:rStyle w:val="s3"/>
          <w:rFonts w:ascii="Cambria Math" w:hAnsi="Cambria Math"/>
          <w:color w:val="000000" w:themeColor="text1"/>
          <w:sz w:val="24"/>
          <w:szCs w:val="24"/>
        </w:rPr>
        <w:t>‐</w:t>
      </w:r>
      <w:r w:rsidRPr="003C7E17">
        <w:rPr>
          <w:rStyle w:val="s3"/>
          <w:rFonts w:ascii="Times New Roman" w:hAnsi="Times New Roman"/>
          <w:color w:val="000000" w:themeColor="text1"/>
          <w:sz w:val="24"/>
          <w:szCs w:val="24"/>
        </w:rPr>
        <w:t>of</w:t>
      </w:r>
      <w:r w:rsidRPr="003C7E17">
        <w:rPr>
          <w:rStyle w:val="s3"/>
          <w:rFonts w:ascii="Cambria Math" w:hAnsi="Cambria Math"/>
          <w:color w:val="000000" w:themeColor="text1"/>
          <w:sz w:val="24"/>
          <w:szCs w:val="24"/>
        </w:rPr>
        <w:t>‐</w:t>
      </w:r>
      <w:r w:rsidR="00C83078" w:rsidRPr="003C7E17">
        <w:rPr>
          <w:rStyle w:val="s3"/>
          <w:rFonts w:ascii="Times New Roman" w:hAnsi="Times New Roman"/>
          <w:color w:val="000000" w:themeColor="text1"/>
          <w:sz w:val="24"/>
          <w:szCs w:val="24"/>
        </w:rPr>
        <w:t xml:space="preserve">court interpreter </w:t>
      </w:r>
      <w:r w:rsidRPr="003C7E17">
        <w:rPr>
          <w:rStyle w:val="s3"/>
          <w:rFonts w:ascii="Times New Roman" w:hAnsi="Times New Roman"/>
          <w:color w:val="000000" w:themeColor="text1"/>
          <w:sz w:val="24"/>
          <w:szCs w:val="24"/>
        </w:rPr>
        <w:t>needed for each of the last three years</w:t>
      </w:r>
      <w:r w:rsidR="009032A9" w:rsidRPr="003C7E17">
        <w:rPr>
          <w:rStyle w:val="s3"/>
          <w:rFonts w:ascii="Times New Roman" w:hAnsi="Times New Roman"/>
          <w:color w:val="000000" w:themeColor="text1"/>
          <w:sz w:val="24"/>
          <w:szCs w:val="24"/>
        </w:rPr>
        <w:t>,</w:t>
      </w:r>
      <w:r w:rsidRPr="003C7E17">
        <w:rPr>
          <w:rStyle w:val="s3"/>
          <w:rFonts w:ascii="Times New Roman" w:hAnsi="Times New Roman"/>
          <w:color w:val="000000" w:themeColor="text1"/>
          <w:sz w:val="24"/>
          <w:szCs w:val="24"/>
        </w:rPr>
        <w:t xml:space="preserve"> through </w:t>
      </w:r>
      <w:r w:rsidR="009032A9" w:rsidRPr="003C7E17">
        <w:rPr>
          <w:rStyle w:val="s3"/>
          <w:rFonts w:ascii="Times New Roman" w:hAnsi="Times New Roman"/>
          <w:color w:val="000000" w:themeColor="text1"/>
          <w:sz w:val="24"/>
          <w:szCs w:val="24"/>
        </w:rPr>
        <w:t xml:space="preserve">September </w:t>
      </w:r>
      <w:r w:rsidRPr="003C7E17">
        <w:rPr>
          <w:rStyle w:val="s3"/>
          <w:rFonts w:ascii="Times New Roman" w:hAnsi="Times New Roman"/>
          <w:color w:val="000000" w:themeColor="text1"/>
          <w:sz w:val="24"/>
          <w:szCs w:val="24"/>
        </w:rPr>
        <w:t>30</w:t>
      </w:r>
      <w:r w:rsidR="009032A9" w:rsidRPr="003C7E17">
        <w:rPr>
          <w:rStyle w:val="s3"/>
          <w:rFonts w:ascii="Times New Roman" w:hAnsi="Times New Roman"/>
          <w:color w:val="000000" w:themeColor="text1"/>
          <w:sz w:val="24"/>
          <w:szCs w:val="24"/>
        </w:rPr>
        <w:t>, 20</w:t>
      </w:r>
      <w:r w:rsidRPr="003C7E17">
        <w:rPr>
          <w:rStyle w:val="s3"/>
          <w:rFonts w:ascii="Times New Roman" w:hAnsi="Times New Roman"/>
          <w:color w:val="000000" w:themeColor="text1"/>
          <w:sz w:val="24"/>
          <w:szCs w:val="24"/>
        </w:rPr>
        <w:t>13?  What is the projected number of times an out</w:t>
      </w:r>
      <w:r w:rsidRPr="003C7E17">
        <w:rPr>
          <w:rStyle w:val="s3"/>
          <w:rFonts w:ascii="Cambria Math" w:hAnsi="Cambria Math"/>
          <w:color w:val="000000" w:themeColor="text1"/>
          <w:sz w:val="24"/>
          <w:szCs w:val="24"/>
        </w:rPr>
        <w:t>‐</w:t>
      </w:r>
      <w:r w:rsidRPr="003C7E17">
        <w:rPr>
          <w:rStyle w:val="s3"/>
          <w:rFonts w:ascii="Times New Roman" w:hAnsi="Times New Roman"/>
          <w:color w:val="000000" w:themeColor="text1"/>
          <w:sz w:val="24"/>
          <w:szCs w:val="24"/>
        </w:rPr>
        <w:t>of</w:t>
      </w:r>
      <w:r w:rsidRPr="003C7E17">
        <w:rPr>
          <w:rStyle w:val="s3"/>
          <w:rFonts w:ascii="Cambria Math" w:hAnsi="Cambria Math"/>
          <w:color w:val="000000" w:themeColor="text1"/>
          <w:sz w:val="24"/>
          <w:szCs w:val="24"/>
        </w:rPr>
        <w:t>‐</w:t>
      </w:r>
      <w:r w:rsidRPr="003C7E17">
        <w:rPr>
          <w:rStyle w:val="s3"/>
          <w:rFonts w:ascii="Times New Roman" w:hAnsi="Times New Roman"/>
          <w:color w:val="000000" w:themeColor="text1"/>
          <w:sz w:val="24"/>
          <w:szCs w:val="24"/>
        </w:rPr>
        <w:t xml:space="preserve">court interpreter needed for each of the two contract years?  </w:t>
      </w:r>
    </w:p>
    <w:p w:rsidR="00772F9E" w:rsidRPr="003C7E17" w:rsidRDefault="00DC5676" w:rsidP="00BA05DE">
      <w:pPr>
        <w:autoSpaceDE w:val="0"/>
        <w:autoSpaceDN w:val="0"/>
        <w:adjustRightInd w:val="0"/>
        <w:spacing w:after="120"/>
        <w:ind w:left="720" w:hanging="900"/>
        <w:jc w:val="both"/>
        <w:rPr>
          <w:color w:val="000000" w:themeColor="text1"/>
          <w:sz w:val="24"/>
          <w:szCs w:val="24"/>
        </w:rPr>
      </w:pPr>
      <w:r w:rsidRPr="003C7E17">
        <w:rPr>
          <w:color w:val="000000" w:themeColor="text1"/>
          <w:sz w:val="24"/>
          <w:szCs w:val="24"/>
        </w:rPr>
        <w:t xml:space="preserve">Answer: </w:t>
      </w:r>
      <w:r w:rsidR="00772F9E" w:rsidRPr="003C7E17">
        <w:rPr>
          <w:color w:val="000000" w:themeColor="text1"/>
          <w:sz w:val="24"/>
          <w:szCs w:val="24"/>
        </w:rPr>
        <w:t>The AOC does not have information regarding the number of times an out-of-court interpreter needed in prior years, nor are projected numbers available.</w:t>
      </w:r>
    </w:p>
    <w:p w:rsidR="00772F9E" w:rsidRPr="003C7E17" w:rsidRDefault="00772F9E" w:rsidP="00BA05DE">
      <w:pPr>
        <w:pStyle w:val="s6"/>
        <w:numPr>
          <w:ilvl w:val="0"/>
          <w:numId w:val="3"/>
        </w:numPr>
        <w:tabs>
          <w:tab w:val="clear" w:pos="720"/>
        </w:tabs>
        <w:spacing w:before="0" w:beforeAutospacing="0" w:after="120" w:afterAutospacing="0"/>
        <w:ind w:left="-180" w:hanging="540"/>
        <w:jc w:val="both"/>
        <w:rPr>
          <w:rStyle w:val="s3"/>
          <w:color w:val="000000" w:themeColor="text1"/>
        </w:rPr>
      </w:pPr>
      <w:r w:rsidRPr="003C7E17">
        <w:rPr>
          <w:rStyle w:val="s3"/>
          <w:color w:val="000000" w:themeColor="text1"/>
        </w:rPr>
        <w:t>Can court interpreting services be used</w:t>
      </w:r>
      <w:r w:rsidR="00DC5676" w:rsidRPr="003C7E17">
        <w:rPr>
          <w:rStyle w:val="s3"/>
          <w:color w:val="000000" w:themeColor="text1"/>
        </w:rPr>
        <w:t xml:space="preserve"> </w:t>
      </w:r>
      <w:r w:rsidRPr="003C7E17">
        <w:rPr>
          <w:rStyle w:val="s3"/>
          <w:color w:val="000000" w:themeColor="text1"/>
        </w:rPr>
        <w:t xml:space="preserve">or can this be subcontracted? </w:t>
      </w:r>
    </w:p>
    <w:p w:rsidR="00DA4801" w:rsidRPr="003C7E17" w:rsidRDefault="00DC5676" w:rsidP="00BA05DE">
      <w:pPr>
        <w:pStyle w:val="ListParagraph"/>
        <w:autoSpaceDE w:val="0"/>
        <w:autoSpaceDN w:val="0"/>
        <w:adjustRightInd w:val="0"/>
        <w:spacing w:after="240"/>
        <w:ind w:hanging="900"/>
        <w:jc w:val="both"/>
        <w:rPr>
          <w:rFonts w:ascii="Times New Roman" w:hAnsi="Times New Roman"/>
          <w:color w:val="000000" w:themeColor="text1"/>
          <w:sz w:val="24"/>
          <w:szCs w:val="24"/>
        </w:rPr>
      </w:pPr>
      <w:r w:rsidRPr="003C7E17">
        <w:rPr>
          <w:rFonts w:ascii="Times New Roman" w:hAnsi="Times New Roman"/>
          <w:color w:val="000000" w:themeColor="text1"/>
          <w:sz w:val="24"/>
          <w:szCs w:val="24"/>
        </w:rPr>
        <w:t>Answer: Per</w:t>
      </w:r>
      <w:r w:rsidR="00772F9E" w:rsidRPr="003C7E17">
        <w:rPr>
          <w:rFonts w:ascii="Times New Roman" w:hAnsi="Times New Roman"/>
          <w:color w:val="000000" w:themeColor="text1"/>
          <w:sz w:val="24"/>
          <w:szCs w:val="24"/>
        </w:rPr>
        <w:t xml:space="preserve"> number </w:t>
      </w:r>
      <w:r w:rsidR="004C4797" w:rsidRPr="003C7E17">
        <w:rPr>
          <w:rFonts w:ascii="Times New Roman" w:hAnsi="Times New Roman"/>
          <w:color w:val="000000" w:themeColor="text1"/>
          <w:sz w:val="24"/>
          <w:szCs w:val="24"/>
        </w:rPr>
        <w:t>12</w:t>
      </w:r>
      <w:r w:rsidR="00772F9E" w:rsidRPr="003C7E17">
        <w:rPr>
          <w:rFonts w:ascii="Times New Roman" w:hAnsi="Times New Roman"/>
          <w:color w:val="000000" w:themeColor="text1"/>
          <w:sz w:val="24"/>
          <w:szCs w:val="24"/>
        </w:rPr>
        <w:t xml:space="preserve">, </w:t>
      </w:r>
      <w:r w:rsidR="004C4797" w:rsidRPr="003C7E17">
        <w:rPr>
          <w:rFonts w:ascii="Times New Roman" w:hAnsi="Times New Roman"/>
          <w:color w:val="000000" w:themeColor="text1"/>
          <w:sz w:val="24"/>
          <w:szCs w:val="24"/>
        </w:rPr>
        <w:t xml:space="preserve">above, </w:t>
      </w:r>
      <w:r w:rsidR="00AC266D" w:rsidRPr="003C7E17">
        <w:rPr>
          <w:rFonts w:ascii="Times New Roman" w:hAnsi="Times New Roman"/>
          <w:color w:val="000000" w:themeColor="text1"/>
          <w:sz w:val="24"/>
          <w:szCs w:val="24"/>
        </w:rPr>
        <w:t>court-interpreting</w:t>
      </w:r>
      <w:r w:rsidR="00772F9E" w:rsidRPr="003C7E17">
        <w:rPr>
          <w:rFonts w:ascii="Times New Roman" w:hAnsi="Times New Roman"/>
          <w:color w:val="000000" w:themeColor="text1"/>
          <w:sz w:val="24"/>
          <w:szCs w:val="24"/>
        </w:rPr>
        <w:t xml:space="preserve"> services may be used in the course of an attorney’s work in the courtroom.</w:t>
      </w:r>
    </w:p>
    <w:p w:rsidR="00B212C3" w:rsidRPr="003C7E17" w:rsidRDefault="00B212C3" w:rsidP="00430270">
      <w:pPr>
        <w:pStyle w:val="s6"/>
        <w:numPr>
          <w:ilvl w:val="0"/>
          <w:numId w:val="3"/>
        </w:numPr>
        <w:tabs>
          <w:tab w:val="clear" w:pos="720"/>
          <w:tab w:val="num" w:pos="-180"/>
        </w:tabs>
        <w:spacing w:before="0" w:beforeAutospacing="0" w:after="120" w:afterAutospacing="0"/>
        <w:ind w:left="-180" w:hanging="540"/>
        <w:jc w:val="both"/>
        <w:rPr>
          <w:rStyle w:val="s3"/>
          <w:color w:val="000000" w:themeColor="text1"/>
        </w:rPr>
      </w:pPr>
      <w:r w:rsidRPr="003C7E17">
        <w:rPr>
          <w:rStyle w:val="s3"/>
          <w:color w:val="000000" w:themeColor="text1"/>
        </w:rPr>
        <w:t>Does the court have an existing list of pre</w:t>
      </w:r>
      <w:r w:rsidR="00DF105A" w:rsidRPr="003C7E17">
        <w:rPr>
          <w:rStyle w:val="s3"/>
          <w:color w:val="000000" w:themeColor="text1"/>
        </w:rPr>
        <w:t>-</w:t>
      </w:r>
      <w:r w:rsidRPr="003C7E17">
        <w:rPr>
          <w:rStyle w:val="s3"/>
          <w:color w:val="000000" w:themeColor="text1"/>
        </w:rPr>
        <w:t xml:space="preserve">approved attorneys that can be used in conflict situations? </w:t>
      </w:r>
    </w:p>
    <w:p w:rsidR="00DA4801" w:rsidRPr="003C7E17" w:rsidRDefault="00BA05DE" w:rsidP="00BA05DE">
      <w:pPr>
        <w:autoSpaceDE w:val="0"/>
        <w:autoSpaceDN w:val="0"/>
        <w:adjustRightInd w:val="0"/>
        <w:spacing w:after="240"/>
        <w:ind w:left="-180" w:hanging="540"/>
        <w:jc w:val="both"/>
        <w:rPr>
          <w:color w:val="000000" w:themeColor="text1"/>
          <w:sz w:val="24"/>
          <w:szCs w:val="24"/>
        </w:rPr>
      </w:pPr>
      <w:r w:rsidRPr="003C7E17">
        <w:rPr>
          <w:color w:val="000000" w:themeColor="text1"/>
          <w:sz w:val="24"/>
          <w:szCs w:val="24"/>
        </w:rPr>
        <w:tab/>
      </w:r>
      <w:r w:rsidR="00D01718" w:rsidRPr="003C7E17">
        <w:rPr>
          <w:color w:val="000000" w:themeColor="text1"/>
          <w:sz w:val="24"/>
          <w:szCs w:val="24"/>
        </w:rPr>
        <w:t xml:space="preserve">Answer: </w:t>
      </w:r>
      <w:r w:rsidR="00B212C3" w:rsidRPr="003C7E17">
        <w:rPr>
          <w:color w:val="000000" w:themeColor="text1"/>
          <w:sz w:val="24"/>
          <w:szCs w:val="24"/>
        </w:rPr>
        <w:t>Yes, the court has a pre</w:t>
      </w:r>
      <w:r w:rsidR="00DF105A" w:rsidRPr="003C7E17">
        <w:rPr>
          <w:color w:val="000000" w:themeColor="text1"/>
          <w:sz w:val="24"/>
          <w:szCs w:val="24"/>
        </w:rPr>
        <w:t>-</w:t>
      </w:r>
      <w:r w:rsidR="00B212C3" w:rsidRPr="003C7E17">
        <w:rPr>
          <w:color w:val="000000" w:themeColor="text1"/>
          <w:sz w:val="24"/>
          <w:szCs w:val="24"/>
        </w:rPr>
        <w:t>approved list of attorneys that can be used in conflict situations.</w:t>
      </w:r>
    </w:p>
    <w:p w:rsidR="00B212C3" w:rsidRPr="003C7E17" w:rsidRDefault="00B212C3" w:rsidP="00BA05DE">
      <w:pPr>
        <w:pStyle w:val="s6"/>
        <w:numPr>
          <w:ilvl w:val="0"/>
          <w:numId w:val="3"/>
        </w:numPr>
        <w:tabs>
          <w:tab w:val="clear" w:pos="720"/>
          <w:tab w:val="num" w:pos="-180"/>
        </w:tabs>
        <w:spacing w:before="0" w:beforeAutospacing="0" w:after="120" w:afterAutospacing="0"/>
        <w:ind w:hanging="1440"/>
        <w:jc w:val="both"/>
        <w:rPr>
          <w:rStyle w:val="s3"/>
          <w:color w:val="000000" w:themeColor="text1"/>
        </w:rPr>
      </w:pPr>
      <w:r w:rsidRPr="003C7E17">
        <w:rPr>
          <w:rStyle w:val="s3"/>
          <w:color w:val="000000" w:themeColor="text1"/>
        </w:rPr>
        <w:t>Will internal evaluations be required of the selected contractor(s)?</w:t>
      </w:r>
    </w:p>
    <w:p w:rsidR="00B212C3" w:rsidRPr="003C7E17" w:rsidRDefault="00D01718" w:rsidP="00DF105A">
      <w:pPr>
        <w:autoSpaceDE w:val="0"/>
        <w:autoSpaceDN w:val="0"/>
        <w:adjustRightInd w:val="0"/>
        <w:spacing w:after="240"/>
        <w:ind w:left="720" w:hanging="900"/>
        <w:jc w:val="both"/>
        <w:rPr>
          <w:rStyle w:val="s3"/>
          <w:color w:val="000000" w:themeColor="text1"/>
          <w:sz w:val="24"/>
          <w:szCs w:val="24"/>
        </w:rPr>
      </w:pPr>
      <w:r w:rsidRPr="003C7E17">
        <w:rPr>
          <w:color w:val="000000" w:themeColor="text1"/>
          <w:sz w:val="24"/>
          <w:szCs w:val="24"/>
        </w:rPr>
        <w:t xml:space="preserve">Answer: </w:t>
      </w:r>
      <w:r w:rsidR="00B212C3" w:rsidRPr="003C7E17">
        <w:rPr>
          <w:rStyle w:val="s3"/>
          <w:color w:val="000000" w:themeColor="text1"/>
          <w:sz w:val="24"/>
          <w:szCs w:val="24"/>
        </w:rPr>
        <w:t xml:space="preserve">Evaluations within a contractor’s organization are not required.  </w:t>
      </w:r>
      <w:r w:rsidR="00684254" w:rsidRPr="003C7E17">
        <w:rPr>
          <w:rStyle w:val="s3"/>
          <w:color w:val="000000" w:themeColor="text1"/>
          <w:sz w:val="24"/>
          <w:szCs w:val="24"/>
        </w:rPr>
        <w:t>S</w:t>
      </w:r>
      <w:r w:rsidR="00B212C3" w:rsidRPr="003C7E17">
        <w:rPr>
          <w:rStyle w:val="s3"/>
          <w:color w:val="000000" w:themeColor="text1"/>
          <w:sz w:val="24"/>
          <w:szCs w:val="24"/>
        </w:rPr>
        <w:t xml:space="preserve">ee </w:t>
      </w:r>
      <w:r w:rsidR="00B212C3" w:rsidRPr="003C7E17">
        <w:rPr>
          <w:rStyle w:val="s3"/>
          <w:i/>
          <w:color w:val="000000" w:themeColor="text1"/>
          <w:sz w:val="24"/>
          <w:szCs w:val="24"/>
        </w:rPr>
        <w:t>Attachment 2, Exhibit A, section 4. AOC’s Quality Assurance Plan</w:t>
      </w:r>
      <w:r w:rsidR="00B212C3" w:rsidRPr="003C7E17">
        <w:rPr>
          <w:rStyle w:val="s3"/>
          <w:color w:val="000000" w:themeColor="text1"/>
          <w:sz w:val="24"/>
          <w:szCs w:val="24"/>
        </w:rPr>
        <w:t xml:space="preserve"> for more information regarding the AOC’s evaluation of contractors.</w:t>
      </w:r>
    </w:p>
    <w:p w:rsidR="00B212C3" w:rsidRPr="003C7E17" w:rsidRDefault="00B212C3" w:rsidP="00BA05DE">
      <w:pPr>
        <w:pStyle w:val="s6"/>
        <w:numPr>
          <w:ilvl w:val="0"/>
          <w:numId w:val="3"/>
        </w:numPr>
        <w:tabs>
          <w:tab w:val="clear" w:pos="720"/>
          <w:tab w:val="num" w:pos="-180"/>
        </w:tabs>
        <w:spacing w:before="0" w:beforeAutospacing="0" w:after="120" w:afterAutospacing="0"/>
        <w:ind w:left="-180" w:hanging="540"/>
        <w:jc w:val="both"/>
        <w:rPr>
          <w:rStyle w:val="s3"/>
          <w:color w:val="000000" w:themeColor="text1"/>
        </w:rPr>
      </w:pPr>
      <w:r w:rsidRPr="003C7E17">
        <w:rPr>
          <w:rStyle w:val="s3"/>
          <w:color w:val="000000" w:themeColor="text1"/>
        </w:rPr>
        <w:t xml:space="preserve">If </w:t>
      </w:r>
      <w:r w:rsidR="001C3E43">
        <w:rPr>
          <w:rStyle w:val="s3"/>
          <w:color w:val="000000" w:themeColor="text1"/>
        </w:rPr>
        <w:t xml:space="preserve">a </w:t>
      </w:r>
      <w:r w:rsidR="001C3E43" w:rsidRPr="003C7E17">
        <w:rPr>
          <w:rStyle w:val="s3"/>
          <w:color w:val="000000" w:themeColor="text1"/>
        </w:rPr>
        <w:t>contractor</w:t>
      </w:r>
      <w:r w:rsidRPr="003C7E17">
        <w:rPr>
          <w:rStyle w:val="s3"/>
          <w:color w:val="000000" w:themeColor="text1"/>
        </w:rPr>
        <w:t xml:space="preserve"> purchases equipment/office furniture over the course of the contract, will the AOC buy back the equipment/furniture upon completion of the contract?</w:t>
      </w:r>
    </w:p>
    <w:p w:rsidR="00B212C3" w:rsidRPr="003C7E17" w:rsidRDefault="00D01718" w:rsidP="00AC526F">
      <w:pPr>
        <w:autoSpaceDE w:val="0"/>
        <w:autoSpaceDN w:val="0"/>
        <w:adjustRightInd w:val="0"/>
        <w:spacing w:after="240"/>
        <w:ind w:left="810" w:hanging="990"/>
        <w:jc w:val="both"/>
        <w:rPr>
          <w:rStyle w:val="s3"/>
          <w:color w:val="000000" w:themeColor="text1"/>
          <w:sz w:val="24"/>
          <w:szCs w:val="24"/>
        </w:rPr>
      </w:pPr>
      <w:r w:rsidRPr="003C7E17">
        <w:rPr>
          <w:color w:val="000000" w:themeColor="text1"/>
          <w:sz w:val="24"/>
          <w:szCs w:val="24"/>
        </w:rPr>
        <w:lastRenderedPageBreak/>
        <w:t xml:space="preserve">Answer: </w:t>
      </w:r>
      <w:r w:rsidR="00AC526F" w:rsidRPr="003C7E17">
        <w:rPr>
          <w:color w:val="000000" w:themeColor="text1"/>
          <w:sz w:val="24"/>
          <w:szCs w:val="24"/>
        </w:rPr>
        <w:t>T</w:t>
      </w:r>
      <w:r w:rsidR="00B212C3" w:rsidRPr="003C7E17">
        <w:rPr>
          <w:rStyle w:val="s3"/>
          <w:color w:val="000000" w:themeColor="text1"/>
          <w:sz w:val="24"/>
          <w:szCs w:val="24"/>
        </w:rPr>
        <w:t xml:space="preserve">he AOC will not buy back </w:t>
      </w:r>
      <w:r w:rsidR="00AC526F" w:rsidRPr="003C7E17">
        <w:rPr>
          <w:rStyle w:val="s3"/>
          <w:color w:val="000000" w:themeColor="text1"/>
          <w:sz w:val="24"/>
          <w:szCs w:val="24"/>
        </w:rPr>
        <w:t xml:space="preserve">equipment/office furniture purchased by the </w:t>
      </w:r>
      <w:r w:rsidR="009F6038">
        <w:rPr>
          <w:rStyle w:val="s3"/>
          <w:color w:val="000000" w:themeColor="text1"/>
          <w:sz w:val="24"/>
          <w:szCs w:val="24"/>
        </w:rPr>
        <w:t xml:space="preserve">contractor </w:t>
      </w:r>
      <w:r w:rsidR="00B212C3" w:rsidRPr="003C7E17">
        <w:rPr>
          <w:rStyle w:val="s3"/>
          <w:color w:val="000000" w:themeColor="text1"/>
          <w:sz w:val="24"/>
          <w:szCs w:val="24"/>
        </w:rPr>
        <w:t>upon completion of the contract.</w:t>
      </w:r>
    </w:p>
    <w:p w:rsidR="00331F93" w:rsidRPr="003C7E17" w:rsidRDefault="00331F93" w:rsidP="00BA05DE">
      <w:pPr>
        <w:pStyle w:val="s6"/>
        <w:numPr>
          <w:ilvl w:val="0"/>
          <w:numId w:val="3"/>
        </w:numPr>
        <w:tabs>
          <w:tab w:val="clear" w:pos="720"/>
          <w:tab w:val="num" w:pos="0"/>
        </w:tabs>
        <w:spacing w:before="0" w:beforeAutospacing="0" w:after="120" w:afterAutospacing="0"/>
        <w:ind w:left="-180" w:hanging="540"/>
        <w:jc w:val="both"/>
        <w:rPr>
          <w:rStyle w:val="s3"/>
          <w:color w:val="000000" w:themeColor="text1"/>
        </w:rPr>
      </w:pPr>
      <w:r w:rsidRPr="003C7E17">
        <w:rPr>
          <w:rStyle w:val="s3"/>
          <w:color w:val="000000" w:themeColor="text1"/>
        </w:rPr>
        <w:t>Is there a plan for moving or transitioning existing cases over to the new contractor?</w:t>
      </w:r>
    </w:p>
    <w:p w:rsidR="00331F93" w:rsidRPr="003C7E17" w:rsidRDefault="00D01718" w:rsidP="00430270">
      <w:pPr>
        <w:pStyle w:val="s6"/>
        <w:spacing w:before="0" w:beforeAutospacing="0" w:after="120" w:afterAutospacing="0"/>
        <w:ind w:left="720" w:hanging="900"/>
        <w:jc w:val="both"/>
        <w:rPr>
          <w:color w:val="000000" w:themeColor="text1"/>
        </w:rPr>
      </w:pPr>
      <w:r w:rsidRPr="003C7E17">
        <w:rPr>
          <w:color w:val="000000" w:themeColor="text1"/>
        </w:rPr>
        <w:t xml:space="preserve">Answer: </w:t>
      </w:r>
      <w:r w:rsidR="00684254" w:rsidRPr="003C7E17">
        <w:rPr>
          <w:rStyle w:val="s3"/>
          <w:color w:val="000000" w:themeColor="text1"/>
        </w:rPr>
        <w:t>See</w:t>
      </w:r>
      <w:r w:rsidR="00331F93" w:rsidRPr="003C7E17">
        <w:rPr>
          <w:rStyle w:val="s3"/>
          <w:color w:val="000000" w:themeColor="text1"/>
        </w:rPr>
        <w:t xml:space="preserve"> </w:t>
      </w:r>
      <w:r w:rsidR="00684254" w:rsidRPr="003C7E17">
        <w:rPr>
          <w:rStyle w:val="s3"/>
          <w:i/>
          <w:color w:val="000000" w:themeColor="text1"/>
        </w:rPr>
        <w:t xml:space="preserve">RFP </w:t>
      </w:r>
      <w:r w:rsidR="00331F93" w:rsidRPr="003C7E17">
        <w:rPr>
          <w:rStyle w:val="s3"/>
          <w:i/>
          <w:color w:val="000000" w:themeColor="text1"/>
        </w:rPr>
        <w:t>section 7.1.3(b)</w:t>
      </w:r>
      <w:r w:rsidR="00331F93" w:rsidRPr="003C7E17">
        <w:rPr>
          <w:rStyle w:val="s3"/>
          <w:color w:val="000000" w:themeColor="text1"/>
        </w:rPr>
        <w:t xml:space="preserve"> on page 7 for more information regarding the requirements to describe a start up and transition plan.  In the event that a new contractor is selected, the AOC would work with the court, the current contractor, and the new contractor to ensure a smooth transition, including transfer of files.</w:t>
      </w:r>
      <w:r w:rsidR="00331F93" w:rsidRPr="003C7E17">
        <w:rPr>
          <w:color w:val="000000" w:themeColor="text1"/>
        </w:rPr>
        <w:t xml:space="preserve">  </w:t>
      </w:r>
    </w:p>
    <w:p w:rsidR="00331F93" w:rsidRPr="003C7E17" w:rsidRDefault="00D01718" w:rsidP="00F13957">
      <w:pPr>
        <w:autoSpaceDE w:val="0"/>
        <w:autoSpaceDN w:val="0"/>
        <w:adjustRightInd w:val="0"/>
        <w:spacing w:after="240"/>
        <w:ind w:left="720" w:hanging="900"/>
        <w:rPr>
          <w:rStyle w:val="s3"/>
          <w:color w:val="000000" w:themeColor="text1"/>
          <w:sz w:val="24"/>
          <w:szCs w:val="24"/>
        </w:rPr>
      </w:pPr>
      <w:r w:rsidRPr="003C7E17">
        <w:rPr>
          <w:rStyle w:val="s3"/>
          <w:color w:val="000000" w:themeColor="text1"/>
          <w:sz w:val="24"/>
          <w:szCs w:val="24"/>
        </w:rPr>
        <w:tab/>
      </w:r>
      <w:r w:rsidR="00331F93" w:rsidRPr="003C7E17">
        <w:rPr>
          <w:rStyle w:val="s3"/>
          <w:color w:val="000000" w:themeColor="text1"/>
          <w:sz w:val="24"/>
          <w:szCs w:val="24"/>
        </w:rPr>
        <w:t>Sample plans and proposals are deemed Judicial Administrative Records and access to th</w:t>
      </w:r>
      <w:r w:rsidR="006E2592" w:rsidRPr="003C7E17">
        <w:rPr>
          <w:rStyle w:val="s3"/>
          <w:color w:val="000000" w:themeColor="text1"/>
          <w:sz w:val="24"/>
          <w:szCs w:val="24"/>
        </w:rPr>
        <w:t>e</w:t>
      </w:r>
      <w:r w:rsidR="00331F93" w:rsidRPr="003C7E17">
        <w:rPr>
          <w:rStyle w:val="s3"/>
          <w:color w:val="000000" w:themeColor="text1"/>
          <w:sz w:val="24"/>
          <w:szCs w:val="24"/>
        </w:rPr>
        <w:t xml:space="preserve">se records </w:t>
      </w:r>
      <w:r w:rsidR="006E2592" w:rsidRPr="003C7E17">
        <w:rPr>
          <w:rStyle w:val="s3"/>
          <w:color w:val="000000" w:themeColor="text1"/>
          <w:sz w:val="24"/>
          <w:szCs w:val="24"/>
        </w:rPr>
        <w:t>is</w:t>
      </w:r>
      <w:r w:rsidR="00331F93" w:rsidRPr="003C7E17">
        <w:rPr>
          <w:rStyle w:val="s3"/>
          <w:color w:val="000000" w:themeColor="text1"/>
          <w:sz w:val="24"/>
          <w:szCs w:val="24"/>
        </w:rPr>
        <w:t xml:space="preserve"> governed by rule 10.500 of the California Rules of Court.  For more information on rule 10.500 of the California Rules of Court, and obtaining copies of Judicial Administrative Records, </w:t>
      </w:r>
      <w:r w:rsidR="00F13957" w:rsidRPr="003C7E17">
        <w:rPr>
          <w:rStyle w:val="s3"/>
          <w:color w:val="000000" w:themeColor="text1"/>
          <w:sz w:val="24"/>
          <w:szCs w:val="24"/>
        </w:rPr>
        <w:t xml:space="preserve">use the following </w:t>
      </w:r>
      <w:r w:rsidR="00331F93" w:rsidRPr="003C7E17">
        <w:rPr>
          <w:rStyle w:val="s3"/>
          <w:color w:val="000000" w:themeColor="text1"/>
          <w:sz w:val="24"/>
          <w:szCs w:val="24"/>
        </w:rPr>
        <w:t xml:space="preserve">link:  </w:t>
      </w:r>
      <w:hyperlink r:id="rId9" w:history="1">
        <w:r w:rsidR="00331F93" w:rsidRPr="003C7E17">
          <w:rPr>
            <w:rStyle w:val="Hyperlink"/>
            <w:color w:val="000000" w:themeColor="text1"/>
            <w:sz w:val="24"/>
            <w:szCs w:val="24"/>
          </w:rPr>
          <w:t>http://www.courts.ca.gov/publicrecords.htm</w:t>
        </w:r>
      </w:hyperlink>
      <w:r w:rsidR="00331F93" w:rsidRPr="003C7E17">
        <w:rPr>
          <w:rStyle w:val="s3"/>
          <w:color w:val="000000" w:themeColor="text1"/>
          <w:sz w:val="24"/>
          <w:szCs w:val="24"/>
        </w:rPr>
        <w:t>.</w:t>
      </w:r>
    </w:p>
    <w:p w:rsidR="00331F93" w:rsidRPr="003C7E17" w:rsidRDefault="00331F93" w:rsidP="00BA05DE">
      <w:pPr>
        <w:pStyle w:val="s6"/>
        <w:numPr>
          <w:ilvl w:val="0"/>
          <w:numId w:val="3"/>
        </w:numPr>
        <w:tabs>
          <w:tab w:val="clear" w:pos="720"/>
          <w:tab w:val="num" w:pos="0"/>
        </w:tabs>
        <w:spacing w:before="0" w:beforeAutospacing="0" w:after="120" w:afterAutospacing="0"/>
        <w:ind w:left="-180" w:hanging="540"/>
        <w:jc w:val="both"/>
        <w:rPr>
          <w:rStyle w:val="s3"/>
          <w:color w:val="000000" w:themeColor="text1"/>
        </w:rPr>
      </w:pPr>
      <w:r w:rsidRPr="003C7E17">
        <w:rPr>
          <w:rStyle w:val="s3"/>
          <w:color w:val="000000" w:themeColor="text1"/>
        </w:rPr>
        <w:t xml:space="preserve">What is the maximum/minimum amount of funds required under </w:t>
      </w:r>
      <w:r w:rsidRPr="003C7E17">
        <w:rPr>
          <w:rStyle w:val="s3"/>
          <w:i/>
          <w:color w:val="000000" w:themeColor="text1"/>
        </w:rPr>
        <w:t>RFP section 7.1.7(g)</w:t>
      </w:r>
      <w:r w:rsidRPr="003C7E17">
        <w:rPr>
          <w:rStyle w:val="s3"/>
          <w:color w:val="000000" w:themeColor="text1"/>
        </w:rPr>
        <w:t xml:space="preserve"> on page 10 regarding the requirement to support the operation for 75 days prior to the first payment?</w:t>
      </w:r>
    </w:p>
    <w:p w:rsidR="00331F93" w:rsidRPr="003C7E17" w:rsidRDefault="00D01718" w:rsidP="00430270">
      <w:pPr>
        <w:pStyle w:val="s6"/>
        <w:spacing w:before="0" w:beforeAutospacing="0" w:after="120" w:afterAutospacing="0"/>
        <w:ind w:left="720" w:hanging="900"/>
        <w:jc w:val="both"/>
        <w:rPr>
          <w:rStyle w:val="s3"/>
          <w:color w:val="000000" w:themeColor="text1"/>
        </w:rPr>
      </w:pPr>
      <w:r w:rsidRPr="003C7E17">
        <w:rPr>
          <w:color w:val="000000" w:themeColor="text1"/>
        </w:rPr>
        <w:t xml:space="preserve">Answer: </w:t>
      </w:r>
      <w:r w:rsidR="00331F93" w:rsidRPr="003C7E17">
        <w:rPr>
          <w:rStyle w:val="s3"/>
          <w:color w:val="000000" w:themeColor="text1"/>
        </w:rPr>
        <w:t xml:space="preserve">It is the proposer’s responsibility to identify the amount of funds they will need to support their operation for </w:t>
      </w:r>
      <w:r w:rsidR="004C3954" w:rsidRPr="003C7E17">
        <w:rPr>
          <w:rStyle w:val="s3"/>
          <w:color w:val="000000" w:themeColor="text1"/>
        </w:rPr>
        <w:t>seventy-five (</w:t>
      </w:r>
      <w:r w:rsidR="00331F93" w:rsidRPr="003C7E17">
        <w:rPr>
          <w:rStyle w:val="s3"/>
          <w:color w:val="000000" w:themeColor="text1"/>
        </w:rPr>
        <w:t>75</w:t>
      </w:r>
      <w:r w:rsidR="004C3954" w:rsidRPr="003C7E17">
        <w:rPr>
          <w:rStyle w:val="s3"/>
          <w:color w:val="000000" w:themeColor="text1"/>
        </w:rPr>
        <w:t>)</w:t>
      </w:r>
      <w:r w:rsidR="00331F93" w:rsidRPr="003C7E17">
        <w:rPr>
          <w:rStyle w:val="s3"/>
          <w:color w:val="000000" w:themeColor="text1"/>
        </w:rPr>
        <w:t xml:space="preserve"> days prior to the first payment.</w:t>
      </w:r>
    </w:p>
    <w:p w:rsidR="00331F93" w:rsidRPr="003C7E17" w:rsidRDefault="00331F93" w:rsidP="00BA05DE">
      <w:pPr>
        <w:pStyle w:val="ListParagraph"/>
        <w:numPr>
          <w:ilvl w:val="0"/>
          <w:numId w:val="3"/>
        </w:numPr>
        <w:tabs>
          <w:tab w:val="clear" w:pos="720"/>
          <w:tab w:val="num" w:pos="0"/>
        </w:tabs>
        <w:spacing w:after="120"/>
        <w:ind w:left="-180" w:hanging="540"/>
        <w:jc w:val="both"/>
        <w:rPr>
          <w:rFonts w:ascii="Times New Roman" w:hAnsi="Times New Roman"/>
          <w:color w:val="000000" w:themeColor="text1"/>
          <w:sz w:val="24"/>
          <w:szCs w:val="24"/>
        </w:rPr>
      </w:pPr>
      <w:r w:rsidRPr="003C7E17">
        <w:rPr>
          <w:rFonts w:ascii="Times New Roman" w:hAnsi="Times New Roman"/>
          <w:color w:val="000000" w:themeColor="text1"/>
          <w:sz w:val="24"/>
          <w:szCs w:val="24"/>
        </w:rPr>
        <w:t xml:space="preserve">Regarding proof of financial solvency in </w:t>
      </w:r>
      <w:r w:rsidRPr="003C7E17">
        <w:rPr>
          <w:rFonts w:ascii="Times New Roman" w:hAnsi="Times New Roman"/>
          <w:i/>
          <w:color w:val="000000" w:themeColor="text1"/>
          <w:sz w:val="24"/>
          <w:szCs w:val="24"/>
        </w:rPr>
        <w:t>RFP section 7.1.7(f)</w:t>
      </w:r>
      <w:r w:rsidRPr="003C7E17">
        <w:rPr>
          <w:rFonts w:ascii="Times New Roman" w:hAnsi="Times New Roman"/>
          <w:color w:val="000000" w:themeColor="text1"/>
          <w:sz w:val="24"/>
          <w:szCs w:val="24"/>
        </w:rPr>
        <w:t xml:space="preserve">, if the proposer is a sole practitioner with a new practice (i.e., no business income statements to speak of, yet) would a personal income statement be required or </w:t>
      </w:r>
      <w:r w:rsidR="00AE1101" w:rsidRPr="003C7E17">
        <w:rPr>
          <w:rFonts w:ascii="Times New Roman" w:hAnsi="Times New Roman"/>
          <w:color w:val="000000" w:themeColor="text1"/>
          <w:sz w:val="24"/>
          <w:szCs w:val="24"/>
        </w:rPr>
        <w:t>w</w:t>
      </w:r>
      <w:r w:rsidRPr="003C7E17">
        <w:rPr>
          <w:rFonts w:ascii="Times New Roman" w:hAnsi="Times New Roman"/>
          <w:color w:val="000000" w:themeColor="text1"/>
          <w:sz w:val="24"/>
          <w:szCs w:val="24"/>
        </w:rPr>
        <w:t>ould this requirement be waived in this instance?</w:t>
      </w:r>
    </w:p>
    <w:p w:rsidR="00331F93" w:rsidRPr="003C7E17" w:rsidRDefault="00E250CB" w:rsidP="00430270">
      <w:pPr>
        <w:pStyle w:val="ListParagraph"/>
        <w:spacing w:after="120"/>
        <w:ind w:hanging="900"/>
        <w:jc w:val="both"/>
        <w:rPr>
          <w:rFonts w:ascii="Times New Roman" w:hAnsi="Times New Roman"/>
          <w:color w:val="000000" w:themeColor="text1"/>
          <w:sz w:val="24"/>
          <w:szCs w:val="24"/>
        </w:rPr>
      </w:pPr>
      <w:r w:rsidRPr="003C7E17">
        <w:rPr>
          <w:rFonts w:ascii="Times New Roman" w:hAnsi="Times New Roman"/>
          <w:color w:val="000000" w:themeColor="text1"/>
          <w:sz w:val="24"/>
          <w:szCs w:val="24"/>
        </w:rPr>
        <w:t xml:space="preserve">Answer: </w:t>
      </w:r>
      <w:r w:rsidR="00331F93" w:rsidRPr="003C7E17">
        <w:rPr>
          <w:rFonts w:ascii="Times New Roman" w:hAnsi="Times New Roman"/>
          <w:color w:val="000000" w:themeColor="text1"/>
          <w:sz w:val="24"/>
          <w:szCs w:val="24"/>
        </w:rPr>
        <w:t>All proposers, regardless of whether or not they have a new practice, should submit proof of financial solvency or stability.  Any lack of information may be described in a narrative for consideration by the Evaluation Team.</w:t>
      </w:r>
    </w:p>
    <w:p w:rsidR="006866CE" w:rsidRPr="003C7E17" w:rsidRDefault="006866CE" w:rsidP="00BA05DE">
      <w:pPr>
        <w:pStyle w:val="ListParagraph"/>
        <w:numPr>
          <w:ilvl w:val="0"/>
          <w:numId w:val="3"/>
        </w:numPr>
        <w:tabs>
          <w:tab w:val="clear" w:pos="720"/>
          <w:tab w:val="num" w:pos="0"/>
        </w:tabs>
        <w:spacing w:after="120"/>
        <w:ind w:left="-180" w:hanging="540"/>
        <w:jc w:val="both"/>
        <w:rPr>
          <w:rFonts w:ascii="Times New Roman" w:hAnsi="Times New Roman"/>
          <w:color w:val="000000" w:themeColor="text1"/>
          <w:sz w:val="24"/>
          <w:szCs w:val="24"/>
        </w:rPr>
      </w:pPr>
      <w:r w:rsidRPr="003C7E17">
        <w:rPr>
          <w:rFonts w:ascii="Times New Roman" w:hAnsi="Times New Roman"/>
          <w:color w:val="000000" w:themeColor="text1"/>
          <w:sz w:val="24"/>
          <w:szCs w:val="24"/>
        </w:rPr>
        <w:t>Is there a form or format for the “balance sheet” requested by the RFP?</w:t>
      </w:r>
    </w:p>
    <w:p w:rsidR="006866CE" w:rsidRPr="003C7E17" w:rsidRDefault="00BA05DE" w:rsidP="00E4689F">
      <w:pPr>
        <w:tabs>
          <w:tab w:val="left" w:pos="1800"/>
        </w:tabs>
        <w:autoSpaceDE w:val="0"/>
        <w:autoSpaceDN w:val="0"/>
        <w:adjustRightInd w:val="0"/>
        <w:spacing w:after="120"/>
        <w:ind w:left="720" w:hanging="900"/>
        <w:jc w:val="both"/>
        <w:rPr>
          <w:color w:val="000000" w:themeColor="text1"/>
          <w:sz w:val="24"/>
          <w:szCs w:val="24"/>
        </w:rPr>
      </w:pPr>
      <w:r w:rsidRPr="003C7E17">
        <w:rPr>
          <w:color w:val="000000" w:themeColor="text1"/>
          <w:sz w:val="24"/>
          <w:szCs w:val="24"/>
        </w:rPr>
        <w:t xml:space="preserve">Answer: </w:t>
      </w:r>
      <w:r w:rsidR="00481B04" w:rsidRPr="003C7E17">
        <w:rPr>
          <w:color w:val="000000" w:themeColor="text1"/>
          <w:sz w:val="24"/>
          <w:szCs w:val="24"/>
        </w:rPr>
        <w:t>Assuming</w:t>
      </w:r>
      <w:r w:rsidR="006866CE" w:rsidRPr="003C7E17">
        <w:rPr>
          <w:color w:val="000000" w:themeColor="text1"/>
          <w:sz w:val="24"/>
          <w:szCs w:val="24"/>
        </w:rPr>
        <w:t xml:space="preserve"> this question refer</w:t>
      </w:r>
      <w:r w:rsidR="00481B04" w:rsidRPr="003C7E17">
        <w:rPr>
          <w:color w:val="000000" w:themeColor="text1"/>
          <w:sz w:val="24"/>
          <w:szCs w:val="24"/>
        </w:rPr>
        <w:t>s</w:t>
      </w:r>
      <w:r w:rsidR="006866CE" w:rsidRPr="003C7E17">
        <w:rPr>
          <w:color w:val="000000" w:themeColor="text1"/>
          <w:sz w:val="24"/>
          <w:szCs w:val="24"/>
        </w:rPr>
        <w:t xml:space="preserve"> to the requirement in </w:t>
      </w:r>
      <w:r w:rsidR="006866CE" w:rsidRPr="003C7E17">
        <w:rPr>
          <w:i/>
          <w:color w:val="000000" w:themeColor="text1"/>
          <w:sz w:val="24"/>
          <w:szCs w:val="24"/>
        </w:rPr>
        <w:t>RFP section 7.1.7(g)</w:t>
      </w:r>
      <w:r w:rsidR="006866CE" w:rsidRPr="003C7E17">
        <w:rPr>
          <w:color w:val="000000" w:themeColor="text1"/>
          <w:sz w:val="24"/>
          <w:szCs w:val="24"/>
        </w:rPr>
        <w:t>, quoted below, the AOC does not have or require a specific form or format for the balance sheet.</w:t>
      </w:r>
    </w:p>
    <w:p w:rsidR="006866CE" w:rsidRPr="003C7E17" w:rsidRDefault="00860932" w:rsidP="00E4689F">
      <w:pPr>
        <w:spacing w:after="120"/>
        <w:ind w:left="720" w:hanging="720"/>
        <w:jc w:val="both"/>
        <w:rPr>
          <w:color w:val="000000" w:themeColor="text1"/>
          <w:sz w:val="24"/>
          <w:szCs w:val="24"/>
        </w:rPr>
      </w:pPr>
      <w:r w:rsidRPr="003C7E17">
        <w:rPr>
          <w:color w:val="000000" w:themeColor="text1"/>
          <w:sz w:val="24"/>
          <w:szCs w:val="24"/>
        </w:rPr>
        <w:tab/>
      </w:r>
      <w:r w:rsidR="00F3699A" w:rsidRPr="003C7E17">
        <w:rPr>
          <w:i/>
          <w:color w:val="000000" w:themeColor="text1"/>
          <w:sz w:val="24"/>
          <w:szCs w:val="24"/>
        </w:rPr>
        <w:t xml:space="preserve">RFP section </w:t>
      </w:r>
      <w:r w:rsidR="006866CE" w:rsidRPr="003C7E17">
        <w:rPr>
          <w:i/>
          <w:color w:val="000000" w:themeColor="text1"/>
          <w:sz w:val="24"/>
          <w:szCs w:val="24"/>
        </w:rPr>
        <w:t>7.1.7.</w:t>
      </w:r>
      <w:r w:rsidR="004C4797" w:rsidRPr="003C7E17">
        <w:rPr>
          <w:i/>
          <w:color w:val="000000" w:themeColor="text1"/>
          <w:sz w:val="24"/>
          <w:szCs w:val="24"/>
        </w:rPr>
        <w:t>(</w:t>
      </w:r>
      <w:r w:rsidR="006866CE" w:rsidRPr="003C7E17">
        <w:rPr>
          <w:i/>
          <w:color w:val="000000" w:themeColor="text1"/>
          <w:sz w:val="24"/>
          <w:szCs w:val="24"/>
        </w:rPr>
        <w:t>g</w:t>
      </w:r>
      <w:r w:rsidR="004C4797" w:rsidRPr="003C7E17">
        <w:rPr>
          <w:i/>
          <w:color w:val="000000" w:themeColor="text1"/>
          <w:sz w:val="24"/>
          <w:szCs w:val="24"/>
        </w:rPr>
        <w:t>)</w:t>
      </w:r>
      <w:r w:rsidR="006866CE" w:rsidRPr="003C7E17">
        <w:rPr>
          <w:i/>
          <w:color w:val="000000" w:themeColor="text1"/>
          <w:sz w:val="24"/>
          <w:szCs w:val="24"/>
        </w:rPr>
        <w:t xml:space="preserve"> </w:t>
      </w:r>
      <w:r w:rsidRPr="003C7E17">
        <w:rPr>
          <w:color w:val="000000" w:themeColor="text1"/>
          <w:sz w:val="24"/>
          <w:szCs w:val="24"/>
        </w:rPr>
        <w:t>reads</w:t>
      </w:r>
      <w:r w:rsidR="006866CE" w:rsidRPr="003C7E17">
        <w:rPr>
          <w:color w:val="000000" w:themeColor="text1"/>
          <w:sz w:val="24"/>
          <w:szCs w:val="24"/>
        </w:rPr>
        <w:t xml:space="preserve"> “Proof of financial solvency or stability (e.g., balance sheets and income statements).”</w:t>
      </w:r>
    </w:p>
    <w:p w:rsidR="006866CE" w:rsidRPr="003C7E17" w:rsidRDefault="00422867" w:rsidP="00E4689F">
      <w:pPr>
        <w:pStyle w:val="s6"/>
        <w:spacing w:before="0" w:beforeAutospacing="0" w:after="120" w:afterAutospacing="0"/>
        <w:ind w:left="-180" w:hanging="540"/>
        <w:jc w:val="both"/>
        <w:rPr>
          <w:rStyle w:val="s3"/>
          <w:color w:val="000000" w:themeColor="text1"/>
        </w:rPr>
      </w:pPr>
      <w:r w:rsidRPr="003C7E17">
        <w:rPr>
          <w:rStyle w:val="s3"/>
          <w:color w:val="000000" w:themeColor="text1"/>
        </w:rPr>
        <w:t>2</w:t>
      </w:r>
      <w:r w:rsidR="00781EE7" w:rsidRPr="003C7E17">
        <w:rPr>
          <w:rStyle w:val="s3"/>
          <w:color w:val="000000" w:themeColor="text1"/>
        </w:rPr>
        <w:t>3</w:t>
      </w:r>
      <w:r w:rsidRPr="003C7E17">
        <w:rPr>
          <w:rStyle w:val="s3"/>
          <w:color w:val="000000" w:themeColor="text1"/>
        </w:rPr>
        <w:t xml:space="preserve">. </w:t>
      </w:r>
      <w:r w:rsidR="00BA05DE" w:rsidRPr="003C7E17">
        <w:rPr>
          <w:rStyle w:val="s3"/>
          <w:color w:val="000000" w:themeColor="text1"/>
        </w:rPr>
        <w:tab/>
      </w:r>
      <w:r w:rsidR="006866CE" w:rsidRPr="003C7E17">
        <w:rPr>
          <w:rStyle w:val="s3"/>
          <w:color w:val="000000" w:themeColor="text1"/>
        </w:rPr>
        <w:t xml:space="preserve">Does the JCATS system have </w:t>
      </w:r>
      <w:r w:rsidR="00127A58" w:rsidRPr="003C7E17">
        <w:rPr>
          <w:rStyle w:val="s3"/>
          <w:color w:val="000000" w:themeColor="text1"/>
        </w:rPr>
        <w:t>specifi</w:t>
      </w:r>
      <w:r w:rsidR="006866CE" w:rsidRPr="003C7E17">
        <w:rPr>
          <w:rStyle w:val="s3"/>
          <w:color w:val="000000" w:themeColor="text1"/>
        </w:rPr>
        <w:t>c operating system requirements? Is it compatible with Macintosh systems?</w:t>
      </w:r>
    </w:p>
    <w:p w:rsidR="006866CE" w:rsidRPr="003C7E17" w:rsidRDefault="00BA05DE" w:rsidP="00E4689F">
      <w:pPr>
        <w:spacing w:after="120"/>
        <w:ind w:left="720" w:hanging="900"/>
        <w:jc w:val="both"/>
        <w:rPr>
          <w:color w:val="000000" w:themeColor="text1"/>
          <w:sz w:val="24"/>
          <w:szCs w:val="24"/>
        </w:rPr>
      </w:pPr>
      <w:r w:rsidRPr="003C7E17">
        <w:rPr>
          <w:color w:val="000000" w:themeColor="text1"/>
          <w:sz w:val="24"/>
          <w:szCs w:val="24"/>
        </w:rPr>
        <w:t xml:space="preserve">Answer: </w:t>
      </w:r>
      <w:r w:rsidR="006866CE" w:rsidRPr="003C7E17">
        <w:rPr>
          <w:rStyle w:val="s3"/>
          <w:color w:val="000000" w:themeColor="text1"/>
          <w:sz w:val="24"/>
          <w:szCs w:val="24"/>
        </w:rPr>
        <w:t xml:space="preserve">The JCATS case management system mentioned in </w:t>
      </w:r>
      <w:r w:rsidR="006866CE" w:rsidRPr="003C7E17">
        <w:rPr>
          <w:rStyle w:val="s3"/>
          <w:i/>
          <w:color w:val="000000" w:themeColor="text1"/>
          <w:sz w:val="24"/>
          <w:szCs w:val="24"/>
        </w:rPr>
        <w:t>RFP section 7.1.3(g)</w:t>
      </w:r>
      <w:r w:rsidR="006866CE" w:rsidRPr="003C7E17">
        <w:rPr>
          <w:rStyle w:val="s3"/>
          <w:color w:val="000000" w:themeColor="text1"/>
          <w:sz w:val="24"/>
          <w:szCs w:val="24"/>
        </w:rPr>
        <w:t xml:space="preserve"> requires </w:t>
      </w:r>
      <w:r w:rsidR="006866CE" w:rsidRPr="003C7E17">
        <w:rPr>
          <w:color w:val="000000" w:themeColor="text1"/>
          <w:sz w:val="24"/>
          <w:szCs w:val="24"/>
        </w:rPr>
        <w:t>internet service and is fully compatible with Mac and Windows laptop and desktop computers.  For Windows, Internet Explorer is required.</w:t>
      </w:r>
    </w:p>
    <w:p w:rsidR="00781EE7" w:rsidRPr="003C7E17" w:rsidRDefault="00781EE7" w:rsidP="00E4689F">
      <w:pPr>
        <w:pStyle w:val="ListParagraph"/>
        <w:numPr>
          <w:ilvl w:val="0"/>
          <w:numId w:val="11"/>
        </w:numPr>
        <w:shd w:val="clear" w:color="auto" w:fill="FFFFFF"/>
        <w:tabs>
          <w:tab w:val="clear" w:pos="720"/>
          <w:tab w:val="num" w:pos="-180"/>
        </w:tabs>
        <w:spacing w:after="120"/>
        <w:ind w:left="-180" w:hanging="540"/>
        <w:jc w:val="both"/>
        <w:rPr>
          <w:rFonts w:ascii="Times New Roman" w:hAnsi="Times New Roman"/>
          <w:color w:val="000000" w:themeColor="text1"/>
          <w:sz w:val="24"/>
          <w:szCs w:val="24"/>
        </w:rPr>
      </w:pPr>
      <w:r w:rsidRPr="003C7E17">
        <w:rPr>
          <w:rFonts w:ascii="Times New Roman" w:hAnsi="Times New Roman"/>
          <w:color w:val="000000" w:themeColor="text1"/>
          <w:sz w:val="24"/>
          <w:szCs w:val="24"/>
        </w:rPr>
        <w:t xml:space="preserve">As a sole practitioner working </w:t>
      </w:r>
      <w:r w:rsidR="00481B04" w:rsidRPr="003C7E17">
        <w:rPr>
          <w:rFonts w:ascii="Times New Roman" w:hAnsi="Times New Roman"/>
          <w:color w:val="000000" w:themeColor="text1"/>
          <w:sz w:val="24"/>
          <w:szCs w:val="24"/>
        </w:rPr>
        <w:t>from</w:t>
      </w:r>
      <w:r w:rsidRPr="003C7E17">
        <w:rPr>
          <w:rFonts w:ascii="Times New Roman" w:hAnsi="Times New Roman"/>
          <w:color w:val="000000" w:themeColor="text1"/>
          <w:sz w:val="24"/>
          <w:szCs w:val="24"/>
        </w:rPr>
        <w:t xml:space="preserve"> </w:t>
      </w:r>
      <w:r w:rsidR="00481B04" w:rsidRPr="003C7E17">
        <w:rPr>
          <w:rFonts w:ascii="Times New Roman" w:hAnsi="Times New Roman"/>
          <w:color w:val="000000" w:themeColor="text1"/>
          <w:sz w:val="24"/>
          <w:szCs w:val="24"/>
        </w:rPr>
        <w:t xml:space="preserve">home </w:t>
      </w:r>
      <w:r w:rsidRPr="003C7E17">
        <w:rPr>
          <w:rFonts w:ascii="Times New Roman" w:hAnsi="Times New Roman"/>
          <w:color w:val="000000" w:themeColor="text1"/>
          <w:sz w:val="24"/>
          <w:szCs w:val="24"/>
        </w:rPr>
        <w:t>with</w:t>
      </w:r>
      <w:r w:rsidR="00127A58" w:rsidRPr="003C7E17">
        <w:rPr>
          <w:rFonts w:ascii="Times New Roman" w:hAnsi="Times New Roman"/>
          <w:color w:val="000000" w:themeColor="text1"/>
          <w:sz w:val="24"/>
          <w:szCs w:val="24"/>
        </w:rPr>
        <w:t>out</w:t>
      </w:r>
      <w:r w:rsidRPr="003C7E17">
        <w:rPr>
          <w:rFonts w:ascii="Times New Roman" w:hAnsi="Times New Roman"/>
          <w:color w:val="000000" w:themeColor="text1"/>
          <w:sz w:val="24"/>
          <w:szCs w:val="24"/>
        </w:rPr>
        <w:t xml:space="preserve"> employees, how do I complete the budget template? </w:t>
      </w:r>
    </w:p>
    <w:p w:rsidR="00331F93" w:rsidRPr="003C7E17" w:rsidRDefault="00F13957" w:rsidP="008D3BDC">
      <w:pPr>
        <w:autoSpaceDE w:val="0"/>
        <w:autoSpaceDN w:val="0"/>
        <w:adjustRightInd w:val="0"/>
        <w:spacing w:after="240"/>
        <w:ind w:left="720" w:hanging="900"/>
        <w:jc w:val="both"/>
        <w:rPr>
          <w:color w:val="000000" w:themeColor="text1"/>
          <w:sz w:val="24"/>
          <w:szCs w:val="24"/>
        </w:rPr>
      </w:pPr>
      <w:r w:rsidRPr="003C7E17">
        <w:rPr>
          <w:color w:val="000000" w:themeColor="text1"/>
          <w:sz w:val="24"/>
          <w:szCs w:val="24"/>
        </w:rPr>
        <w:t>Answer:</w:t>
      </w:r>
      <w:r w:rsidRPr="003C7E17">
        <w:rPr>
          <w:rStyle w:val="s3"/>
          <w:color w:val="000000" w:themeColor="text1"/>
          <w:sz w:val="24"/>
          <w:szCs w:val="24"/>
        </w:rPr>
        <w:tab/>
      </w:r>
      <w:r w:rsidR="00781EE7" w:rsidRPr="003C7E17">
        <w:rPr>
          <w:rStyle w:val="s3"/>
          <w:color w:val="000000" w:themeColor="text1"/>
          <w:sz w:val="24"/>
          <w:szCs w:val="24"/>
        </w:rPr>
        <w:t xml:space="preserve">The AOC is unable to advise proposers on the content of their proposals.  </w:t>
      </w:r>
      <w:r w:rsidR="00781EE7" w:rsidRPr="003C7E17">
        <w:rPr>
          <w:color w:val="000000" w:themeColor="text1"/>
          <w:sz w:val="24"/>
          <w:szCs w:val="24"/>
        </w:rPr>
        <w:t>All proposers, regardless of their structure (i.e., sol</w:t>
      </w:r>
      <w:r w:rsidR="00394EC2" w:rsidRPr="003C7E17">
        <w:rPr>
          <w:color w:val="000000" w:themeColor="text1"/>
          <w:sz w:val="24"/>
          <w:szCs w:val="24"/>
        </w:rPr>
        <w:t>e</w:t>
      </w:r>
      <w:r w:rsidR="00781EE7" w:rsidRPr="003C7E17">
        <w:rPr>
          <w:color w:val="000000" w:themeColor="text1"/>
          <w:sz w:val="24"/>
          <w:szCs w:val="24"/>
        </w:rPr>
        <w:t xml:space="preserve"> practitioner, partnership, etc.) should complete </w:t>
      </w:r>
      <w:r w:rsidR="00781EE7" w:rsidRPr="003C7E17">
        <w:rPr>
          <w:i/>
          <w:color w:val="000000" w:themeColor="text1"/>
          <w:sz w:val="24"/>
          <w:szCs w:val="24"/>
        </w:rPr>
        <w:lastRenderedPageBreak/>
        <w:t>Appendix B – Budget Template</w:t>
      </w:r>
      <w:r w:rsidR="00781EE7" w:rsidRPr="003C7E17">
        <w:rPr>
          <w:color w:val="000000" w:themeColor="text1"/>
          <w:sz w:val="24"/>
          <w:szCs w:val="24"/>
        </w:rPr>
        <w:t>, to reflect how their proposed total funding will be allocated.  Proposers only need to complete the sections that are relevant to their proposal.</w:t>
      </w:r>
    </w:p>
    <w:p w:rsidR="00781EE7" w:rsidRPr="003C7E17" w:rsidRDefault="00781EE7" w:rsidP="00706F67">
      <w:pPr>
        <w:pStyle w:val="ListParagraph"/>
        <w:numPr>
          <w:ilvl w:val="0"/>
          <w:numId w:val="11"/>
        </w:numPr>
        <w:tabs>
          <w:tab w:val="clear" w:pos="720"/>
          <w:tab w:val="num" w:pos="-180"/>
        </w:tabs>
        <w:spacing w:after="120"/>
        <w:ind w:left="-180" w:hanging="540"/>
        <w:jc w:val="both"/>
        <w:rPr>
          <w:rFonts w:ascii="Times New Roman" w:hAnsi="Times New Roman"/>
          <w:color w:val="000000" w:themeColor="text1"/>
          <w:sz w:val="24"/>
          <w:szCs w:val="24"/>
        </w:rPr>
      </w:pPr>
      <w:r w:rsidRPr="003C7E17">
        <w:rPr>
          <w:rFonts w:ascii="Times New Roman" w:hAnsi="Times New Roman"/>
          <w:color w:val="000000" w:themeColor="text1"/>
          <w:sz w:val="24"/>
          <w:szCs w:val="24"/>
        </w:rPr>
        <w:t>What are the rates paid for contracts awarded through this RFP?  Or is this something that should be included in our proposal?</w:t>
      </w:r>
    </w:p>
    <w:p w:rsidR="00781EE7" w:rsidRPr="003C7E17" w:rsidRDefault="00F13957" w:rsidP="00394EC2">
      <w:pPr>
        <w:spacing w:after="120"/>
        <w:ind w:left="810" w:hanging="990"/>
        <w:jc w:val="both"/>
        <w:rPr>
          <w:color w:val="000000" w:themeColor="text1"/>
          <w:sz w:val="24"/>
          <w:szCs w:val="24"/>
        </w:rPr>
      </w:pPr>
      <w:r w:rsidRPr="003C7E17">
        <w:rPr>
          <w:color w:val="000000" w:themeColor="text1"/>
          <w:sz w:val="24"/>
          <w:szCs w:val="24"/>
        </w:rPr>
        <w:t xml:space="preserve">Answer: </w:t>
      </w:r>
      <w:r w:rsidR="00394EC2" w:rsidRPr="003C7E17">
        <w:rPr>
          <w:color w:val="000000" w:themeColor="text1"/>
          <w:sz w:val="24"/>
          <w:szCs w:val="24"/>
        </w:rPr>
        <w:t>S</w:t>
      </w:r>
      <w:r w:rsidR="00781EE7" w:rsidRPr="003C7E17">
        <w:rPr>
          <w:color w:val="000000" w:themeColor="text1"/>
          <w:sz w:val="24"/>
          <w:szCs w:val="24"/>
        </w:rPr>
        <w:t xml:space="preserve">ee </w:t>
      </w:r>
      <w:r w:rsidR="00781EE7" w:rsidRPr="003C7E17">
        <w:rPr>
          <w:i/>
          <w:color w:val="000000" w:themeColor="text1"/>
          <w:sz w:val="24"/>
          <w:szCs w:val="24"/>
        </w:rPr>
        <w:t>RFP section 7.2 and 7.2.3</w:t>
      </w:r>
      <w:r w:rsidR="00781EE7" w:rsidRPr="003C7E17">
        <w:rPr>
          <w:color w:val="000000" w:themeColor="text1"/>
          <w:sz w:val="24"/>
          <w:szCs w:val="24"/>
        </w:rPr>
        <w:t xml:space="preserve"> for more information regarding cost proposal requirements and available funding.  It is a proposer’s responsibility to determine their budget based on the information provided in the RFP and attachments.</w:t>
      </w:r>
    </w:p>
    <w:p w:rsidR="00781EE7" w:rsidRPr="003C7E17" w:rsidRDefault="00781EE7" w:rsidP="002216D6">
      <w:pPr>
        <w:pStyle w:val="ListParagraph"/>
        <w:numPr>
          <w:ilvl w:val="0"/>
          <w:numId w:val="11"/>
        </w:numPr>
        <w:tabs>
          <w:tab w:val="clear" w:pos="720"/>
          <w:tab w:val="num" w:pos="-180"/>
        </w:tabs>
        <w:spacing w:after="120"/>
        <w:ind w:left="-180" w:hanging="540"/>
        <w:jc w:val="both"/>
        <w:rPr>
          <w:rFonts w:ascii="Times New Roman" w:hAnsi="Times New Roman"/>
          <w:color w:val="000000" w:themeColor="text1"/>
          <w:sz w:val="24"/>
          <w:szCs w:val="24"/>
        </w:rPr>
      </w:pPr>
      <w:r w:rsidRPr="003C7E17">
        <w:rPr>
          <w:rFonts w:ascii="Times New Roman" w:hAnsi="Times New Roman"/>
          <w:color w:val="000000" w:themeColor="text1"/>
          <w:sz w:val="24"/>
          <w:szCs w:val="24"/>
        </w:rPr>
        <w:t>The maximum total annual funding for proposals is $710,000 - $775,000 (</w:t>
      </w:r>
      <w:r w:rsidRPr="003C7E17">
        <w:rPr>
          <w:rFonts w:ascii="Times New Roman" w:hAnsi="Times New Roman"/>
          <w:i/>
          <w:color w:val="000000" w:themeColor="text1"/>
          <w:sz w:val="24"/>
          <w:szCs w:val="24"/>
        </w:rPr>
        <w:t>RFP section 7.2.3</w:t>
      </w:r>
      <w:r w:rsidRPr="003C7E17">
        <w:rPr>
          <w:rFonts w:ascii="Times New Roman" w:hAnsi="Times New Roman"/>
          <w:color w:val="000000" w:themeColor="text1"/>
          <w:sz w:val="24"/>
          <w:szCs w:val="24"/>
        </w:rPr>
        <w:t xml:space="preserve"> on page 11). Does this projection cover staffing in both the Placerville (Department 8) and South Lake Tahoe (Department 12) courts on an annual basis?  </w:t>
      </w:r>
    </w:p>
    <w:p w:rsidR="00781EE7" w:rsidRPr="003C7E17" w:rsidRDefault="008D3BDC" w:rsidP="002216D6">
      <w:pPr>
        <w:autoSpaceDE w:val="0"/>
        <w:autoSpaceDN w:val="0"/>
        <w:adjustRightInd w:val="0"/>
        <w:spacing w:after="120"/>
        <w:ind w:left="720" w:right="-20" w:hanging="900"/>
        <w:jc w:val="both"/>
        <w:rPr>
          <w:rStyle w:val="s3"/>
          <w:color w:val="000000" w:themeColor="text1"/>
          <w:sz w:val="24"/>
          <w:szCs w:val="24"/>
        </w:rPr>
      </w:pPr>
      <w:r w:rsidRPr="003C7E17">
        <w:rPr>
          <w:color w:val="000000" w:themeColor="text1"/>
          <w:sz w:val="24"/>
          <w:szCs w:val="24"/>
        </w:rPr>
        <w:t>Answer:</w:t>
      </w:r>
      <w:r w:rsidR="0027342E" w:rsidRPr="003C7E17">
        <w:rPr>
          <w:color w:val="000000" w:themeColor="text1"/>
          <w:sz w:val="24"/>
          <w:szCs w:val="24"/>
        </w:rPr>
        <w:t xml:space="preserve"> </w:t>
      </w:r>
      <w:r w:rsidR="002216D6" w:rsidRPr="003C7E17">
        <w:rPr>
          <w:color w:val="000000" w:themeColor="text1"/>
          <w:sz w:val="24"/>
          <w:szCs w:val="24"/>
        </w:rPr>
        <w:t xml:space="preserve">The </w:t>
      </w:r>
      <w:r w:rsidR="00781EE7" w:rsidRPr="003C7E17">
        <w:rPr>
          <w:color w:val="000000" w:themeColor="text1"/>
          <w:position w:val="1"/>
          <w:sz w:val="24"/>
          <w:szCs w:val="24"/>
        </w:rPr>
        <w:t>maximum funding available for all contracts serving both the Placerville (Department 8) and South Lake Tahoe (Department 12) courts each year</w:t>
      </w:r>
      <w:r w:rsidR="008A5080" w:rsidRPr="003C7E17">
        <w:rPr>
          <w:color w:val="000000" w:themeColor="text1"/>
          <w:position w:val="1"/>
          <w:sz w:val="24"/>
          <w:szCs w:val="24"/>
        </w:rPr>
        <w:t xml:space="preserve"> is $775,000</w:t>
      </w:r>
      <w:r w:rsidR="00781EE7" w:rsidRPr="003C7E17">
        <w:rPr>
          <w:color w:val="000000" w:themeColor="text1"/>
          <w:position w:val="1"/>
          <w:sz w:val="24"/>
          <w:szCs w:val="24"/>
        </w:rPr>
        <w:t xml:space="preserve">.  </w:t>
      </w:r>
      <w:r w:rsidR="00907C7A" w:rsidRPr="003C7E17">
        <w:rPr>
          <w:color w:val="000000" w:themeColor="text1"/>
          <w:position w:val="1"/>
          <w:sz w:val="24"/>
          <w:szCs w:val="24"/>
        </w:rPr>
        <w:t>See</w:t>
      </w:r>
      <w:r w:rsidR="00781EE7" w:rsidRPr="003C7E17">
        <w:rPr>
          <w:color w:val="000000" w:themeColor="text1"/>
          <w:position w:val="1"/>
          <w:sz w:val="24"/>
          <w:szCs w:val="24"/>
        </w:rPr>
        <w:t xml:space="preserve"> </w:t>
      </w:r>
      <w:r w:rsidR="00781EE7" w:rsidRPr="003C7E17">
        <w:rPr>
          <w:i/>
          <w:color w:val="000000" w:themeColor="text1"/>
          <w:position w:val="1"/>
          <w:sz w:val="24"/>
          <w:szCs w:val="24"/>
        </w:rPr>
        <w:t>RFP section 7.2.3</w:t>
      </w:r>
      <w:r w:rsidR="00781EE7" w:rsidRPr="003C7E17">
        <w:rPr>
          <w:color w:val="000000" w:themeColor="text1"/>
          <w:position w:val="1"/>
          <w:sz w:val="24"/>
          <w:szCs w:val="24"/>
        </w:rPr>
        <w:t xml:space="preserve"> and </w:t>
      </w:r>
      <w:r w:rsidR="00781EE7" w:rsidRPr="003C7E17">
        <w:rPr>
          <w:i/>
          <w:color w:val="000000" w:themeColor="text1"/>
          <w:position w:val="1"/>
          <w:sz w:val="24"/>
          <w:szCs w:val="24"/>
        </w:rPr>
        <w:t>7.2.4</w:t>
      </w:r>
      <w:r w:rsidR="00781EE7" w:rsidRPr="003C7E17">
        <w:rPr>
          <w:color w:val="000000" w:themeColor="text1"/>
          <w:position w:val="1"/>
          <w:sz w:val="24"/>
          <w:szCs w:val="24"/>
        </w:rPr>
        <w:t xml:space="preserve"> (page 11) for more information.</w:t>
      </w:r>
    </w:p>
    <w:p w:rsidR="00781EE7" w:rsidRPr="003C7E17" w:rsidRDefault="00781EE7" w:rsidP="00F3699A">
      <w:pPr>
        <w:pStyle w:val="ListParagraph"/>
        <w:numPr>
          <w:ilvl w:val="0"/>
          <w:numId w:val="11"/>
        </w:numPr>
        <w:tabs>
          <w:tab w:val="clear" w:pos="720"/>
          <w:tab w:val="num" w:pos="-180"/>
        </w:tabs>
        <w:spacing w:after="240"/>
        <w:ind w:left="-173" w:hanging="547"/>
        <w:rPr>
          <w:rFonts w:ascii="Times New Roman" w:hAnsi="Times New Roman"/>
          <w:color w:val="000000" w:themeColor="text1"/>
          <w:sz w:val="24"/>
          <w:szCs w:val="24"/>
        </w:rPr>
      </w:pPr>
      <w:r w:rsidRPr="003C7E17">
        <w:rPr>
          <w:rFonts w:ascii="Times New Roman" w:hAnsi="Times New Roman"/>
          <w:color w:val="000000" w:themeColor="text1"/>
          <w:sz w:val="24"/>
          <w:szCs w:val="24"/>
        </w:rPr>
        <w:t xml:space="preserve">Is this projection based on the Applied Compensation Model set forth on page 10 of the </w:t>
      </w:r>
      <w:r w:rsidR="00CF1D3C" w:rsidRPr="003C7E17">
        <w:rPr>
          <w:rFonts w:ascii="Times New Roman" w:hAnsi="Times New Roman"/>
          <w:color w:val="000000" w:themeColor="text1"/>
          <w:sz w:val="24"/>
          <w:szCs w:val="24"/>
        </w:rPr>
        <w:t xml:space="preserve">     </w:t>
      </w:r>
      <w:r w:rsidRPr="003C7E17">
        <w:rPr>
          <w:rFonts w:ascii="Times New Roman" w:hAnsi="Times New Roman"/>
          <w:color w:val="000000" w:themeColor="text1"/>
          <w:sz w:val="24"/>
          <w:szCs w:val="24"/>
        </w:rPr>
        <w:t>October 26, 2007 report to the Judicial Council</w:t>
      </w:r>
      <w:r w:rsidR="003213F7" w:rsidRPr="003C7E17">
        <w:rPr>
          <w:rFonts w:ascii="Times New Roman" w:hAnsi="Times New Roman"/>
          <w:color w:val="000000" w:themeColor="text1"/>
          <w:sz w:val="24"/>
          <w:szCs w:val="24"/>
        </w:rPr>
        <w:t xml:space="preserve">: </w:t>
      </w:r>
      <w:r w:rsidR="00473C1E" w:rsidRPr="003C7E17">
        <w:rPr>
          <w:rFonts w:ascii="Times New Roman" w:hAnsi="Times New Roman"/>
          <w:color w:val="000000" w:themeColor="text1"/>
          <w:sz w:val="24"/>
          <w:szCs w:val="24"/>
        </w:rPr>
        <w:t xml:space="preserve"> </w:t>
      </w:r>
      <w:r w:rsidR="002216D6" w:rsidRPr="003C7E17">
        <w:rPr>
          <w:rFonts w:ascii="Times New Roman" w:hAnsi="Times New Roman"/>
          <w:color w:val="000000" w:themeColor="text1"/>
          <w:sz w:val="24"/>
          <w:szCs w:val="24"/>
        </w:rPr>
        <w:t xml:space="preserve"> </w:t>
      </w:r>
      <w:hyperlink r:id="rId10" w:history="1">
        <w:r w:rsidRPr="003C7E17">
          <w:rPr>
            <w:rStyle w:val="Hyperlink"/>
            <w:rFonts w:ascii="Times New Roman" w:hAnsi="Times New Roman"/>
            <w:color w:val="000000" w:themeColor="text1"/>
            <w:sz w:val="24"/>
            <w:szCs w:val="24"/>
          </w:rPr>
          <w:t>http://www.courts.ca.gov/documents/102607itemF.pdf</w:t>
        </w:r>
      </w:hyperlink>
      <w:r w:rsidRPr="003C7E17">
        <w:rPr>
          <w:rFonts w:ascii="Times New Roman" w:hAnsi="Times New Roman"/>
          <w:color w:val="000000" w:themeColor="text1"/>
          <w:sz w:val="24"/>
          <w:szCs w:val="24"/>
        </w:rPr>
        <w:t>?</w:t>
      </w:r>
    </w:p>
    <w:p w:rsidR="00781EE7" w:rsidRPr="003C7E17" w:rsidRDefault="008D3BDC" w:rsidP="00DE24D0">
      <w:pPr>
        <w:pStyle w:val="s6"/>
        <w:spacing w:before="0" w:beforeAutospacing="0" w:after="120" w:afterAutospacing="0"/>
        <w:ind w:left="720" w:hanging="900"/>
        <w:jc w:val="both"/>
        <w:rPr>
          <w:rStyle w:val="s3"/>
          <w:color w:val="000000" w:themeColor="text1"/>
        </w:rPr>
      </w:pPr>
      <w:r w:rsidRPr="003C7E17">
        <w:rPr>
          <w:color w:val="000000" w:themeColor="text1"/>
        </w:rPr>
        <w:t xml:space="preserve">Answer: </w:t>
      </w:r>
      <w:r w:rsidR="00CF1D3C" w:rsidRPr="003C7E17">
        <w:rPr>
          <w:color w:val="000000" w:themeColor="text1"/>
        </w:rPr>
        <w:tab/>
      </w:r>
      <w:r w:rsidR="00781EE7" w:rsidRPr="003C7E17">
        <w:rPr>
          <w:rStyle w:val="s3"/>
          <w:color w:val="000000" w:themeColor="text1"/>
        </w:rPr>
        <w:t xml:space="preserve">The maximum total annual funding of </w:t>
      </w:r>
      <w:r w:rsidR="00781EE7" w:rsidRPr="003C7E17">
        <w:rPr>
          <w:color w:val="000000" w:themeColor="text1"/>
        </w:rPr>
        <w:t xml:space="preserve">$710,000 - $775,000 is based on calculations of the Applied Compensation Model using Region 2 salaries, and also takes in to consideration available funding, funding of current contracts, and how current funding compares to the Caseload Funding Model. </w:t>
      </w:r>
    </w:p>
    <w:p w:rsidR="00781EE7" w:rsidRPr="003C7E17" w:rsidRDefault="00781EE7" w:rsidP="00DE24D0">
      <w:pPr>
        <w:pStyle w:val="s6"/>
        <w:numPr>
          <w:ilvl w:val="0"/>
          <w:numId w:val="11"/>
        </w:numPr>
        <w:tabs>
          <w:tab w:val="clear" w:pos="720"/>
          <w:tab w:val="num" w:pos="-180"/>
        </w:tabs>
        <w:spacing w:before="0" w:beforeAutospacing="0" w:after="120" w:afterAutospacing="0"/>
        <w:ind w:hanging="1440"/>
        <w:jc w:val="both"/>
        <w:rPr>
          <w:rStyle w:val="s3"/>
          <w:color w:val="000000" w:themeColor="text1"/>
        </w:rPr>
      </w:pPr>
      <w:r w:rsidRPr="003C7E17">
        <w:rPr>
          <w:rStyle w:val="s3"/>
          <w:color w:val="000000" w:themeColor="text1"/>
        </w:rPr>
        <w:t>Is $100,031 the maximum annual attorney salary allowed for 2014, 2015 and 2016?</w:t>
      </w:r>
    </w:p>
    <w:p w:rsidR="00781EE7" w:rsidRPr="003C7E17" w:rsidRDefault="008D3BDC" w:rsidP="00DE24D0">
      <w:pPr>
        <w:pStyle w:val="s6"/>
        <w:spacing w:before="0" w:beforeAutospacing="0" w:after="120" w:afterAutospacing="0"/>
        <w:ind w:left="720" w:hanging="900"/>
        <w:jc w:val="both"/>
        <w:rPr>
          <w:rStyle w:val="s3"/>
          <w:color w:val="000000" w:themeColor="text1"/>
        </w:rPr>
      </w:pPr>
      <w:r w:rsidRPr="003C7E17">
        <w:rPr>
          <w:color w:val="000000" w:themeColor="text1"/>
        </w:rPr>
        <w:t xml:space="preserve">Answer: </w:t>
      </w:r>
      <w:r w:rsidR="00781EE7" w:rsidRPr="003C7E17">
        <w:rPr>
          <w:rStyle w:val="s3"/>
          <w:color w:val="000000" w:themeColor="text1"/>
        </w:rPr>
        <w:t xml:space="preserve">The attorney’s full time equivalent (FTE) salary range listed in </w:t>
      </w:r>
      <w:r w:rsidR="00781EE7" w:rsidRPr="003C7E17">
        <w:rPr>
          <w:rStyle w:val="s3"/>
          <w:i/>
          <w:color w:val="000000" w:themeColor="text1"/>
        </w:rPr>
        <w:t>section 7.2.3</w:t>
      </w:r>
      <w:r w:rsidR="00781EE7" w:rsidRPr="003C7E17">
        <w:rPr>
          <w:rStyle w:val="s3"/>
          <w:color w:val="000000" w:themeColor="text1"/>
        </w:rPr>
        <w:t xml:space="preserve"> of the RFP is based on the salary rates that have been adopted by the Judicial Council in accordance with the Caseload Funding Model (CFM).  </w:t>
      </w:r>
      <w:r w:rsidR="00473C1E" w:rsidRPr="003C7E17">
        <w:rPr>
          <w:rStyle w:val="s3"/>
          <w:color w:val="000000" w:themeColor="text1"/>
        </w:rPr>
        <w:t>T</w:t>
      </w:r>
      <w:r w:rsidR="00781EE7" w:rsidRPr="003C7E17">
        <w:rPr>
          <w:rStyle w:val="s3"/>
          <w:color w:val="000000" w:themeColor="text1"/>
        </w:rPr>
        <w:t>he standard maximum rate at which a full-time Supervising Attorney should be paid according to the CFM</w:t>
      </w:r>
      <w:r w:rsidR="00473C1E" w:rsidRPr="003C7E17">
        <w:rPr>
          <w:rStyle w:val="s3"/>
          <w:color w:val="000000" w:themeColor="text1"/>
        </w:rPr>
        <w:t xml:space="preserve"> is $100,031</w:t>
      </w:r>
      <w:r w:rsidR="00781EE7" w:rsidRPr="003C7E17">
        <w:rPr>
          <w:rStyle w:val="s3"/>
          <w:color w:val="000000" w:themeColor="text1"/>
        </w:rPr>
        <w:t xml:space="preserve">; </w:t>
      </w:r>
      <w:r w:rsidR="008A5080" w:rsidRPr="003C7E17">
        <w:rPr>
          <w:rStyle w:val="s3"/>
          <w:color w:val="000000" w:themeColor="text1"/>
        </w:rPr>
        <w:t>h</w:t>
      </w:r>
      <w:r w:rsidR="00781EE7" w:rsidRPr="003C7E17">
        <w:rPr>
          <w:rStyle w:val="s3"/>
          <w:color w:val="000000" w:themeColor="text1"/>
        </w:rPr>
        <w:t xml:space="preserve">owever, it is up to the proposer to determine the actual rate applied.  Proposers should consider the requirements in </w:t>
      </w:r>
      <w:r w:rsidR="00781EE7" w:rsidRPr="003C7E17">
        <w:rPr>
          <w:rStyle w:val="s3"/>
          <w:i/>
          <w:color w:val="000000" w:themeColor="text1"/>
        </w:rPr>
        <w:t>RFP section 7.2</w:t>
      </w:r>
      <w:r w:rsidR="00781EE7" w:rsidRPr="003C7E17">
        <w:rPr>
          <w:rStyle w:val="s3"/>
          <w:color w:val="000000" w:themeColor="text1"/>
        </w:rPr>
        <w:t xml:space="preserve"> when developing their cost proposal and budget.</w:t>
      </w:r>
    </w:p>
    <w:p w:rsidR="00781EE7" w:rsidRPr="003C7E17" w:rsidRDefault="008D3BDC" w:rsidP="00DE24D0">
      <w:pPr>
        <w:autoSpaceDE w:val="0"/>
        <w:autoSpaceDN w:val="0"/>
        <w:adjustRightInd w:val="0"/>
        <w:spacing w:after="240"/>
        <w:ind w:left="720" w:hanging="1440"/>
        <w:jc w:val="both"/>
        <w:rPr>
          <w:color w:val="000000" w:themeColor="text1"/>
          <w:sz w:val="24"/>
          <w:szCs w:val="24"/>
        </w:rPr>
      </w:pPr>
      <w:r w:rsidRPr="003C7E17">
        <w:rPr>
          <w:rStyle w:val="s3"/>
          <w:color w:val="000000" w:themeColor="text1"/>
          <w:sz w:val="24"/>
          <w:szCs w:val="24"/>
        </w:rPr>
        <w:tab/>
      </w:r>
      <w:r w:rsidR="00394EC2" w:rsidRPr="003C7E17">
        <w:rPr>
          <w:rStyle w:val="s3"/>
          <w:color w:val="000000" w:themeColor="text1"/>
          <w:sz w:val="24"/>
          <w:szCs w:val="24"/>
        </w:rPr>
        <w:t>S</w:t>
      </w:r>
      <w:r w:rsidR="00781EE7" w:rsidRPr="003C7E17">
        <w:rPr>
          <w:rStyle w:val="s3"/>
          <w:color w:val="000000" w:themeColor="text1"/>
          <w:sz w:val="24"/>
          <w:szCs w:val="24"/>
        </w:rPr>
        <w:t>ee the October 2007 report to the Judicial Council, which was also cited with</w:t>
      </w:r>
      <w:r w:rsidR="00781EE7" w:rsidRPr="003C7E17">
        <w:rPr>
          <w:rStyle w:val="s3"/>
          <w:i/>
          <w:color w:val="000000" w:themeColor="text1"/>
          <w:sz w:val="24"/>
          <w:szCs w:val="24"/>
        </w:rPr>
        <w:t xml:space="preserve"> section 7.2.2</w:t>
      </w:r>
      <w:r w:rsidR="00781EE7" w:rsidRPr="003C7E17">
        <w:rPr>
          <w:rStyle w:val="s3"/>
          <w:color w:val="000000" w:themeColor="text1"/>
          <w:sz w:val="24"/>
          <w:szCs w:val="24"/>
        </w:rPr>
        <w:t xml:space="preserve"> of the RFP: </w:t>
      </w:r>
      <w:hyperlink r:id="rId11" w:history="1">
        <w:r w:rsidR="00781EE7" w:rsidRPr="003C7E17">
          <w:rPr>
            <w:rStyle w:val="Hyperlink"/>
            <w:color w:val="000000" w:themeColor="text1"/>
            <w:sz w:val="24"/>
            <w:szCs w:val="24"/>
          </w:rPr>
          <w:t>http://www.courts.ca.gov/documents/102607itemF.pdf</w:t>
        </w:r>
      </w:hyperlink>
      <w:r w:rsidR="00781EE7" w:rsidRPr="003C7E17">
        <w:rPr>
          <w:rStyle w:val="s3"/>
          <w:color w:val="000000" w:themeColor="text1"/>
          <w:sz w:val="24"/>
          <w:szCs w:val="24"/>
        </w:rPr>
        <w:t xml:space="preserve">.  </w:t>
      </w:r>
    </w:p>
    <w:p w:rsidR="00017834" w:rsidRPr="003C7E17" w:rsidRDefault="00017834" w:rsidP="0013023D">
      <w:pPr>
        <w:pStyle w:val="ListParagraph"/>
        <w:numPr>
          <w:ilvl w:val="0"/>
          <w:numId w:val="11"/>
        </w:numPr>
        <w:tabs>
          <w:tab w:val="clear" w:pos="720"/>
          <w:tab w:val="num" w:pos="-180"/>
        </w:tabs>
        <w:autoSpaceDE w:val="0"/>
        <w:autoSpaceDN w:val="0"/>
        <w:adjustRightInd w:val="0"/>
        <w:spacing w:after="120"/>
        <w:ind w:left="-180" w:right="-20" w:hanging="540"/>
        <w:rPr>
          <w:rStyle w:val="s3"/>
          <w:rFonts w:ascii="Times New Roman" w:hAnsi="Times New Roman"/>
          <w:color w:val="000000" w:themeColor="text1"/>
          <w:sz w:val="24"/>
          <w:szCs w:val="24"/>
        </w:rPr>
      </w:pPr>
      <w:r w:rsidRPr="003C7E17">
        <w:rPr>
          <w:rStyle w:val="s3"/>
          <w:rFonts w:ascii="Times New Roman" w:hAnsi="Times New Roman"/>
          <w:color w:val="000000" w:themeColor="text1"/>
          <w:sz w:val="24"/>
          <w:szCs w:val="24"/>
        </w:rPr>
        <w:t xml:space="preserve">What is the definition of overhead (listed in </w:t>
      </w:r>
      <w:r w:rsidRPr="003C7E17">
        <w:rPr>
          <w:rStyle w:val="s3"/>
          <w:rFonts w:ascii="Times New Roman" w:hAnsi="Times New Roman"/>
          <w:i/>
          <w:color w:val="000000" w:themeColor="text1"/>
          <w:sz w:val="24"/>
          <w:szCs w:val="24"/>
        </w:rPr>
        <w:t>RFP section 7.2.6</w:t>
      </w:r>
      <w:r w:rsidRPr="003C7E17">
        <w:rPr>
          <w:rStyle w:val="s3"/>
          <w:rFonts w:ascii="Times New Roman" w:hAnsi="Times New Roman"/>
          <w:color w:val="000000" w:themeColor="text1"/>
          <w:sz w:val="24"/>
          <w:szCs w:val="24"/>
        </w:rPr>
        <w:t xml:space="preserve">, page 11)?  What is included </w:t>
      </w:r>
      <w:r w:rsidR="002842CE" w:rsidRPr="003C7E17">
        <w:rPr>
          <w:rStyle w:val="s3"/>
          <w:rFonts w:ascii="Times New Roman" w:hAnsi="Times New Roman"/>
          <w:color w:val="000000" w:themeColor="text1"/>
          <w:sz w:val="24"/>
          <w:szCs w:val="24"/>
        </w:rPr>
        <w:t xml:space="preserve">and what is excluded </w:t>
      </w:r>
      <w:r w:rsidRPr="003C7E17">
        <w:rPr>
          <w:rStyle w:val="s3"/>
          <w:rFonts w:ascii="Times New Roman" w:hAnsi="Times New Roman"/>
          <w:color w:val="000000" w:themeColor="text1"/>
          <w:sz w:val="24"/>
          <w:szCs w:val="24"/>
        </w:rPr>
        <w:t>in overhead costs?</w:t>
      </w:r>
    </w:p>
    <w:p w:rsidR="00017834" w:rsidRPr="003C7E17" w:rsidRDefault="0013023D" w:rsidP="00DE24D0">
      <w:pPr>
        <w:autoSpaceDE w:val="0"/>
        <w:autoSpaceDN w:val="0"/>
        <w:adjustRightInd w:val="0"/>
        <w:spacing w:after="120"/>
        <w:ind w:left="720" w:hanging="900"/>
        <w:jc w:val="both"/>
        <w:rPr>
          <w:rStyle w:val="s3"/>
          <w:color w:val="000000" w:themeColor="text1"/>
          <w:sz w:val="24"/>
          <w:szCs w:val="24"/>
        </w:rPr>
      </w:pPr>
      <w:r w:rsidRPr="003C7E17">
        <w:rPr>
          <w:rStyle w:val="s3"/>
          <w:color w:val="000000" w:themeColor="text1"/>
          <w:sz w:val="24"/>
          <w:szCs w:val="24"/>
        </w:rPr>
        <w:t xml:space="preserve">Answer: </w:t>
      </w:r>
      <w:r w:rsidR="00017834" w:rsidRPr="003C7E17">
        <w:rPr>
          <w:rStyle w:val="s3"/>
          <w:color w:val="000000" w:themeColor="text1"/>
          <w:sz w:val="24"/>
          <w:szCs w:val="24"/>
        </w:rPr>
        <w:t xml:space="preserve">Overhead costs, also referred to as indirect costs, are generally defined as the fixed costs of running a business that do not directly apply to the services being offered by the business.  For the purpose of the compensation model adopted by the Judicial Council, overhead costs include supervising attorneys, support staff, and all operating and facility costs.  </w:t>
      </w:r>
    </w:p>
    <w:p w:rsidR="00017834" w:rsidRPr="003C7E17" w:rsidRDefault="0013023D" w:rsidP="00DE24D0">
      <w:pPr>
        <w:autoSpaceDE w:val="0"/>
        <w:autoSpaceDN w:val="0"/>
        <w:adjustRightInd w:val="0"/>
        <w:spacing w:after="120"/>
        <w:ind w:left="720" w:hanging="900"/>
        <w:jc w:val="both"/>
        <w:rPr>
          <w:rStyle w:val="s3"/>
          <w:color w:val="000000" w:themeColor="text1"/>
          <w:sz w:val="24"/>
          <w:szCs w:val="24"/>
        </w:rPr>
      </w:pPr>
      <w:r w:rsidRPr="003C7E17">
        <w:rPr>
          <w:rStyle w:val="s3"/>
          <w:color w:val="000000" w:themeColor="text1"/>
          <w:sz w:val="24"/>
          <w:szCs w:val="24"/>
        </w:rPr>
        <w:lastRenderedPageBreak/>
        <w:tab/>
      </w:r>
      <w:r w:rsidR="00017834" w:rsidRPr="003C7E17">
        <w:rPr>
          <w:rStyle w:val="s3"/>
          <w:color w:val="000000" w:themeColor="text1"/>
          <w:sz w:val="24"/>
          <w:szCs w:val="24"/>
        </w:rPr>
        <w:t>Excluded from overhead, or indirect costs, are items that would fall under direct costs.  Examples of direct costs include case-carrying attorneys (staff or contract), investigators (staff or contract), bar dues, attorney training costs, interpreters, travel costs associated with client visitation, and experts.</w:t>
      </w:r>
    </w:p>
    <w:p w:rsidR="00017834" w:rsidRPr="003C7E17" w:rsidRDefault="00017834" w:rsidP="00DF56D6">
      <w:pPr>
        <w:autoSpaceDE w:val="0"/>
        <w:autoSpaceDN w:val="0"/>
        <w:adjustRightInd w:val="0"/>
        <w:spacing w:after="240"/>
        <w:ind w:left="720"/>
        <w:jc w:val="both"/>
        <w:rPr>
          <w:rStyle w:val="s3"/>
          <w:color w:val="000000" w:themeColor="text1"/>
          <w:sz w:val="24"/>
          <w:szCs w:val="24"/>
        </w:rPr>
      </w:pPr>
      <w:r w:rsidRPr="003C7E17">
        <w:rPr>
          <w:rStyle w:val="s3"/>
          <w:color w:val="000000" w:themeColor="text1"/>
          <w:sz w:val="24"/>
          <w:szCs w:val="24"/>
        </w:rPr>
        <w:t xml:space="preserve">See page 9 of the October 2007 report to the Judicial Council for more information: </w:t>
      </w:r>
      <w:hyperlink r:id="rId12" w:history="1">
        <w:r w:rsidRPr="003C7E17">
          <w:rPr>
            <w:rStyle w:val="Hyperlink"/>
            <w:color w:val="000000" w:themeColor="text1"/>
            <w:sz w:val="24"/>
            <w:szCs w:val="24"/>
          </w:rPr>
          <w:t>http://www.courts.ca.gov/documents/102607itemF.pdf</w:t>
        </w:r>
      </w:hyperlink>
    </w:p>
    <w:p w:rsidR="00017834" w:rsidRPr="003C7E17" w:rsidRDefault="00017834" w:rsidP="00DE24D0">
      <w:pPr>
        <w:pStyle w:val="ListParagraph"/>
        <w:numPr>
          <w:ilvl w:val="0"/>
          <w:numId w:val="11"/>
        </w:numPr>
        <w:tabs>
          <w:tab w:val="clear" w:pos="720"/>
          <w:tab w:val="num" w:pos="-180"/>
        </w:tabs>
        <w:autoSpaceDE w:val="0"/>
        <w:autoSpaceDN w:val="0"/>
        <w:adjustRightInd w:val="0"/>
        <w:spacing w:after="120"/>
        <w:ind w:right="-20" w:hanging="1440"/>
        <w:jc w:val="both"/>
        <w:rPr>
          <w:rStyle w:val="s3"/>
          <w:rFonts w:ascii="Times New Roman" w:hAnsi="Times New Roman"/>
          <w:color w:val="000000" w:themeColor="text1"/>
          <w:sz w:val="24"/>
          <w:szCs w:val="24"/>
        </w:rPr>
      </w:pPr>
      <w:r w:rsidRPr="003C7E17">
        <w:rPr>
          <w:rStyle w:val="s3"/>
          <w:rFonts w:ascii="Times New Roman" w:hAnsi="Times New Roman"/>
          <w:color w:val="000000" w:themeColor="text1"/>
          <w:sz w:val="24"/>
          <w:szCs w:val="24"/>
        </w:rPr>
        <w:t xml:space="preserve">What is the definition of indirect costs?  What is included </w:t>
      </w:r>
      <w:r w:rsidR="009434BA">
        <w:rPr>
          <w:rStyle w:val="s3"/>
          <w:rFonts w:ascii="Times New Roman" w:hAnsi="Times New Roman"/>
          <w:color w:val="000000" w:themeColor="text1"/>
          <w:sz w:val="24"/>
          <w:szCs w:val="24"/>
        </w:rPr>
        <w:t xml:space="preserve">and excluded </w:t>
      </w:r>
      <w:r w:rsidRPr="003C7E17">
        <w:rPr>
          <w:rStyle w:val="s3"/>
          <w:rFonts w:ascii="Times New Roman" w:hAnsi="Times New Roman"/>
          <w:color w:val="000000" w:themeColor="text1"/>
          <w:sz w:val="24"/>
          <w:szCs w:val="24"/>
        </w:rPr>
        <w:t>in indirect costs?</w:t>
      </w:r>
    </w:p>
    <w:p w:rsidR="00017834" w:rsidRPr="003C7E17" w:rsidRDefault="00076980" w:rsidP="00DE24D0">
      <w:pPr>
        <w:autoSpaceDE w:val="0"/>
        <w:autoSpaceDN w:val="0"/>
        <w:adjustRightInd w:val="0"/>
        <w:spacing w:after="120"/>
        <w:ind w:right="-20" w:hanging="180"/>
        <w:jc w:val="both"/>
        <w:rPr>
          <w:rStyle w:val="s3"/>
          <w:color w:val="000000" w:themeColor="text1"/>
          <w:sz w:val="24"/>
          <w:szCs w:val="24"/>
        </w:rPr>
      </w:pPr>
      <w:r w:rsidRPr="003C7E17">
        <w:rPr>
          <w:rStyle w:val="s3"/>
          <w:color w:val="000000" w:themeColor="text1"/>
          <w:sz w:val="24"/>
          <w:szCs w:val="24"/>
        </w:rPr>
        <w:t xml:space="preserve">Answer: </w:t>
      </w:r>
      <w:r w:rsidR="00394EC2" w:rsidRPr="003C7E17">
        <w:rPr>
          <w:rStyle w:val="s3"/>
          <w:color w:val="000000" w:themeColor="text1"/>
          <w:sz w:val="24"/>
          <w:szCs w:val="24"/>
        </w:rPr>
        <w:t>S</w:t>
      </w:r>
      <w:r w:rsidR="00017834" w:rsidRPr="003C7E17">
        <w:rPr>
          <w:rStyle w:val="s3"/>
          <w:color w:val="000000" w:themeColor="text1"/>
          <w:sz w:val="24"/>
          <w:szCs w:val="24"/>
        </w:rPr>
        <w:t xml:space="preserve">ee the response to question </w:t>
      </w:r>
      <w:r w:rsidR="00F10A86" w:rsidRPr="003C7E17">
        <w:rPr>
          <w:rStyle w:val="s3"/>
          <w:color w:val="000000" w:themeColor="text1"/>
          <w:sz w:val="24"/>
          <w:szCs w:val="24"/>
        </w:rPr>
        <w:t>29</w:t>
      </w:r>
      <w:r w:rsidR="00017834" w:rsidRPr="003C7E17">
        <w:rPr>
          <w:rStyle w:val="s3"/>
          <w:color w:val="000000" w:themeColor="text1"/>
          <w:sz w:val="24"/>
          <w:szCs w:val="24"/>
        </w:rPr>
        <w:t>, above, for an explanation of indirect costs.</w:t>
      </w:r>
    </w:p>
    <w:p w:rsidR="00017834" w:rsidRPr="003C7E17" w:rsidRDefault="00017834" w:rsidP="00DE24D0">
      <w:pPr>
        <w:pStyle w:val="ListParagraph"/>
        <w:numPr>
          <w:ilvl w:val="0"/>
          <w:numId w:val="11"/>
        </w:numPr>
        <w:tabs>
          <w:tab w:val="clear" w:pos="720"/>
          <w:tab w:val="num" w:pos="-180"/>
        </w:tabs>
        <w:autoSpaceDE w:val="0"/>
        <w:autoSpaceDN w:val="0"/>
        <w:adjustRightInd w:val="0"/>
        <w:spacing w:after="120"/>
        <w:ind w:left="-180" w:right="-20" w:hanging="540"/>
        <w:jc w:val="both"/>
        <w:rPr>
          <w:rStyle w:val="s3"/>
          <w:rFonts w:ascii="Times New Roman" w:hAnsi="Times New Roman"/>
          <w:color w:val="000000" w:themeColor="text1"/>
          <w:sz w:val="24"/>
          <w:szCs w:val="24"/>
        </w:rPr>
      </w:pPr>
      <w:r w:rsidRPr="003C7E17">
        <w:rPr>
          <w:rStyle w:val="s3"/>
          <w:rFonts w:ascii="Times New Roman" w:hAnsi="Times New Roman"/>
          <w:color w:val="000000" w:themeColor="text1"/>
          <w:sz w:val="24"/>
          <w:szCs w:val="24"/>
        </w:rPr>
        <w:t>Are indirect costs required to be in the range of 19-35% as shown on page 32 of the October 2007 report to the Judicial Council</w:t>
      </w:r>
      <w:r w:rsidR="0013136B">
        <w:rPr>
          <w:rStyle w:val="s3"/>
          <w:rFonts w:ascii="Times New Roman" w:hAnsi="Times New Roman"/>
          <w:color w:val="000000" w:themeColor="text1"/>
          <w:sz w:val="24"/>
          <w:szCs w:val="24"/>
        </w:rPr>
        <w:t>:</w:t>
      </w:r>
      <w:r w:rsidRPr="003C7E17">
        <w:rPr>
          <w:rStyle w:val="s3"/>
          <w:rFonts w:ascii="Times New Roman" w:hAnsi="Times New Roman"/>
          <w:color w:val="000000" w:themeColor="text1"/>
          <w:sz w:val="24"/>
          <w:szCs w:val="24"/>
        </w:rPr>
        <w:t xml:space="preserve"> </w:t>
      </w:r>
      <w:hyperlink r:id="rId13" w:history="1">
        <w:r w:rsidRPr="003C7E17">
          <w:rPr>
            <w:rStyle w:val="Hyperlink"/>
            <w:rFonts w:ascii="Times New Roman" w:hAnsi="Times New Roman"/>
            <w:color w:val="000000" w:themeColor="text1"/>
            <w:sz w:val="24"/>
            <w:szCs w:val="24"/>
          </w:rPr>
          <w:t>http://www.courts.ca.gov/documents/102607itemF.pdf</w:t>
        </w:r>
      </w:hyperlink>
      <w:r w:rsidRPr="003C7E17">
        <w:rPr>
          <w:rStyle w:val="s3"/>
          <w:rFonts w:ascii="Times New Roman" w:hAnsi="Times New Roman"/>
          <w:color w:val="000000" w:themeColor="text1"/>
          <w:sz w:val="24"/>
          <w:szCs w:val="24"/>
        </w:rPr>
        <w:t>?</w:t>
      </w:r>
    </w:p>
    <w:p w:rsidR="00017834" w:rsidRPr="003C7E17" w:rsidRDefault="00076980" w:rsidP="00DE24D0">
      <w:pPr>
        <w:autoSpaceDE w:val="0"/>
        <w:autoSpaceDN w:val="0"/>
        <w:adjustRightInd w:val="0"/>
        <w:spacing w:after="120"/>
        <w:ind w:left="720" w:right="-20" w:hanging="900"/>
        <w:jc w:val="both"/>
        <w:rPr>
          <w:rStyle w:val="s3"/>
          <w:color w:val="000000" w:themeColor="text1"/>
          <w:sz w:val="24"/>
          <w:szCs w:val="24"/>
        </w:rPr>
      </w:pPr>
      <w:r w:rsidRPr="003C7E17">
        <w:rPr>
          <w:rStyle w:val="s3"/>
          <w:color w:val="000000" w:themeColor="text1"/>
          <w:sz w:val="24"/>
          <w:szCs w:val="24"/>
        </w:rPr>
        <w:t xml:space="preserve">Answer: </w:t>
      </w:r>
      <w:r w:rsidR="00017834" w:rsidRPr="003C7E17">
        <w:rPr>
          <w:rStyle w:val="s3"/>
          <w:color w:val="000000" w:themeColor="text1"/>
          <w:sz w:val="24"/>
          <w:szCs w:val="24"/>
        </w:rPr>
        <w:t xml:space="preserve">There are no specific requirements for direct costs to fall within a given range.  However, proposers should consider that </w:t>
      </w:r>
      <w:r w:rsidR="00017834" w:rsidRPr="003C7E17">
        <w:rPr>
          <w:rStyle w:val="s3"/>
          <w:i/>
          <w:color w:val="000000" w:themeColor="text1"/>
          <w:sz w:val="24"/>
          <w:szCs w:val="24"/>
        </w:rPr>
        <w:t xml:space="preserve">RFP section 7.2.2 </w:t>
      </w:r>
      <w:r w:rsidR="00017834" w:rsidRPr="003C7E17">
        <w:rPr>
          <w:rStyle w:val="s3"/>
          <w:color w:val="000000" w:themeColor="text1"/>
          <w:sz w:val="24"/>
          <w:szCs w:val="24"/>
        </w:rPr>
        <w:t xml:space="preserve">states, “Proposers are asked to submit proposals based on the Caseload Funding Model adopted by the Judicial Council in October 2007.”  In addition, as indicated in the table of evaluation criteria listed under </w:t>
      </w:r>
      <w:r w:rsidR="00017834" w:rsidRPr="003C7E17">
        <w:rPr>
          <w:rStyle w:val="s3"/>
          <w:i/>
          <w:color w:val="000000" w:themeColor="text1"/>
          <w:sz w:val="24"/>
          <w:szCs w:val="24"/>
        </w:rPr>
        <w:t>RFP section 10.3</w:t>
      </w:r>
      <w:r w:rsidR="00017834" w:rsidRPr="003C7E17">
        <w:rPr>
          <w:rStyle w:val="s3"/>
          <w:color w:val="000000" w:themeColor="text1"/>
          <w:sz w:val="24"/>
          <w:szCs w:val="24"/>
        </w:rPr>
        <w:t>, proposers will be evaluated by the reasonableness of their cost proposal, including the “2. Percentage of Proposer’s costs directly applied to attorney services and to indirect costs”.</w:t>
      </w:r>
    </w:p>
    <w:p w:rsidR="00017834" w:rsidRPr="003C7E17" w:rsidRDefault="00017834" w:rsidP="00DE24D0">
      <w:pPr>
        <w:pStyle w:val="ListParagraph"/>
        <w:numPr>
          <w:ilvl w:val="0"/>
          <w:numId w:val="11"/>
        </w:numPr>
        <w:tabs>
          <w:tab w:val="clear" w:pos="720"/>
          <w:tab w:val="num" w:pos="-180"/>
        </w:tabs>
        <w:autoSpaceDE w:val="0"/>
        <w:autoSpaceDN w:val="0"/>
        <w:adjustRightInd w:val="0"/>
        <w:spacing w:after="120"/>
        <w:ind w:left="-180" w:right="-20" w:hanging="540"/>
        <w:jc w:val="both"/>
        <w:rPr>
          <w:rStyle w:val="s3"/>
          <w:rFonts w:ascii="Times New Roman" w:hAnsi="Times New Roman"/>
          <w:color w:val="000000" w:themeColor="text1"/>
          <w:sz w:val="24"/>
          <w:szCs w:val="24"/>
        </w:rPr>
      </w:pPr>
      <w:r w:rsidRPr="003C7E17">
        <w:rPr>
          <w:rStyle w:val="s3"/>
          <w:rFonts w:ascii="Times New Roman" w:hAnsi="Times New Roman"/>
          <w:color w:val="000000" w:themeColor="text1"/>
          <w:sz w:val="24"/>
          <w:szCs w:val="24"/>
        </w:rPr>
        <w:t>Are direct costs required to be in the range of 65</w:t>
      </w:r>
      <w:r w:rsidRPr="003C7E17">
        <w:rPr>
          <w:rStyle w:val="s3"/>
          <w:rFonts w:ascii="Cambria Math" w:hAnsi="Cambria Math"/>
          <w:color w:val="000000" w:themeColor="text1"/>
          <w:sz w:val="24"/>
          <w:szCs w:val="24"/>
        </w:rPr>
        <w:t>‐</w:t>
      </w:r>
      <w:r w:rsidRPr="003C7E17">
        <w:rPr>
          <w:rStyle w:val="s3"/>
          <w:rFonts w:ascii="Times New Roman" w:hAnsi="Times New Roman"/>
          <w:color w:val="000000" w:themeColor="text1"/>
          <w:sz w:val="24"/>
          <w:szCs w:val="24"/>
        </w:rPr>
        <w:t>81% as shown on page 32 of the October 2007 report to the Judicial Council</w:t>
      </w:r>
      <w:r w:rsidR="0013136B">
        <w:rPr>
          <w:rStyle w:val="s3"/>
          <w:rFonts w:ascii="Times New Roman" w:hAnsi="Times New Roman"/>
          <w:color w:val="000000" w:themeColor="text1"/>
          <w:sz w:val="24"/>
          <w:szCs w:val="24"/>
        </w:rPr>
        <w:t>:</w:t>
      </w:r>
      <w:r w:rsidRPr="003C7E17">
        <w:rPr>
          <w:rStyle w:val="s3"/>
          <w:rFonts w:ascii="Times New Roman" w:hAnsi="Times New Roman"/>
          <w:color w:val="000000" w:themeColor="text1"/>
          <w:sz w:val="24"/>
          <w:szCs w:val="24"/>
        </w:rPr>
        <w:t xml:space="preserve"> </w:t>
      </w:r>
      <w:hyperlink r:id="rId14" w:history="1">
        <w:r w:rsidRPr="003C7E17">
          <w:rPr>
            <w:rStyle w:val="Hyperlink"/>
            <w:rFonts w:ascii="Times New Roman" w:hAnsi="Times New Roman"/>
            <w:color w:val="000000" w:themeColor="text1"/>
            <w:sz w:val="24"/>
            <w:szCs w:val="24"/>
          </w:rPr>
          <w:t>http://www.courts.ca.gov/documents/102607itemF.pdf</w:t>
        </w:r>
      </w:hyperlink>
      <w:r w:rsidRPr="003C7E17">
        <w:rPr>
          <w:rStyle w:val="s3"/>
          <w:rFonts w:ascii="Times New Roman" w:hAnsi="Times New Roman"/>
          <w:color w:val="000000" w:themeColor="text1"/>
          <w:sz w:val="24"/>
          <w:szCs w:val="24"/>
        </w:rPr>
        <w:t>?</w:t>
      </w:r>
    </w:p>
    <w:p w:rsidR="00017834" w:rsidRPr="003C7E17" w:rsidRDefault="00076980" w:rsidP="00DE24D0">
      <w:pPr>
        <w:autoSpaceDE w:val="0"/>
        <w:autoSpaceDN w:val="0"/>
        <w:adjustRightInd w:val="0"/>
        <w:spacing w:after="120"/>
        <w:ind w:left="720" w:right="-20" w:hanging="900"/>
        <w:jc w:val="both"/>
        <w:rPr>
          <w:rStyle w:val="s3"/>
          <w:color w:val="000000" w:themeColor="text1"/>
          <w:sz w:val="24"/>
          <w:szCs w:val="24"/>
        </w:rPr>
      </w:pPr>
      <w:r w:rsidRPr="003C7E17">
        <w:rPr>
          <w:rStyle w:val="s3"/>
          <w:color w:val="000000" w:themeColor="text1"/>
          <w:sz w:val="24"/>
          <w:szCs w:val="24"/>
        </w:rPr>
        <w:t xml:space="preserve">Answer: </w:t>
      </w:r>
      <w:r w:rsidR="00017834" w:rsidRPr="003C7E17">
        <w:rPr>
          <w:rStyle w:val="s3"/>
          <w:color w:val="000000" w:themeColor="text1"/>
          <w:sz w:val="24"/>
          <w:szCs w:val="24"/>
        </w:rPr>
        <w:t xml:space="preserve">There are no specific requirements for indirect costs to fall within a given range.  </w:t>
      </w:r>
      <w:r w:rsidR="00394EC2" w:rsidRPr="003C7E17">
        <w:rPr>
          <w:rStyle w:val="s3"/>
          <w:color w:val="000000" w:themeColor="text1"/>
          <w:sz w:val="24"/>
          <w:szCs w:val="24"/>
        </w:rPr>
        <w:t>S</w:t>
      </w:r>
      <w:r w:rsidR="00017834" w:rsidRPr="003C7E17">
        <w:rPr>
          <w:rStyle w:val="s3"/>
          <w:color w:val="000000" w:themeColor="text1"/>
          <w:sz w:val="24"/>
          <w:szCs w:val="24"/>
        </w:rPr>
        <w:t xml:space="preserve">ee the response to question </w:t>
      </w:r>
      <w:r w:rsidR="00F10A86" w:rsidRPr="003C7E17">
        <w:rPr>
          <w:rStyle w:val="s3"/>
          <w:color w:val="000000" w:themeColor="text1"/>
          <w:sz w:val="24"/>
          <w:szCs w:val="24"/>
        </w:rPr>
        <w:t>31</w:t>
      </w:r>
      <w:r w:rsidR="00017834" w:rsidRPr="003C7E17">
        <w:rPr>
          <w:rStyle w:val="s3"/>
          <w:color w:val="000000" w:themeColor="text1"/>
          <w:sz w:val="24"/>
          <w:szCs w:val="24"/>
        </w:rPr>
        <w:t>, above, for more information.</w:t>
      </w:r>
    </w:p>
    <w:p w:rsidR="00B06706" w:rsidRPr="003C7E17" w:rsidRDefault="00B06706" w:rsidP="00DE24D0">
      <w:pPr>
        <w:pStyle w:val="ListParagraph"/>
        <w:numPr>
          <w:ilvl w:val="0"/>
          <w:numId w:val="11"/>
        </w:numPr>
        <w:tabs>
          <w:tab w:val="clear" w:pos="720"/>
          <w:tab w:val="num" w:pos="-180"/>
        </w:tabs>
        <w:spacing w:after="120"/>
        <w:ind w:hanging="1440"/>
        <w:jc w:val="both"/>
        <w:rPr>
          <w:rFonts w:ascii="Times New Roman" w:hAnsi="Times New Roman"/>
          <w:color w:val="000000" w:themeColor="text1"/>
          <w:sz w:val="24"/>
          <w:szCs w:val="24"/>
        </w:rPr>
      </w:pPr>
      <w:r w:rsidRPr="003C7E17">
        <w:rPr>
          <w:rFonts w:ascii="Times New Roman" w:hAnsi="Times New Roman"/>
          <w:color w:val="000000" w:themeColor="text1"/>
          <w:sz w:val="24"/>
          <w:szCs w:val="24"/>
        </w:rPr>
        <w:t>Why do you need budget line items for rent, etc. when we will be not reimbursed?  </w:t>
      </w:r>
    </w:p>
    <w:p w:rsidR="00B06706" w:rsidRPr="003C7E17" w:rsidRDefault="00C378AE" w:rsidP="00DE24D0">
      <w:pPr>
        <w:spacing w:after="120"/>
        <w:ind w:left="720" w:hanging="900"/>
        <w:jc w:val="both"/>
        <w:rPr>
          <w:color w:val="000000" w:themeColor="text1"/>
          <w:sz w:val="24"/>
          <w:szCs w:val="24"/>
        </w:rPr>
      </w:pPr>
      <w:r w:rsidRPr="003C7E17">
        <w:rPr>
          <w:rStyle w:val="s3"/>
          <w:color w:val="000000" w:themeColor="text1"/>
          <w:sz w:val="24"/>
          <w:szCs w:val="24"/>
        </w:rPr>
        <w:t xml:space="preserve">Answer: </w:t>
      </w:r>
      <w:r w:rsidR="00B06706" w:rsidRPr="003C7E17">
        <w:rPr>
          <w:color w:val="000000" w:themeColor="text1"/>
          <w:sz w:val="24"/>
          <w:szCs w:val="24"/>
        </w:rPr>
        <w:t xml:space="preserve">The Caseload Funding Model adopted by the Judicial Council includes compensation standards that include overhead costs such as rent.  As explained in number </w:t>
      </w:r>
      <w:r w:rsidR="00F10A86" w:rsidRPr="003C7E17">
        <w:rPr>
          <w:color w:val="000000" w:themeColor="text1"/>
          <w:sz w:val="24"/>
          <w:szCs w:val="24"/>
        </w:rPr>
        <w:t>29</w:t>
      </w:r>
      <w:r w:rsidR="00B06706" w:rsidRPr="003C7E17">
        <w:rPr>
          <w:color w:val="000000" w:themeColor="text1"/>
          <w:sz w:val="24"/>
          <w:szCs w:val="24"/>
        </w:rPr>
        <w:t xml:space="preserve">, overhead costs may be factored in to a proposer’s proposed compensation for services.  However, rent would not count as a reimbursable cost in the same way as out-of-state travel to visit child clients, or use of expert witnesses, described in </w:t>
      </w:r>
      <w:r w:rsidR="00B06706" w:rsidRPr="003C7E17">
        <w:rPr>
          <w:i/>
          <w:color w:val="000000" w:themeColor="text1"/>
          <w:sz w:val="24"/>
          <w:szCs w:val="24"/>
        </w:rPr>
        <w:t>RFP section 7.2.7</w:t>
      </w:r>
      <w:r w:rsidR="00B06706" w:rsidRPr="003C7E17">
        <w:rPr>
          <w:color w:val="000000" w:themeColor="text1"/>
          <w:sz w:val="24"/>
          <w:szCs w:val="24"/>
        </w:rPr>
        <w:t xml:space="preserve">. </w:t>
      </w:r>
    </w:p>
    <w:p w:rsidR="00B06706" w:rsidRPr="003C7E17" w:rsidRDefault="00C378AE" w:rsidP="00C378AE">
      <w:pPr>
        <w:spacing w:after="120"/>
        <w:ind w:left="720" w:hanging="900"/>
        <w:rPr>
          <w:color w:val="000000" w:themeColor="text1"/>
          <w:sz w:val="24"/>
          <w:szCs w:val="24"/>
        </w:rPr>
      </w:pPr>
      <w:r w:rsidRPr="003C7E17">
        <w:rPr>
          <w:color w:val="000000" w:themeColor="text1"/>
          <w:sz w:val="24"/>
          <w:szCs w:val="24"/>
        </w:rPr>
        <w:tab/>
      </w:r>
      <w:r w:rsidR="00394EC2" w:rsidRPr="003C7E17">
        <w:rPr>
          <w:color w:val="000000" w:themeColor="text1"/>
          <w:sz w:val="24"/>
          <w:szCs w:val="24"/>
        </w:rPr>
        <w:t>S</w:t>
      </w:r>
      <w:r w:rsidR="00B06706" w:rsidRPr="003C7E17">
        <w:rPr>
          <w:color w:val="000000" w:themeColor="text1"/>
          <w:sz w:val="24"/>
          <w:szCs w:val="24"/>
        </w:rPr>
        <w:t>ee the October 2007 report to the Judicial Council for more information</w:t>
      </w:r>
      <w:r w:rsidR="00394EC2" w:rsidRPr="003C7E17">
        <w:rPr>
          <w:color w:val="000000" w:themeColor="text1"/>
          <w:sz w:val="24"/>
          <w:szCs w:val="24"/>
        </w:rPr>
        <w:t>:</w:t>
      </w:r>
      <w:r w:rsidR="00B06706" w:rsidRPr="003C7E17">
        <w:rPr>
          <w:color w:val="000000" w:themeColor="text1"/>
          <w:sz w:val="24"/>
          <w:szCs w:val="24"/>
        </w:rPr>
        <w:t xml:space="preserve">  </w:t>
      </w:r>
      <w:hyperlink r:id="rId15" w:history="1">
        <w:r w:rsidR="00B06706" w:rsidRPr="003C7E17">
          <w:rPr>
            <w:rStyle w:val="Hyperlink"/>
            <w:color w:val="000000" w:themeColor="text1"/>
            <w:sz w:val="24"/>
            <w:szCs w:val="24"/>
          </w:rPr>
          <w:t>http://www.courts.ca.gov/documents/102607itemF.pdf</w:t>
        </w:r>
      </w:hyperlink>
      <w:r w:rsidR="00B06706" w:rsidRPr="003C7E17">
        <w:rPr>
          <w:color w:val="000000" w:themeColor="text1"/>
          <w:sz w:val="24"/>
          <w:szCs w:val="24"/>
        </w:rPr>
        <w:t>.</w:t>
      </w:r>
    </w:p>
    <w:p w:rsidR="00B06706" w:rsidRPr="003C7E17" w:rsidRDefault="00B06706" w:rsidP="00C378AE">
      <w:pPr>
        <w:pStyle w:val="s6"/>
        <w:numPr>
          <w:ilvl w:val="0"/>
          <w:numId w:val="11"/>
        </w:numPr>
        <w:tabs>
          <w:tab w:val="clear" w:pos="720"/>
        </w:tabs>
        <w:spacing w:before="0" w:beforeAutospacing="0" w:after="120" w:afterAutospacing="0"/>
        <w:ind w:left="-180" w:hanging="540"/>
        <w:rPr>
          <w:rStyle w:val="s3"/>
          <w:color w:val="000000" w:themeColor="text1"/>
        </w:rPr>
      </w:pPr>
      <w:r w:rsidRPr="003C7E17">
        <w:rPr>
          <w:rStyle w:val="s3"/>
          <w:color w:val="000000" w:themeColor="text1"/>
        </w:rPr>
        <w:t>Can a social worker position be filled by interns (if being supervised by a licensed clinician)?</w:t>
      </w:r>
    </w:p>
    <w:p w:rsidR="00B06706" w:rsidRPr="003C7E17" w:rsidRDefault="00C378AE" w:rsidP="003C1C39">
      <w:pPr>
        <w:pStyle w:val="s6"/>
        <w:spacing w:before="0" w:beforeAutospacing="0" w:after="120" w:afterAutospacing="0"/>
        <w:ind w:left="720" w:hanging="900"/>
        <w:rPr>
          <w:rStyle w:val="s3"/>
          <w:color w:val="000000" w:themeColor="text1"/>
        </w:rPr>
      </w:pPr>
      <w:r w:rsidRPr="003C7E17">
        <w:rPr>
          <w:rStyle w:val="s3"/>
          <w:color w:val="000000" w:themeColor="text1"/>
        </w:rPr>
        <w:t xml:space="preserve">Answer: </w:t>
      </w:r>
      <w:r w:rsidR="00B06706" w:rsidRPr="003C7E17">
        <w:rPr>
          <w:rStyle w:val="s3"/>
          <w:color w:val="000000" w:themeColor="text1"/>
        </w:rPr>
        <w:t>Yes</w:t>
      </w:r>
      <w:r w:rsidR="00EB09FE" w:rsidRPr="003C7E17">
        <w:rPr>
          <w:rStyle w:val="s3"/>
          <w:color w:val="000000" w:themeColor="text1"/>
        </w:rPr>
        <w:t>, a social worker position can be filled by an intern if supervised by a licensed clinician</w:t>
      </w:r>
      <w:r w:rsidR="00B06706" w:rsidRPr="003C7E17">
        <w:rPr>
          <w:rStyle w:val="s3"/>
          <w:color w:val="000000" w:themeColor="text1"/>
        </w:rPr>
        <w:t>.</w:t>
      </w:r>
    </w:p>
    <w:p w:rsidR="00B06706" w:rsidRPr="003C7E17" w:rsidRDefault="00B06706" w:rsidP="00CC7DD8">
      <w:pPr>
        <w:pStyle w:val="s6"/>
        <w:numPr>
          <w:ilvl w:val="0"/>
          <w:numId w:val="11"/>
        </w:numPr>
        <w:tabs>
          <w:tab w:val="clear" w:pos="720"/>
          <w:tab w:val="num" w:pos="-180"/>
        </w:tabs>
        <w:spacing w:before="0" w:beforeAutospacing="0" w:after="120" w:afterAutospacing="0"/>
        <w:ind w:hanging="1440"/>
        <w:rPr>
          <w:rStyle w:val="s3"/>
          <w:color w:val="000000" w:themeColor="text1"/>
        </w:rPr>
      </w:pPr>
      <w:r w:rsidRPr="003C7E17">
        <w:rPr>
          <w:rStyle w:val="s3"/>
          <w:color w:val="000000" w:themeColor="text1"/>
        </w:rPr>
        <w:t>Can the position of investigator be subcontracted out?</w:t>
      </w:r>
    </w:p>
    <w:p w:rsidR="00B06706" w:rsidRPr="003C7E17" w:rsidRDefault="009E7931" w:rsidP="00CC7DD8">
      <w:pPr>
        <w:pStyle w:val="s6"/>
        <w:spacing w:before="0" w:beforeAutospacing="0" w:after="120" w:afterAutospacing="0"/>
        <w:ind w:left="-180"/>
        <w:rPr>
          <w:rStyle w:val="s3"/>
          <w:color w:val="000000" w:themeColor="text1"/>
        </w:rPr>
      </w:pPr>
      <w:r w:rsidRPr="003C7E17">
        <w:rPr>
          <w:rStyle w:val="s3"/>
          <w:color w:val="000000" w:themeColor="text1"/>
        </w:rPr>
        <w:t xml:space="preserve">Answer: </w:t>
      </w:r>
      <w:r w:rsidR="00B06706" w:rsidRPr="003C7E17">
        <w:rPr>
          <w:rStyle w:val="s3"/>
          <w:color w:val="000000" w:themeColor="text1"/>
        </w:rPr>
        <w:t>Yes</w:t>
      </w:r>
      <w:r w:rsidR="003C1C39" w:rsidRPr="003C7E17">
        <w:rPr>
          <w:rStyle w:val="s3"/>
          <w:color w:val="000000" w:themeColor="text1"/>
        </w:rPr>
        <w:t>, the position of investigator can be subcontracted</w:t>
      </w:r>
      <w:r w:rsidR="00B06706" w:rsidRPr="003C7E17">
        <w:rPr>
          <w:rStyle w:val="s3"/>
          <w:color w:val="000000" w:themeColor="text1"/>
        </w:rPr>
        <w:t>.</w:t>
      </w:r>
    </w:p>
    <w:p w:rsidR="003C1C39" w:rsidRPr="003C7E17" w:rsidRDefault="003C1C39" w:rsidP="00CC7DD8">
      <w:pPr>
        <w:pStyle w:val="s6"/>
        <w:spacing w:before="0" w:beforeAutospacing="0" w:after="120" w:afterAutospacing="0"/>
        <w:ind w:left="-180"/>
        <w:rPr>
          <w:rStyle w:val="s3"/>
          <w:color w:val="000000" w:themeColor="text1"/>
        </w:rPr>
      </w:pPr>
    </w:p>
    <w:p w:rsidR="00B06706" w:rsidRPr="003C7E17" w:rsidRDefault="00B06706" w:rsidP="00CC7DD8">
      <w:pPr>
        <w:pStyle w:val="s6"/>
        <w:numPr>
          <w:ilvl w:val="0"/>
          <w:numId w:val="11"/>
        </w:numPr>
        <w:tabs>
          <w:tab w:val="clear" w:pos="720"/>
          <w:tab w:val="num" w:pos="-180"/>
        </w:tabs>
        <w:spacing w:before="0" w:beforeAutospacing="0" w:after="120" w:afterAutospacing="0"/>
        <w:ind w:left="-180" w:hanging="540"/>
        <w:rPr>
          <w:rStyle w:val="s3"/>
          <w:color w:val="000000" w:themeColor="text1"/>
        </w:rPr>
      </w:pPr>
      <w:r w:rsidRPr="003C7E17">
        <w:rPr>
          <w:rStyle w:val="s3"/>
          <w:color w:val="000000" w:themeColor="text1"/>
        </w:rPr>
        <w:lastRenderedPageBreak/>
        <w:t>Is it a requirement to provide full-time positions for paralegal, secretary, and senior staff attorney? Can these positions be paid hourly instead of a full-time salary?</w:t>
      </w:r>
    </w:p>
    <w:p w:rsidR="00B06706" w:rsidRPr="003C7E17" w:rsidRDefault="009E7931" w:rsidP="006E0979">
      <w:pPr>
        <w:pStyle w:val="s6"/>
        <w:spacing w:before="0" w:beforeAutospacing="0" w:after="120" w:afterAutospacing="0"/>
        <w:ind w:left="720" w:hanging="900"/>
        <w:jc w:val="both"/>
        <w:rPr>
          <w:rStyle w:val="s3"/>
          <w:color w:val="000000" w:themeColor="text1"/>
        </w:rPr>
      </w:pPr>
      <w:r w:rsidRPr="003C7E17">
        <w:rPr>
          <w:rStyle w:val="s3"/>
          <w:color w:val="000000" w:themeColor="text1"/>
        </w:rPr>
        <w:t xml:space="preserve">Answer: </w:t>
      </w:r>
      <w:r w:rsidR="00B06706" w:rsidRPr="003C7E17">
        <w:rPr>
          <w:rStyle w:val="s3"/>
          <w:color w:val="000000" w:themeColor="text1"/>
        </w:rPr>
        <w:t xml:space="preserve">There are no requirements for any positions to be full-time positions (or 1.0 full-time equivalent, FTE), including paralegals, secretaries, and senior attorney staff.   </w:t>
      </w:r>
    </w:p>
    <w:p w:rsidR="00B06706" w:rsidRPr="003C7E17" w:rsidRDefault="00B06706" w:rsidP="006E0979">
      <w:pPr>
        <w:pStyle w:val="s6"/>
        <w:numPr>
          <w:ilvl w:val="0"/>
          <w:numId w:val="11"/>
        </w:numPr>
        <w:tabs>
          <w:tab w:val="clear" w:pos="720"/>
          <w:tab w:val="num" w:pos="-180"/>
        </w:tabs>
        <w:spacing w:before="0" w:beforeAutospacing="0" w:after="120" w:afterAutospacing="0"/>
        <w:ind w:hanging="1440"/>
        <w:jc w:val="both"/>
        <w:rPr>
          <w:rStyle w:val="s3"/>
          <w:color w:val="000000" w:themeColor="text1"/>
        </w:rPr>
      </w:pPr>
      <w:r w:rsidRPr="003C7E17">
        <w:rPr>
          <w:rStyle w:val="s3"/>
          <w:color w:val="000000" w:themeColor="text1"/>
        </w:rPr>
        <w:t xml:space="preserve">Can positions be merged? </w:t>
      </w:r>
      <w:r w:rsidR="0013136B">
        <w:rPr>
          <w:rStyle w:val="s3"/>
          <w:color w:val="000000" w:themeColor="text1"/>
        </w:rPr>
        <w:t xml:space="preserve"> </w:t>
      </w:r>
      <w:r w:rsidRPr="003C7E17">
        <w:rPr>
          <w:rStyle w:val="s3"/>
          <w:color w:val="000000" w:themeColor="text1"/>
        </w:rPr>
        <w:t>For example</w:t>
      </w:r>
      <w:r w:rsidR="003C1C39" w:rsidRPr="003C7E17">
        <w:rPr>
          <w:rStyle w:val="s3"/>
          <w:color w:val="000000" w:themeColor="text1"/>
        </w:rPr>
        <w:t>,</w:t>
      </w:r>
      <w:r w:rsidRPr="003C7E17">
        <w:rPr>
          <w:rStyle w:val="s3"/>
          <w:color w:val="000000" w:themeColor="text1"/>
        </w:rPr>
        <w:t xml:space="preserve"> </w:t>
      </w:r>
      <w:r w:rsidR="00C96A95" w:rsidRPr="003C7E17">
        <w:rPr>
          <w:rStyle w:val="s3"/>
          <w:color w:val="000000" w:themeColor="text1"/>
        </w:rPr>
        <w:t>a</w:t>
      </w:r>
      <w:r w:rsidRPr="003C7E17">
        <w:rPr>
          <w:rStyle w:val="s3"/>
          <w:color w:val="000000" w:themeColor="text1"/>
        </w:rPr>
        <w:t xml:space="preserve"> secretary/paralegal, or </w:t>
      </w:r>
      <w:r w:rsidR="00C96A95" w:rsidRPr="003C7E17">
        <w:rPr>
          <w:rStyle w:val="s3"/>
          <w:color w:val="000000" w:themeColor="text1"/>
        </w:rPr>
        <w:t>a</w:t>
      </w:r>
      <w:r w:rsidRPr="003C7E17">
        <w:rPr>
          <w:rStyle w:val="s3"/>
          <w:color w:val="000000" w:themeColor="text1"/>
        </w:rPr>
        <w:t xml:space="preserve"> administrator/investigator?</w:t>
      </w:r>
    </w:p>
    <w:p w:rsidR="00B212C3" w:rsidRPr="003C7E17" w:rsidRDefault="009E7931" w:rsidP="006E0979">
      <w:pPr>
        <w:autoSpaceDE w:val="0"/>
        <w:autoSpaceDN w:val="0"/>
        <w:adjustRightInd w:val="0"/>
        <w:spacing w:after="240"/>
        <w:ind w:left="720" w:hanging="900"/>
        <w:jc w:val="both"/>
        <w:rPr>
          <w:rStyle w:val="s3"/>
          <w:color w:val="000000" w:themeColor="text1"/>
          <w:sz w:val="24"/>
          <w:szCs w:val="24"/>
        </w:rPr>
      </w:pPr>
      <w:r w:rsidRPr="003C7E17">
        <w:rPr>
          <w:rStyle w:val="s3"/>
          <w:color w:val="000000" w:themeColor="text1"/>
          <w:sz w:val="24"/>
          <w:szCs w:val="24"/>
        </w:rPr>
        <w:t xml:space="preserve">Answer: </w:t>
      </w:r>
      <w:r w:rsidR="00B06706" w:rsidRPr="003C7E17">
        <w:rPr>
          <w:rStyle w:val="s3"/>
          <w:color w:val="000000" w:themeColor="text1"/>
          <w:sz w:val="24"/>
          <w:szCs w:val="24"/>
        </w:rPr>
        <w:t>Yes, positions can be merged.</w:t>
      </w:r>
    </w:p>
    <w:p w:rsidR="00B06706" w:rsidRPr="003C7E17" w:rsidRDefault="00B06706" w:rsidP="006E0979">
      <w:pPr>
        <w:pStyle w:val="ListParagraph"/>
        <w:numPr>
          <w:ilvl w:val="0"/>
          <w:numId w:val="11"/>
        </w:numPr>
        <w:tabs>
          <w:tab w:val="clear" w:pos="720"/>
          <w:tab w:val="num" w:pos="-180"/>
        </w:tabs>
        <w:autoSpaceDE w:val="0"/>
        <w:autoSpaceDN w:val="0"/>
        <w:adjustRightInd w:val="0"/>
        <w:spacing w:after="120"/>
        <w:ind w:left="-180" w:right="275" w:hanging="540"/>
        <w:jc w:val="both"/>
        <w:rPr>
          <w:rStyle w:val="s3"/>
          <w:rFonts w:ascii="Times New Roman" w:hAnsi="Times New Roman"/>
          <w:color w:val="000000" w:themeColor="text1"/>
          <w:sz w:val="24"/>
          <w:szCs w:val="24"/>
        </w:rPr>
      </w:pPr>
      <w:r w:rsidRPr="003C7E17">
        <w:rPr>
          <w:rStyle w:val="s3"/>
          <w:rFonts w:ascii="Times New Roman" w:hAnsi="Times New Roman"/>
          <w:color w:val="000000" w:themeColor="text1"/>
          <w:sz w:val="24"/>
          <w:szCs w:val="24"/>
        </w:rPr>
        <w:t xml:space="preserve">What are examples of contractual non-attorney professional services that are not listed elsewhere in </w:t>
      </w:r>
      <w:r w:rsidRPr="003C7E17">
        <w:rPr>
          <w:rStyle w:val="s3"/>
          <w:rFonts w:ascii="Times New Roman" w:hAnsi="Times New Roman"/>
          <w:i/>
          <w:color w:val="000000" w:themeColor="text1"/>
          <w:sz w:val="24"/>
          <w:szCs w:val="24"/>
        </w:rPr>
        <w:t>Appendix B - Budget Template</w:t>
      </w:r>
      <w:r w:rsidRPr="003C7E17">
        <w:rPr>
          <w:rStyle w:val="s3"/>
          <w:rFonts w:ascii="Times New Roman" w:hAnsi="Times New Roman"/>
          <w:color w:val="000000" w:themeColor="text1"/>
          <w:sz w:val="24"/>
          <w:szCs w:val="24"/>
        </w:rPr>
        <w:t xml:space="preserve">? </w:t>
      </w:r>
    </w:p>
    <w:p w:rsidR="00B06706" w:rsidRPr="003C7E17" w:rsidRDefault="009E7931" w:rsidP="006E0979">
      <w:pPr>
        <w:autoSpaceDE w:val="0"/>
        <w:autoSpaceDN w:val="0"/>
        <w:adjustRightInd w:val="0"/>
        <w:spacing w:after="240"/>
        <w:ind w:left="720" w:hanging="900"/>
        <w:jc w:val="both"/>
        <w:rPr>
          <w:rStyle w:val="s3"/>
          <w:color w:val="000000" w:themeColor="text1"/>
          <w:sz w:val="24"/>
          <w:szCs w:val="24"/>
        </w:rPr>
      </w:pPr>
      <w:r w:rsidRPr="003C7E17">
        <w:rPr>
          <w:rStyle w:val="s3"/>
          <w:color w:val="000000" w:themeColor="text1"/>
          <w:sz w:val="24"/>
          <w:szCs w:val="24"/>
        </w:rPr>
        <w:t xml:space="preserve">Answer: </w:t>
      </w:r>
      <w:r w:rsidR="00B06706" w:rsidRPr="003C7E17">
        <w:rPr>
          <w:rStyle w:val="s3"/>
          <w:color w:val="000000" w:themeColor="text1"/>
          <w:sz w:val="24"/>
          <w:szCs w:val="24"/>
        </w:rPr>
        <w:t xml:space="preserve">Social workers and investigators typically fall into this category, although they may also be listed in the Personnel section of the </w:t>
      </w:r>
      <w:r w:rsidR="00B06706" w:rsidRPr="003C7E17">
        <w:rPr>
          <w:rStyle w:val="s3"/>
          <w:i/>
          <w:color w:val="000000" w:themeColor="text1"/>
          <w:sz w:val="24"/>
          <w:szCs w:val="24"/>
        </w:rPr>
        <w:t>Budget Template</w:t>
      </w:r>
      <w:r w:rsidR="00B06706" w:rsidRPr="003C7E17">
        <w:rPr>
          <w:rStyle w:val="s3"/>
          <w:color w:val="000000" w:themeColor="text1"/>
          <w:sz w:val="24"/>
          <w:szCs w:val="24"/>
        </w:rPr>
        <w:t xml:space="preserve"> depending on the organizational structure being proposed.</w:t>
      </w:r>
    </w:p>
    <w:p w:rsidR="00FA0CAF" w:rsidRPr="003C7E17" w:rsidRDefault="00FA0CAF" w:rsidP="006E0979">
      <w:pPr>
        <w:pStyle w:val="s6"/>
        <w:numPr>
          <w:ilvl w:val="0"/>
          <w:numId w:val="11"/>
        </w:numPr>
        <w:tabs>
          <w:tab w:val="clear" w:pos="720"/>
          <w:tab w:val="num" w:pos="-180"/>
        </w:tabs>
        <w:spacing w:before="0" w:beforeAutospacing="0" w:after="150" w:afterAutospacing="0"/>
        <w:ind w:left="-180" w:hanging="540"/>
        <w:jc w:val="both"/>
        <w:rPr>
          <w:rStyle w:val="s3"/>
          <w:color w:val="000000" w:themeColor="text1"/>
        </w:rPr>
      </w:pPr>
      <w:r w:rsidRPr="003C7E17">
        <w:rPr>
          <w:rStyle w:val="s3"/>
          <w:color w:val="000000" w:themeColor="text1"/>
        </w:rPr>
        <w:t xml:space="preserve">What was the total number of expert witnesses used for each of the last three years through </w:t>
      </w:r>
      <w:r w:rsidR="00E74833" w:rsidRPr="003C7E17">
        <w:rPr>
          <w:rStyle w:val="s3"/>
          <w:color w:val="000000" w:themeColor="text1"/>
        </w:rPr>
        <w:t xml:space="preserve">September </w:t>
      </w:r>
      <w:r w:rsidRPr="003C7E17">
        <w:rPr>
          <w:rStyle w:val="s3"/>
          <w:color w:val="000000" w:themeColor="text1"/>
        </w:rPr>
        <w:t>30</w:t>
      </w:r>
      <w:r w:rsidR="00E74833" w:rsidRPr="003C7E17">
        <w:rPr>
          <w:rStyle w:val="s3"/>
          <w:color w:val="000000" w:themeColor="text1"/>
        </w:rPr>
        <w:t>, 20</w:t>
      </w:r>
      <w:r w:rsidRPr="003C7E17">
        <w:rPr>
          <w:rStyle w:val="s3"/>
          <w:color w:val="000000" w:themeColor="text1"/>
        </w:rPr>
        <w:t>13?</w:t>
      </w:r>
    </w:p>
    <w:p w:rsidR="00FA0CAF" w:rsidRPr="003C7E17" w:rsidRDefault="009E7931" w:rsidP="006E0979">
      <w:pPr>
        <w:autoSpaceDE w:val="0"/>
        <w:autoSpaceDN w:val="0"/>
        <w:adjustRightInd w:val="0"/>
        <w:spacing w:before="9" w:line="260" w:lineRule="exact"/>
        <w:ind w:left="720" w:hanging="900"/>
        <w:jc w:val="both"/>
        <w:rPr>
          <w:rStyle w:val="s3"/>
          <w:color w:val="000000" w:themeColor="text1"/>
          <w:sz w:val="24"/>
          <w:szCs w:val="24"/>
        </w:rPr>
      </w:pPr>
      <w:r w:rsidRPr="003C7E17">
        <w:rPr>
          <w:rStyle w:val="s3"/>
          <w:color w:val="000000" w:themeColor="text1"/>
          <w:sz w:val="24"/>
          <w:szCs w:val="24"/>
        </w:rPr>
        <w:t xml:space="preserve">Answer: </w:t>
      </w:r>
      <w:r w:rsidR="00FA0CAF" w:rsidRPr="003C7E17">
        <w:rPr>
          <w:rStyle w:val="s3"/>
          <w:color w:val="000000" w:themeColor="text1"/>
          <w:sz w:val="24"/>
          <w:szCs w:val="24"/>
        </w:rPr>
        <w:t>Based on information gathered from invoices for expert witness costs submitted to the court and the AOC, the number of cases in which an expert witness was used</w:t>
      </w:r>
      <w:r w:rsidR="00804D1C" w:rsidRPr="003C7E17">
        <w:rPr>
          <w:rStyle w:val="s3"/>
          <w:color w:val="000000" w:themeColor="text1"/>
          <w:sz w:val="24"/>
          <w:szCs w:val="24"/>
        </w:rPr>
        <w:t xml:space="preserve"> </w:t>
      </w:r>
      <w:r w:rsidR="00FA0CAF" w:rsidRPr="003C7E17">
        <w:rPr>
          <w:rStyle w:val="s3"/>
          <w:color w:val="000000" w:themeColor="text1"/>
          <w:sz w:val="24"/>
          <w:szCs w:val="24"/>
        </w:rPr>
        <w:t>and cost information is as follows:</w:t>
      </w:r>
    </w:p>
    <w:p w:rsidR="00FA0CAF" w:rsidRPr="003C7E17" w:rsidRDefault="00FA0CAF" w:rsidP="00FA0CAF">
      <w:pPr>
        <w:autoSpaceDE w:val="0"/>
        <w:autoSpaceDN w:val="0"/>
        <w:adjustRightInd w:val="0"/>
        <w:spacing w:before="9" w:line="260" w:lineRule="exact"/>
        <w:rPr>
          <w:rStyle w:val="s3"/>
          <w:rFonts w:cstheme="minorHAnsi"/>
          <w:color w:val="000000" w:themeColor="text1"/>
        </w:rPr>
      </w:pPr>
    </w:p>
    <w:tbl>
      <w:tblPr>
        <w:tblStyle w:val="TableGrid"/>
        <w:tblW w:w="0" w:type="auto"/>
        <w:tblInd w:w="913" w:type="dxa"/>
        <w:tblLook w:val="04A0"/>
      </w:tblPr>
      <w:tblGrid>
        <w:gridCol w:w="3573"/>
        <w:gridCol w:w="1918"/>
        <w:gridCol w:w="1211"/>
        <w:gridCol w:w="1240"/>
      </w:tblGrid>
      <w:tr w:rsidR="00FA0CAF" w:rsidRPr="003C7E17" w:rsidTr="00804D1C">
        <w:tc>
          <w:tcPr>
            <w:tcW w:w="3573" w:type="dxa"/>
            <w:shd w:val="clear" w:color="auto" w:fill="F2F2F2" w:themeFill="background1" w:themeFillShade="F2"/>
          </w:tcPr>
          <w:p w:rsidR="00FA0CAF" w:rsidRPr="003C7E17" w:rsidRDefault="00FA0CAF" w:rsidP="009C2C6D">
            <w:pPr>
              <w:autoSpaceDE w:val="0"/>
              <w:autoSpaceDN w:val="0"/>
              <w:adjustRightInd w:val="0"/>
              <w:spacing w:before="9" w:line="260" w:lineRule="exact"/>
              <w:ind w:left="-85" w:right="-135"/>
              <w:jc w:val="center"/>
              <w:rPr>
                <w:rStyle w:val="s3"/>
                <w:rFonts w:ascii="Times New Roman" w:hAnsi="Times New Roman"/>
                <w:b/>
                <w:color w:val="000000" w:themeColor="text1"/>
                <w:sz w:val="20"/>
                <w:szCs w:val="20"/>
              </w:rPr>
            </w:pPr>
            <w:r w:rsidRPr="003C7E17">
              <w:rPr>
                <w:rStyle w:val="s3"/>
                <w:rFonts w:ascii="Times New Roman" w:hAnsi="Times New Roman"/>
                <w:b/>
                <w:color w:val="000000" w:themeColor="text1"/>
                <w:sz w:val="20"/>
                <w:szCs w:val="20"/>
              </w:rPr>
              <w:t>Period</w:t>
            </w:r>
          </w:p>
        </w:tc>
        <w:tc>
          <w:tcPr>
            <w:tcW w:w="1918" w:type="dxa"/>
            <w:shd w:val="clear" w:color="auto" w:fill="F2F2F2" w:themeFill="background1" w:themeFillShade="F2"/>
          </w:tcPr>
          <w:p w:rsidR="00FA0CAF" w:rsidRPr="003C7E17" w:rsidRDefault="00FA0CAF" w:rsidP="00FA0CAF">
            <w:pPr>
              <w:autoSpaceDE w:val="0"/>
              <w:autoSpaceDN w:val="0"/>
              <w:adjustRightInd w:val="0"/>
              <w:spacing w:before="9" w:line="260" w:lineRule="exact"/>
              <w:jc w:val="center"/>
              <w:rPr>
                <w:rStyle w:val="s3"/>
                <w:rFonts w:ascii="Times New Roman" w:hAnsi="Times New Roman"/>
                <w:b/>
                <w:color w:val="000000" w:themeColor="text1"/>
                <w:sz w:val="20"/>
                <w:szCs w:val="20"/>
              </w:rPr>
            </w:pPr>
            <w:r w:rsidRPr="003C7E17">
              <w:rPr>
                <w:rStyle w:val="s3"/>
                <w:rFonts w:ascii="Times New Roman" w:hAnsi="Times New Roman"/>
                <w:b/>
                <w:color w:val="000000" w:themeColor="text1"/>
                <w:sz w:val="20"/>
                <w:szCs w:val="20"/>
              </w:rPr>
              <w:t>No. of Cases Using an Expert Witness</w:t>
            </w:r>
          </w:p>
        </w:tc>
        <w:tc>
          <w:tcPr>
            <w:tcW w:w="1211" w:type="dxa"/>
            <w:shd w:val="clear" w:color="auto" w:fill="F2F2F2" w:themeFill="background1" w:themeFillShade="F2"/>
          </w:tcPr>
          <w:p w:rsidR="00FA0CAF" w:rsidRPr="003C7E17" w:rsidRDefault="00FA0CAF" w:rsidP="00FA0CAF">
            <w:pPr>
              <w:autoSpaceDE w:val="0"/>
              <w:autoSpaceDN w:val="0"/>
              <w:adjustRightInd w:val="0"/>
              <w:spacing w:before="9" w:line="260" w:lineRule="exact"/>
              <w:jc w:val="center"/>
              <w:rPr>
                <w:rStyle w:val="s3"/>
                <w:rFonts w:ascii="Times New Roman" w:hAnsi="Times New Roman"/>
                <w:b/>
                <w:color w:val="000000" w:themeColor="text1"/>
                <w:sz w:val="20"/>
                <w:szCs w:val="20"/>
              </w:rPr>
            </w:pPr>
            <w:r w:rsidRPr="003C7E17">
              <w:rPr>
                <w:rStyle w:val="s3"/>
                <w:rFonts w:ascii="Times New Roman" w:hAnsi="Times New Roman"/>
                <w:b/>
                <w:color w:val="000000" w:themeColor="text1"/>
                <w:sz w:val="20"/>
                <w:szCs w:val="20"/>
              </w:rPr>
              <w:t>Avg. Cost per Case</w:t>
            </w:r>
          </w:p>
        </w:tc>
        <w:tc>
          <w:tcPr>
            <w:tcW w:w="1240" w:type="dxa"/>
            <w:shd w:val="clear" w:color="auto" w:fill="F2F2F2" w:themeFill="background1" w:themeFillShade="F2"/>
          </w:tcPr>
          <w:p w:rsidR="00FA0CAF" w:rsidRPr="003C7E17" w:rsidRDefault="00FA0CAF" w:rsidP="00FA0CAF">
            <w:pPr>
              <w:autoSpaceDE w:val="0"/>
              <w:autoSpaceDN w:val="0"/>
              <w:adjustRightInd w:val="0"/>
              <w:spacing w:before="9" w:line="260" w:lineRule="exact"/>
              <w:jc w:val="center"/>
              <w:rPr>
                <w:rStyle w:val="s3"/>
                <w:rFonts w:ascii="Times New Roman" w:hAnsi="Times New Roman"/>
                <w:b/>
                <w:color w:val="000000" w:themeColor="text1"/>
                <w:sz w:val="20"/>
                <w:szCs w:val="20"/>
              </w:rPr>
            </w:pPr>
            <w:r w:rsidRPr="003C7E17">
              <w:rPr>
                <w:rStyle w:val="s3"/>
                <w:rFonts w:ascii="Times New Roman" w:hAnsi="Times New Roman"/>
                <w:b/>
                <w:color w:val="000000" w:themeColor="text1"/>
                <w:sz w:val="20"/>
                <w:szCs w:val="20"/>
              </w:rPr>
              <w:t>Cost Range</w:t>
            </w:r>
          </w:p>
        </w:tc>
      </w:tr>
      <w:tr w:rsidR="00FA0CAF" w:rsidRPr="003C7E17" w:rsidTr="00804D1C">
        <w:tc>
          <w:tcPr>
            <w:tcW w:w="3573" w:type="dxa"/>
          </w:tcPr>
          <w:p w:rsidR="00FA0CAF" w:rsidRPr="003C7E17" w:rsidRDefault="00FA0CAF" w:rsidP="009C2C6D">
            <w:pPr>
              <w:autoSpaceDE w:val="0"/>
              <w:autoSpaceDN w:val="0"/>
              <w:adjustRightInd w:val="0"/>
              <w:spacing w:before="9" w:line="260" w:lineRule="exact"/>
              <w:ind w:left="-85" w:right="-135"/>
              <w:jc w:val="center"/>
              <w:rPr>
                <w:rStyle w:val="s3"/>
                <w:rFonts w:ascii="Times New Roman" w:hAnsi="Times New Roman"/>
                <w:color w:val="000000" w:themeColor="text1"/>
                <w:sz w:val="20"/>
                <w:szCs w:val="20"/>
              </w:rPr>
            </w:pPr>
            <w:r w:rsidRPr="003C7E17">
              <w:rPr>
                <w:rStyle w:val="s3"/>
                <w:rFonts w:ascii="Times New Roman" w:hAnsi="Times New Roman"/>
                <w:color w:val="000000" w:themeColor="text1"/>
                <w:sz w:val="20"/>
                <w:szCs w:val="20"/>
              </w:rPr>
              <w:t>October 1, 2010 – September 30, 2011</w:t>
            </w:r>
          </w:p>
        </w:tc>
        <w:tc>
          <w:tcPr>
            <w:tcW w:w="1918" w:type="dxa"/>
          </w:tcPr>
          <w:p w:rsidR="00FA0CAF" w:rsidRPr="003C7E17" w:rsidRDefault="00FA0CAF" w:rsidP="00FA0CAF">
            <w:pPr>
              <w:autoSpaceDE w:val="0"/>
              <w:autoSpaceDN w:val="0"/>
              <w:adjustRightInd w:val="0"/>
              <w:spacing w:before="9" w:line="260" w:lineRule="exact"/>
              <w:jc w:val="center"/>
              <w:rPr>
                <w:rStyle w:val="s3"/>
                <w:rFonts w:ascii="Times New Roman" w:hAnsi="Times New Roman"/>
                <w:color w:val="000000" w:themeColor="text1"/>
                <w:sz w:val="20"/>
                <w:szCs w:val="20"/>
              </w:rPr>
            </w:pPr>
            <w:r w:rsidRPr="003C7E17">
              <w:rPr>
                <w:rStyle w:val="s3"/>
                <w:rFonts w:ascii="Times New Roman" w:hAnsi="Times New Roman"/>
                <w:color w:val="000000" w:themeColor="text1"/>
                <w:sz w:val="20"/>
                <w:szCs w:val="20"/>
              </w:rPr>
              <w:t>5</w:t>
            </w:r>
          </w:p>
        </w:tc>
        <w:tc>
          <w:tcPr>
            <w:tcW w:w="1211" w:type="dxa"/>
          </w:tcPr>
          <w:p w:rsidR="00FA0CAF" w:rsidRPr="003C7E17" w:rsidRDefault="00FA0CAF" w:rsidP="00FA0CAF">
            <w:pPr>
              <w:autoSpaceDE w:val="0"/>
              <w:autoSpaceDN w:val="0"/>
              <w:adjustRightInd w:val="0"/>
              <w:spacing w:before="9" w:line="260" w:lineRule="exact"/>
              <w:jc w:val="center"/>
              <w:rPr>
                <w:rStyle w:val="s3"/>
                <w:rFonts w:ascii="Times New Roman" w:hAnsi="Times New Roman"/>
                <w:color w:val="000000" w:themeColor="text1"/>
                <w:sz w:val="20"/>
                <w:szCs w:val="20"/>
              </w:rPr>
            </w:pPr>
            <w:r w:rsidRPr="003C7E17">
              <w:rPr>
                <w:rStyle w:val="s3"/>
                <w:rFonts w:ascii="Times New Roman" w:hAnsi="Times New Roman"/>
                <w:color w:val="000000" w:themeColor="text1"/>
                <w:sz w:val="20"/>
                <w:szCs w:val="20"/>
              </w:rPr>
              <w:t>$600</w:t>
            </w:r>
          </w:p>
        </w:tc>
        <w:tc>
          <w:tcPr>
            <w:tcW w:w="1240" w:type="dxa"/>
          </w:tcPr>
          <w:p w:rsidR="00FA0CAF" w:rsidRPr="003C7E17" w:rsidRDefault="00FA0CAF" w:rsidP="00FA0CAF">
            <w:pPr>
              <w:autoSpaceDE w:val="0"/>
              <w:autoSpaceDN w:val="0"/>
              <w:adjustRightInd w:val="0"/>
              <w:spacing w:before="9" w:line="260" w:lineRule="exact"/>
              <w:jc w:val="center"/>
              <w:rPr>
                <w:rStyle w:val="s3"/>
                <w:rFonts w:ascii="Times New Roman" w:hAnsi="Times New Roman"/>
                <w:color w:val="000000" w:themeColor="text1"/>
                <w:sz w:val="20"/>
                <w:szCs w:val="20"/>
              </w:rPr>
            </w:pPr>
            <w:r w:rsidRPr="003C7E17">
              <w:rPr>
                <w:rStyle w:val="s3"/>
                <w:rFonts w:ascii="Times New Roman" w:hAnsi="Times New Roman"/>
                <w:color w:val="000000" w:themeColor="text1"/>
                <w:sz w:val="20"/>
                <w:szCs w:val="20"/>
              </w:rPr>
              <w:t>$500-$750</w:t>
            </w:r>
          </w:p>
        </w:tc>
      </w:tr>
      <w:tr w:rsidR="00FA0CAF" w:rsidRPr="003C7E17" w:rsidTr="00804D1C">
        <w:tc>
          <w:tcPr>
            <w:tcW w:w="3573" w:type="dxa"/>
          </w:tcPr>
          <w:p w:rsidR="00FA0CAF" w:rsidRPr="003C7E17" w:rsidRDefault="00FA0CAF" w:rsidP="009C2C6D">
            <w:pPr>
              <w:autoSpaceDE w:val="0"/>
              <w:autoSpaceDN w:val="0"/>
              <w:adjustRightInd w:val="0"/>
              <w:spacing w:before="9" w:line="260" w:lineRule="exact"/>
              <w:ind w:left="-85" w:right="-135"/>
              <w:jc w:val="center"/>
              <w:rPr>
                <w:rStyle w:val="s3"/>
                <w:rFonts w:ascii="Times New Roman" w:hAnsi="Times New Roman"/>
                <w:color w:val="000000" w:themeColor="text1"/>
                <w:sz w:val="20"/>
                <w:szCs w:val="20"/>
              </w:rPr>
            </w:pPr>
            <w:r w:rsidRPr="003C7E17">
              <w:rPr>
                <w:rStyle w:val="s3"/>
                <w:rFonts w:ascii="Times New Roman" w:hAnsi="Times New Roman"/>
                <w:color w:val="000000" w:themeColor="text1"/>
                <w:sz w:val="20"/>
                <w:szCs w:val="20"/>
              </w:rPr>
              <w:t>October 1, 2011 – September 30, 2012</w:t>
            </w:r>
          </w:p>
        </w:tc>
        <w:tc>
          <w:tcPr>
            <w:tcW w:w="1918" w:type="dxa"/>
          </w:tcPr>
          <w:p w:rsidR="00FA0CAF" w:rsidRPr="003C7E17" w:rsidRDefault="00FA0CAF" w:rsidP="00FA0CAF">
            <w:pPr>
              <w:autoSpaceDE w:val="0"/>
              <w:autoSpaceDN w:val="0"/>
              <w:adjustRightInd w:val="0"/>
              <w:spacing w:before="9" w:line="260" w:lineRule="exact"/>
              <w:jc w:val="center"/>
              <w:rPr>
                <w:rStyle w:val="s3"/>
                <w:rFonts w:ascii="Times New Roman" w:hAnsi="Times New Roman"/>
                <w:color w:val="000000" w:themeColor="text1"/>
                <w:sz w:val="20"/>
                <w:szCs w:val="20"/>
              </w:rPr>
            </w:pPr>
            <w:r w:rsidRPr="003C7E17">
              <w:rPr>
                <w:rStyle w:val="s3"/>
                <w:rFonts w:ascii="Times New Roman" w:hAnsi="Times New Roman"/>
                <w:color w:val="000000" w:themeColor="text1"/>
                <w:sz w:val="20"/>
                <w:szCs w:val="20"/>
              </w:rPr>
              <w:t>6</w:t>
            </w:r>
          </w:p>
        </w:tc>
        <w:tc>
          <w:tcPr>
            <w:tcW w:w="1211" w:type="dxa"/>
          </w:tcPr>
          <w:p w:rsidR="00FA0CAF" w:rsidRPr="003C7E17" w:rsidRDefault="00FA0CAF" w:rsidP="00FA0CAF">
            <w:pPr>
              <w:autoSpaceDE w:val="0"/>
              <w:autoSpaceDN w:val="0"/>
              <w:adjustRightInd w:val="0"/>
              <w:spacing w:before="9" w:line="260" w:lineRule="exact"/>
              <w:jc w:val="center"/>
              <w:rPr>
                <w:rStyle w:val="s3"/>
                <w:rFonts w:ascii="Times New Roman" w:hAnsi="Times New Roman"/>
                <w:color w:val="000000" w:themeColor="text1"/>
                <w:sz w:val="20"/>
                <w:szCs w:val="20"/>
              </w:rPr>
            </w:pPr>
            <w:r w:rsidRPr="003C7E17">
              <w:rPr>
                <w:rStyle w:val="s3"/>
                <w:rFonts w:ascii="Times New Roman" w:hAnsi="Times New Roman"/>
                <w:color w:val="000000" w:themeColor="text1"/>
                <w:sz w:val="20"/>
                <w:szCs w:val="20"/>
              </w:rPr>
              <w:t>$1</w:t>
            </w:r>
            <w:r w:rsidR="00EB1AF5" w:rsidRPr="003C7E17">
              <w:rPr>
                <w:rStyle w:val="s3"/>
                <w:rFonts w:ascii="Times New Roman" w:hAnsi="Times New Roman"/>
                <w:color w:val="000000" w:themeColor="text1"/>
                <w:sz w:val="20"/>
                <w:szCs w:val="20"/>
              </w:rPr>
              <w:t>,</w:t>
            </w:r>
            <w:r w:rsidRPr="003C7E17">
              <w:rPr>
                <w:rStyle w:val="s3"/>
                <w:rFonts w:ascii="Times New Roman" w:hAnsi="Times New Roman"/>
                <w:color w:val="000000" w:themeColor="text1"/>
                <w:sz w:val="20"/>
                <w:szCs w:val="20"/>
              </w:rPr>
              <w:t>493</w:t>
            </w:r>
          </w:p>
        </w:tc>
        <w:tc>
          <w:tcPr>
            <w:tcW w:w="1240" w:type="dxa"/>
          </w:tcPr>
          <w:p w:rsidR="00FA0CAF" w:rsidRPr="003C7E17" w:rsidRDefault="00FA0CAF" w:rsidP="00FA0CAF">
            <w:pPr>
              <w:autoSpaceDE w:val="0"/>
              <w:autoSpaceDN w:val="0"/>
              <w:adjustRightInd w:val="0"/>
              <w:spacing w:before="9" w:line="260" w:lineRule="exact"/>
              <w:jc w:val="center"/>
              <w:rPr>
                <w:rStyle w:val="s3"/>
                <w:rFonts w:ascii="Times New Roman" w:hAnsi="Times New Roman"/>
                <w:color w:val="000000" w:themeColor="text1"/>
                <w:sz w:val="20"/>
                <w:szCs w:val="20"/>
              </w:rPr>
            </w:pPr>
            <w:r w:rsidRPr="003C7E17">
              <w:rPr>
                <w:rStyle w:val="s3"/>
                <w:rFonts w:ascii="Times New Roman" w:hAnsi="Times New Roman"/>
                <w:color w:val="000000" w:themeColor="text1"/>
                <w:sz w:val="20"/>
                <w:szCs w:val="20"/>
              </w:rPr>
              <w:t>$700-$3</w:t>
            </w:r>
            <w:r w:rsidR="00EB1AF5" w:rsidRPr="003C7E17">
              <w:rPr>
                <w:rStyle w:val="s3"/>
                <w:rFonts w:ascii="Times New Roman" w:hAnsi="Times New Roman"/>
                <w:color w:val="000000" w:themeColor="text1"/>
                <w:sz w:val="20"/>
                <w:szCs w:val="20"/>
              </w:rPr>
              <w:t>,</w:t>
            </w:r>
            <w:r w:rsidRPr="003C7E17">
              <w:rPr>
                <w:rStyle w:val="s3"/>
                <w:rFonts w:ascii="Times New Roman" w:hAnsi="Times New Roman"/>
                <w:color w:val="000000" w:themeColor="text1"/>
                <w:sz w:val="20"/>
                <w:szCs w:val="20"/>
              </w:rPr>
              <w:t>700</w:t>
            </w:r>
          </w:p>
        </w:tc>
      </w:tr>
      <w:tr w:rsidR="00FA0CAF" w:rsidRPr="003C7E17" w:rsidTr="00804D1C">
        <w:tc>
          <w:tcPr>
            <w:tcW w:w="3573" w:type="dxa"/>
          </w:tcPr>
          <w:p w:rsidR="00FA0CAF" w:rsidRPr="003C7E17" w:rsidRDefault="00FA0CAF" w:rsidP="009C2C6D">
            <w:pPr>
              <w:autoSpaceDE w:val="0"/>
              <w:autoSpaceDN w:val="0"/>
              <w:adjustRightInd w:val="0"/>
              <w:spacing w:before="9" w:line="260" w:lineRule="exact"/>
              <w:ind w:left="-85" w:right="-135"/>
              <w:jc w:val="center"/>
              <w:rPr>
                <w:rStyle w:val="s3"/>
                <w:rFonts w:ascii="Times New Roman" w:hAnsi="Times New Roman"/>
                <w:color w:val="000000" w:themeColor="text1"/>
                <w:sz w:val="20"/>
                <w:szCs w:val="20"/>
              </w:rPr>
            </w:pPr>
            <w:r w:rsidRPr="003C7E17">
              <w:rPr>
                <w:rStyle w:val="s3"/>
                <w:rFonts w:ascii="Times New Roman" w:hAnsi="Times New Roman"/>
                <w:color w:val="000000" w:themeColor="text1"/>
                <w:sz w:val="20"/>
                <w:szCs w:val="20"/>
              </w:rPr>
              <w:t>October 1, 2012 – September 30, 2013</w:t>
            </w:r>
          </w:p>
        </w:tc>
        <w:tc>
          <w:tcPr>
            <w:tcW w:w="1918" w:type="dxa"/>
          </w:tcPr>
          <w:p w:rsidR="00FA0CAF" w:rsidRPr="003C7E17" w:rsidRDefault="00FA0CAF" w:rsidP="00FA0CAF">
            <w:pPr>
              <w:autoSpaceDE w:val="0"/>
              <w:autoSpaceDN w:val="0"/>
              <w:adjustRightInd w:val="0"/>
              <w:spacing w:before="9" w:line="260" w:lineRule="exact"/>
              <w:jc w:val="center"/>
              <w:rPr>
                <w:rStyle w:val="s3"/>
                <w:rFonts w:ascii="Times New Roman" w:hAnsi="Times New Roman"/>
                <w:color w:val="000000" w:themeColor="text1"/>
                <w:sz w:val="20"/>
                <w:szCs w:val="20"/>
              </w:rPr>
            </w:pPr>
            <w:r w:rsidRPr="003C7E17">
              <w:rPr>
                <w:rStyle w:val="s3"/>
                <w:rFonts w:ascii="Times New Roman" w:hAnsi="Times New Roman"/>
                <w:color w:val="000000" w:themeColor="text1"/>
                <w:sz w:val="20"/>
                <w:szCs w:val="20"/>
              </w:rPr>
              <w:t>1</w:t>
            </w:r>
          </w:p>
        </w:tc>
        <w:tc>
          <w:tcPr>
            <w:tcW w:w="1211" w:type="dxa"/>
          </w:tcPr>
          <w:p w:rsidR="00FA0CAF" w:rsidRPr="003C7E17" w:rsidRDefault="00FA0CAF" w:rsidP="00FA0CAF">
            <w:pPr>
              <w:autoSpaceDE w:val="0"/>
              <w:autoSpaceDN w:val="0"/>
              <w:adjustRightInd w:val="0"/>
              <w:spacing w:before="9" w:line="260" w:lineRule="exact"/>
              <w:jc w:val="center"/>
              <w:rPr>
                <w:rStyle w:val="s3"/>
                <w:rFonts w:ascii="Times New Roman" w:hAnsi="Times New Roman"/>
                <w:color w:val="000000" w:themeColor="text1"/>
                <w:sz w:val="20"/>
                <w:szCs w:val="20"/>
              </w:rPr>
            </w:pPr>
            <w:r w:rsidRPr="003C7E17">
              <w:rPr>
                <w:rStyle w:val="s3"/>
                <w:rFonts w:ascii="Times New Roman" w:hAnsi="Times New Roman"/>
                <w:color w:val="000000" w:themeColor="text1"/>
                <w:sz w:val="20"/>
                <w:szCs w:val="20"/>
              </w:rPr>
              <w:t>$750</w:t>
            </w:r>
          </w:p>
        </w:tc>
        <w:tc>
          <w:tcPr>
            <w:tcW w:w="1240" w:type="dxa"/>
          </w:tcPr>
          <w:p w:rsidR="00FA0CAF" w:rsidRPr="003C7E17" w:rsidRDefault="00FA0CAF" w:rsidP="00FA0CAF">
            <w:pPr>
              <w:autoSpaceDE w:val="0"/>
              <w:autoSpaceDN w:val="0"/>
              <w:adjustRightInd w:val="0"/>
              <w:spacing w:before="9" w:line="260" w:lineRule="exact"/>
              <w:jc w:val="center"/>
              <w:rPr>
                <w:rStyle w:val="s3"/>
                <w:rFonts w:ascii="Times New Roman" w:hAnsi="Times New Roman"/>
                <w:color w:val="000000" w:themeColor="text1"/>
                <w:sz w:val="20"/>
                <w:szCs w:val="20"/>
              </w:rPr>
            </w:pPr>
            <w:r w:rsidRPr="003C7E17">
              <w:rPr>
                <w:rStyle w:val="s3"/>
                <w:rFonts w:ascii="Times New Roman" w:hAnsi="Times New Roman"/>
                <w:color w:val="000000" w:themeColor="text1"/>
                <w:sz w:val="20"/>
                <w:szCs w:val="20"/>
              </w:rPr>
              <w:t>$750</w:t>
            </w:r>
          </w:p>
        </w:tc>
      </w:tr>
    </w:tbl>
    <w:p w:rsidR="00FA0CAF" w:rsidRPr="003C7E17" w:rsidRDefault="00FA0CAF" w:rsidP="00FA0CAF">
      <w:pPr>
        <w:autoSpaceDE w:val="0"/>
        <w:autoSpaceDN w:val="0"/>
        <w:adjustRightInd w:val="0"/>
        <w:spacing w:before="9" w:line="260" w:lineRule="exact"/>
        <w:rPr>
          <w:rStyle w:val="s3"/>
          <w:color w:val="000000" w:themeColor="text1"/>
          <w:sz w:val="16"/>
          <w:szCs w:val="16"/>
        </w:rPr>
      </w:pPr>
      <w:r w:rsidRPr="003C7E17">
        <w:rPr>
          <w:rStyle w:val="s3"/>
          <w:color w:val="000000" w:themeColor="text1"/>
          <w:sz w:val="24"/>
          <w:szCs w:val="24"/>
        </w:rPr>
        <w:t xml:space="preserve">   </w:t>
      </w:r>
    </w:p>
    <w:p w:rsidR="00FA0CAF" w:rsidRPr="003C7E17" w:rsidRDefault="00394EC2" w:rsidP="006E0979">
      <w:pPr>
        <w:autoSpaceDE w:val="0"/>
        <w:autoSpaceDN w:val="0"/>
        <w:adjustRightInd w:val="0"/>
        <w:spacing w:before="9" w:line="260" w:lineRule="exact"/>
        <w:ind w:left="720"/>
        <w:jc w:val="both"/>
        <w:rPr>
          <w:rStyle w:val="s3"/>
          <w:color w:val="000000" w:themeColor="text1"/>
          <w:sz w:val="24"/>
          <w:szCs w:val="24"/>
        </w:rPr>
      </w:pPr>
      <w:r w:rsidRPr="003C7E17">
        <w:rPr>
          <w:rStyle w:val="s3"/>
          <w:color w:val="000000" w:themeColor="text1"/>
          <w:sz w:val="24"/>
          <w:szCs w:val="24"/>
        </w:rPr>
        <w:t>S</w:t>
      </w:r>
      <w:r w:rsidR="00FA0CAF" w:rsidRPr="003C7E17">
        <w:rPr>
          <w:rStyle w:val="s3"/>
          <w:color w:val="000000" w:themeColor="text1"/>
          <w:sz w:val="24"/>
          <w:szCs w:val="24"/>
        </w:rPr>
        <w:t xml:space="preserve">ee </w:t>
      </w:r>
      <w:r w:rsidR="00FA0CAF" w:rsidRPr="003C7E17">
        <w:rPr>
          <w:rStyle w:val="s3"/>
          <w:i/>
          <w:color w:val="000000" w:themeColor="text1"/>
          <w:sz w:val="24"/>
          <w:szCs w:val="24"/>
        </w:rPr>
        <w:t>RFP section 7.2.7</w:t>
      </w:r>
      <w:r w:rsidR="00FA0CAF" w:rsidRPr="003C7E17">
        <w:rPr>
          <w:rStyle w:val="s3"/>
          <w:color w:val="000000" w:themeColor="text1"/>
          <w:sz w:val="24"/>
          <w:szCs w:val="24"/>
        </w:rPr>
        <w:t xml:space="preserve"> for more information regarding reimbursable costs, including expert witness costs.</w:t>
      </w:r>
    </w:p>
    <w:p w:rsidR="00FA0CAF" w:rsidRPr="003C7E17" w:rsidRDefault="00FA0CAF" w:rsidP="006E0979">
      <w:pPr>
        <w:autoSpaceDE w:val="0"/>
        <w:autoSpaceDN w:val="0"/>
        <w:adjustRightInd w:val="0"/>
        <w:spacing w:before="9" w:line="260" w:lineRule="exact"/>
        <w:jc w:val="both"/>
        <w:rPr>
          <w:rStyle w:val="s3"/>
          <w:color w:val="000000" w:themeColor="text1"/>
          <w:sz w:val="24"/>
          <w:szCs w:val="24"/>
        </w:rPr>
      </w:pPr>
    </w:p>
    <w:p w:rsidR="00FA0CAF" w:rsidRPr="003C7E17" w:rsidRDefault="00FA0CAF" w:rsidP="006E0979">
      <w:pPr>
        <w:pStyle w:val="s6"/>
        <w:numPr>
          <w:ilvl w:val="0"/>
          <w:numId w:val="11"/>
        </w:numPr>
        <w:tabs>
          <w:tab w:val="clear" w:pos="720"/>
          <w:tab w:val="num" w:pos="-180"/>
        </w:tabs>
        <w:spacing w:before="0" w:beforeAutospacing="0" w:after="150" w:afterAutospacing="0"/>
        <w:ind w:left="-180" w:hanging="540"/>
        <w:jc w:val="both"/>
        <w:rPr>
          <w:rStyle w:val="s3"/>
          <w:color w:val="000000" w:themeColor="text1"/>
        </w:rPr>
      </w:pPr>
      <w:r w:rsidRPr="003C7E17">
        <w:rPr>
          <w:rStyle w:val="s3"/>
          <w:color w:val="000000" w:themeColor="text1"/>
        </w:rPr>
        <w:t>What is the projected number of expert witnesses that will be needed for each of the two contract years?</w:t>
      </w:r>
    </w:p>
    <w:p w:rsidR="00FA0CAF" w:rsidRPr="003C7E17" w:rsidRDefault="009E7931" w:rsidP="006E0979">
      <w:pPr>
        <w:autoSpaceDE w:val="0"/>
        <w:autoSpaceDN w:val="0"/>
        <w:adjustRightInd w:val="0"/>
        <w:spacing w:after="240"/>
        <w:ind w:left="720" w:hanging="900"/>
        <w:jc w:val="both"/>
        <w:rPr>
          <w:color w:val="000000" w:themeColor="text1"/>
          <w:sz w:val="24"/>
          <w:szCs w:val="24"/>
        </w:rPr>
      </w:pPr>
      <w:r w:rsidRPr="003C7E17">
        <w:rPr>
          <w:rStyle w:val="s3"/>
          <w:color w:val="000000" w:themeColor="text1"/>
          <w:sz w:val="24"/>
          <w:szCs w:val="24"/>
        </w:rPr>
        <w:t xml:space="preserve">Answer: </w:t>
      </w:r>
      <w:r w:rsidR="00804D1C" w:rsidRPr="003C7E17">
        <w:rPr>
          <w:rStyle w:val="s3"/>
          <w:color w:val="000000" w:themeColor="text1"/>
          <w:sz w:val="24"/>
          <w:szCs w:val="24"/>
        </w:rPr>
        <w:t>T</w:t>
      </w:r>
      <w:r w:rsidR="00FA0CAF" w:rsidRPr="003C7E17">
        <w:rPr>
          <w:color w:val="000000" w:themeColor="text1"/>
          <w:sz w:val="24"/>
          <w:szCs w:val="24"/>
        </w:rPr>
        <w:t xml:space="preserve">he use of an expert witness is determined on a </w:t>
      </w:r>
      <w:r w:rsidR="00DF56D6" w:rsidRPr="003C7E17">
        <w:rPr>
          <w:color w:val="000000" w:themeColor="text1"/>
          <w:sz w:val="24"/>
          <w:szCs w:val="24"/>
        </w:rPr>
        <w:t>case-by-case</w:t>
      </w:r>
      <w:r w:rsidR="00FA0CAF" w:rsidRPr="003C7E17">
        <w:rPr>
          <w:color w:val="000000" w:themeColor="text1"/>
          <w:sz w:val="24"/>
          <w:szCs w:val="24"/>
        </w:rPr>
        <w:t xml:space="preserve"> basis</w:t>
      </w:r>
      <w:r w:rsidR="00DF56D6" w:rsidRPr="003C7E17">
        <w:rPr>
          <w:color w:val="000000" w:themeColor="text1"/>
          <w:sz w:val="24"/>
          <w:szCs w:val="24"/>
        </w:rPr>
        <w:t>.</w:t>
      </w:r>
      <w:r w:rsidR="00FA0CAF" w:rsidRPr="003C7E17">
        <w:rPr>
          <w:color w:val="000000" w:themeColor="text1"/>
          <w:sz w:val="24"/>
          <w:szCs w:val="24"/>
        </w:rPr>
        <w:t xml:space="preserve"> </w:t>
      </w:r>
      <w:r w:rsidR="00804D1C" w:rsidRPr="003C7E17">
        <w:rPr>
          <w:color w:val="000000" w:themeColor="text1"/>
          <w:sz w:val="24"/>
          <w:szCs w:val="24"/>
        </w:rPr>
        <w:t>T</w:t>
      </w:r>
      <w:r w:rsidR="00FA0CAF" w:rsidRPr="003C7E17">
        <w:rPr>
          <w:color w:val="000000" w:themeColor="text1"/>
          <w:sz w:val="24"/>
          <w:szCs w:val="24"/>
        </w:rPr>
        <w:t xml:space="preserve">he AOC does not have information regarding the projected number of expert witnesses that will be needed in future years.  However, the AOC generally budgets for these costs based on historical expenditures.  </w:t>
      </w:r>
      <w:r w:rsidR="00394EC2" w:rsidRPr="003C7E17">
        <w:rPr>
          <w:color w:val="000000" w:themeColor="text1"/>
          <w:sz w:val="24"/>
          <w:szCs w:val="24"/>
        </w:rPr>
        <w:t>S</w:t>
      </w:r>
      <w:r w:rsidR="00FA0CAF" w:rsidRPr="003C7E17">
        <w:rPr>
          <w:color w:val="000000" w:themeColor="text1"/>
          <w:sz w:val="24"/>
          <w:szCs w:val="24"/>
        </w:rPr>
        <w:t xml:space="preserve">ee the table in question </w:t>
      </w:r>
      <w:r w:rsidR="007808C8" w:rsidRPr="003C7E17">
        <w:rPr>
          <w:color w:val="000000" w:themeColor="text1"/>
          <w:sz w:val="24"/>
          <w:szCs w:val="24"/>
        </w:rPr>
        <w:t>39</w:t>
      </w:r>
      <w:r w:rsidR="00FA0CAF" w:rsidRPr="003C7E17">
        <w:rPr>
          <w:color w:val="000000" w:themeColor="text1"/>
          <w:sz w:val="24"/>
          <w:szCs w:val="24"/>
        </w:rPr>
        <w:t>, above, for historical data.</w:t>
      </w:r>
    </w:p>
    <w:p w:rsidR="00B010BD" w:rsidRPr="003C7E17" w:rsidRDefault="00B010BD" w:rsidP="006E0979">
      <w:pPr>
        <w:pStyle w:val="s6"/>
        <w:numPr>
          <w:ilvl w:val="0"/>
          <w:numId w:val="12"/>
        </w:numPr>
        <w:tabs>
          <w:tab w:val="clear" w:pos="720"/>
          <w:tab w:val="num" w:pos="-180"/>
        </w:tabs>
        <w:spacing w:before="0" w:beforeAutospacing="0" w:after="150" w:afterAutospacing="0"/>
        <w:ind w:hanging="1440"/>
        <w:jc w:val="both"/>
        <w:rPr>
          <w:rStyle w:val="s3"/>
          <w:color w:val="000000" w:themeColor="text1"/>
        </w:rPr>
      </w:pPr>
      <w:r w:rsidRPr="003C7E17">
        <w:rPr>
          <w:rStyle w:val="s3"/>
          <w:color w:val="000000" w:themeColor="text1"/>
        </w:rPr>
        <w:t>What is the estimate of children (clients) who are in out</w:t>
      </w:r>
      <w:r w:rsidR="00F34921" w:rsidRPr="003C7E17">
        <w:rPr>
          <w:rStyle w:val="s3"/>
          <w:color w:val="000000" w:themeColor="text1"/>
        </w:rPr>
        <w:t>-</w:t>
      </w:r>
      <w:r w:rsidRPr="003C7E17">
        <w:rPr>
          <w:rStyle w:val="s3"/>
          <w:color w:val="000000" w:themeColor="text1"/>
        </w:rPr>
        <w:t>of</w:t>
      </w:r>
      <w:r w:rsidR="00F34921" w:rsidRPr="003C7E17">
        <w:rPr>
          <w:rStyle w:val="s3"/>
          <w:color w:val="000000" w:themeColor="text1"/>
        </w:rPr>
        <w:t>-</w:t>
      </w:r>
      <w:r w:rsidRPr="003C7E17">
        <w:rPr>
          <w:rStyle w:val="s3"/>
          <w:color w:val="000000" w:themeColor="text1"/>
        </w:rPr>
        <w:t>county placements?</w:t>
      </w:r>
    </w:p>
    <w:p w:rsidR="00B010BD" w:rsidRPr="003C7E17" w:rsidRDefault="009E7931" w:rsidP="006E0979">
      <w:pPr>
        <w:pStyle w:val="s6"/>
        <w:spacing w:before="0" w:beforeAutospacing="0" w:after="150" w:afterAutospacing="0"/>
        <w:ind w:left="720" w:hanging="900"/>
        <w:jc w:val="both"/>
        <w:rPr>
          <w:rStyle w:val="s3"/>
          <w:color w:val="000000" w:themeColor="text1"/>
        </w:rPr>
      </w:pPr>
      <w:r w:rsidRPr="003C7E17">
        <w:rPr>
          <w:rStyle w:val="s3"/>
          <w:color w:val="000000" w:themeColor="text1"/>
        </w:rPr>
        <w:t xml:space="preserve">Answer: </w:t>
      </w:r>
      <w:r w:rsidR="00394EC2" w:rsidRPr="003C7E17">
        <w:rPr>
          <w:rStyle w:val="s3"/>
          <w:color w:val="000000" w:themeColor="text1"/>
        </w:rPr>
        <w:t>See</w:t>
      </w:r>
      <w:r w:rsidR="00B010BD" w:rsidRPr="003C7E17">
        <w:rPr>
          <w:rStyle w:val="s3"/>
          <w:color w:val="000000" w:themeColor="text1"/>
        </w:rPr>
        <w:t xml:space="preserve"> the table below for an estimate of children who are out</w:t>
      </w:r>
      <w:r w:rsidR="00F34921" w:rsidRPr="003C7E17">
        <w:rPr>
          <w:rStyle w:val="s3"/>
          <w:color w:val="000000" w:themeColor="text1"/>
        </w:rPr>
        <w:t>-</w:t>
      </w:r>
      <w:r w:rsidR="00B010BD" w:rsidRPr="003C7E17">
        <w:rPr>
          <w:rStyle w:val="s3"/>
          <w:color w:val="000000" w:themeColor="text1"/>
        </w:rPr>
        <w:t>of</w:t>
      </w:r>
      <w:r w:rsidR="00F34921" w:rsidRPr="003C7E17">
        <w:rPr>
          <w:rStyle w:val="s3"/>
          <w:color w:val="000000" w:themeColor="text1"/>
        </w:rPr>
        <w:t>-</w:t>
      </w:r>
      <w:r w:rsidR="00B010BD" w:rsidRPr="003C7E17">
        <w:rPr>
          <w:rStyle w:val="s3"/>
          <w:color w:val="000000" w:themeColor="text1"/>
        </w:rPr>
        <w:t>county placements.</w:t>
      </w:r>
    </w:p>
    <w:p w:rsidR="00F40D9B" w:rsidRPr="003C7E17" w:rsidRDefault="00F40D9B" w:rsidP="00F40D9B">
      <w:pPr>
        <w:pStyle w:val="s6"/>
        <w:spacing w:before="0" w:beforeAutospacing="0" w:after="150" w:afterAutospacing="0"/>
        <w:ind w:left="720" w:hanging="900"/>
        <w:rPr>
          <w:rStyle w:val="s3"/>
          <w:color w:val="000000" w:themeColor="text1"/>
        </w:rPr>
      </w:pPr>
    </w:p>
    <w:p w:rsidR="00057E23" w:rsidRPr="003C7E17" w:rsidRDefault="00057E23" w:rsidP="00B010BD">
      <w:pPr>
        <w:pStyle w:val="s6"/>
        <w:spacing w:before="0" w:beforeAutospacing="0" w:after="150" w:afterAutospacing="0"/>
        <w:rPr>
          <w:rStyle w:val="s3"/>
          <w:b/>
          <w:color w:val="000000" w:themeColor="text1"/>
        </w:rPr>
      </w:pPr>
    </w:p>
    <w:p w:rsidR="00B010BD" w:rsidRPr="003C7E17" w:rsidRDefault="00B010BD" w:rsidP="00B010BD">
      <w:pPr>
        <w:pStyle w:val="s6"/>
        <w:spacing w:before="0" w:beforeAutospacing="0" w:after="150" w:afterAutospacing="0"/>
        <w:rPr>
          <w:rStyle w:val="s3"/>
          <w:b/>
          <w:color w:val="000000" w:themeColor="text1"/>
        </w:rPr>
      </w:pPr>
      <w:r w:rsidRPr="003C7E17">
        <w:rPr>
          <w:rStyle w:val="s3"/>
          <w:b/>
          <w:color w:val="000000" w:themeColor="text1"/>
        </w:rPr>
        <w:lastRenderedPageBreak/>
        <w:t>Out</w:t>
      </w:r>
      <w:r w:rsidR="00F34921" w:rsidRPr="003C7E17">
        <w:rPr>
          <w:rStyle w:val="s3"/>
          <w:b/>
          <w:color w:val="000000" w:themeColor="text1"/>
        </w:rPr>
        <w:t>-</w:t>
      </w:r>
      <w:r w:rsidRPr="003C7E17">
        <w:rPr>
          <w:rStyle w:val="s3"/>
          <w:b/>
          <w:color w:val="000000" w:themeColor="text1"/>
        </w:rPr>
        <w:t>of</w:t>
      </w:r>
      <w:r w:rsidR="00F34921" w:rsidRPr="003C7E17">
        <w:rPr>
          <w:rStyle w:val="s3"/>
          <w:b/>
          <w:color w:val="000000" w:themeColor="text1"/>
        </w:rPr>
        <w:t>-c</w:t>
      </w:r>
      <w:r w:rsidRPr="003C7E17">
        <w:rPr>
          <w:rStyle w:val="s3"/>
          <w:b/>
          <w:color w:val="000000" w:themeColor="text1"/>
        </w:rPr>
        <w:t>ounty Placements as of July 2013</w:t>
      </w:r>
    </w:p>
    <w:tbl>
      <w:tblPr>
        <w:tblW w:w="3870" w:type="dxa"/>
        <w:tblInd w:w="108" w:type="dxa"/>
        <w:tblLook w:val="04A0"/>
      </w:tblPr>
      <w:tblGrid>
        <w:gridCol w:w="1440"/>
        <w:gridCol w:w="2430"/>
      </w:tblGrid>
      <w:tr w:rsidR="00B010BD" w:rsidRPr="003C7E17" w:rsidTr="00F40D9B">
        <w:trPr>
          <w:trHeight w:val="440"/>
        </w:trPr>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010BD" w:rsidRPr="003C7E17" w:rsidRDefault="00B010BD" w:rsidP="00035E41">
            <w:pPr>
              <w:jc w:val="center"/>
              <w:rPr>
                <w:b/>
                <w:bCs/>
                <w:color w:val="000000" w:themeColor="text1"/>
              </w:rPr>
            </w:pPr>
            <w:r w:rsidRPr="003C7E17">
              <w:rPr>
                <w:b/>
                <w:bCs/>
                <w:color w:val="000000" w:themeColor="text1"/>
              </w:rPr>
              <w:t>County</w:t>
            </w:r>
          </w:p>
        </w:tc>
        <w:tc>
          <w:tcPr>
            <w:tcW w:w="2430" w:type="dxa"/>
            <w:tcBorders>
              <w:top w:val="single" w:sz="4" w:space="0" w:color="auto"/>
              <w:left w:val="nil"/>
              <w:bottom w:val="single" w:sz="4" w:space="0" w:color="auto"/>
              <w:right w:val="single" w:sz="4" w:space="0" w:color="auto"/>
            </w:tcBorders>
            <w:shd w:val="clear" w:color="auto" w:fill="F2F2F2" w:themeFill="background1" w:themeFillShade="F2"/>
            <w:hideMark/>
          </w:tcPr>
          <w:p w:rsidR="00B010BD" w:rsidRPr="003C7E17" w:rsidRDefault="00B010BD" w:rsidP="00057E23">
            <w:pPr>
              <w:ind w:left="-108" w:right="-108"/>
              <w:jc w:val="center"/>
              <w:rPr>
                <w:b/>
                <w:bCs/>
                <w:color w:val="000000" w:themeColor="text1"/>
              </w:rPr>
            </w:pPr>
            <w:r w:rsidRPr="003C7E17">
              <w:rPr>
                <w:b/>
                <w:bCs/>
                <w:color w:val="000000" w:themeColor="text1"/>
              </w:rPr>
              <w:t xml:space="preserve">El Dorado Children Placed in </w:t>
            </w:r>
            <w:r w:rsidR="009441C2" w:rsidRPr="003C7E17">
              <w:rPr>
                <w:b/>
                <w:bCs/>
                <w:color w:val="000000" w:themeColor="text1"/>
              </w:rPr>
              <w:t xml:space="preserve">Another </w:t>
            </w:r>
            <w:r w:rsidRPr="003C7E17">
              <w:rPr>
                <w:b/>
                <w:bCs/>
                <w:color w:val="000000" w:themeColor="text1"/>
              </w:rPr>
              <w:t>County</w:t>
            </w:r>
          </w:p>
        </w:tc>
      </w:tr>
      <w:tr w:rsidR="00B010BD" w:rsidRPr="003C7E17" w:rsidTr="00F40D9B">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rsidR="00B010BD" w:rsidRPr="003C7E17" w:rsidRDefault="00B010BD" w:rsidP="00035E41">
            <w:pPr>
              <w:rPr>
                <w:color w:val="000000" w:themeColor="text1"/>
              </w:rPr>
            </w:pPr>
            <w:r w:rsidRPr="003C7E17">
              <w:rPr>
                <w:color w:val="000000" w:themeColor="text1"/>
              </w:rPr>
              <w:t>Amador</w:t>
            </w:r>
          </w:p>
        </w:tc>
        <w:tc>
          <w:tcPr>
            <w:tcW w:w="2430" w:type="dxa"/>
            <w:tcBorders>
              <w:top w:val="nil"/>
              <w:left w:val="nil"/>
              <w:bottom w:val="single" w:sz="4" w:space="0" w:color="auto"/>
              <w:right w:val="single" w:sz="4" w:space="0" w:color="auto"/>
            </w:tcBorders>
            <w:shd w:val="clear" w:color="auto" w:fill="auto"/>
            <w:noWrap/>
            <w:vAlign w:val="center"/>
            <w:hideMark/>
          </w:tcPr>
          <w:p w:rsidR="00B010BD" w:rsidRPr="003C7E17" w:rsidRDefault="00B010BD" w:rsidP="00726162">
            <w:pPr>
              <w:jc w:val="center"/>
              <w:rPr>
                <w:color w:val="000000" w:themeColor="text1"/>
              </w:rPr>
            </w:pPr>
            <w:r w:rsidRPr="003C7E17">
              <w:rPr>
                <w:color w:val="000000" w:themeColor="text1"/>
              </w:rPr>
              <w:t>10.9%</w:t>
            </w:r>
          </w:p>
        </w:tc>
      </w:tr>
      <w:tr w:rsidR="00B010BD" w:rsidRPr="003C7E17" w:rsidTr="00F40D9B">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rsidR="00B010BD" w:rsidRPr="003C7E17" w:rsidRDefault="00B010BD" w:rsidP="00035E41">
            <w:pPr>
              <w:rPr>
                <w:color w:val="000000" w:themeColor="text1"/>
              </w:rPr>
            </w:pPr>
            <w:r w:rsidRPr="003C7E17">
              <w:rPr>
                <w:color w:val="000000" w:themeColor="text1"/>
              </w:rPr>
              <w:t>Sacramento</w:t>
            </w:r>
          </w:p>
        </w:tc>
        <w:tc>
          <w:tcPr>
            <w:tcW w:w="2430" w:type="dxa"/>
            <w:tcBorders>
              <w:top w:val="nil"/>
              <w:left w:val="nil"/>
              <w:bottom w:val="single" w:sz="4" w:space="0" w:color="auto"/>
              <w:right w:val="single" w:sz="4" w:space="0" w:color="auto"/>
            </w:tcBorders>
            <w:shd w:val="clear" w:color="auto" w:fill="auto"/>
            <w:noWrap/>
            <w:vAlign w:val="center"/>
            <w:hideMark/>
          </w:tcPr>
          <w:p w:rsidR="00B010BD" w:rsidRPr="003C7E17" w:rsidRDefault="00B010BD" w:rsidP="00726162">
            <w:pPr>
              <w:jc w:val="center"/>
              <w:rPr>
                <w:color w:val="000000" w:themeColor="text1"/>
              </w:rPr>
            </w:pPr>
            <w:r w:rsidRPr="003C7E17">
              <w:rPr>
                <w:color w:val="000000" w:themeColor="text1"/>
              </w:rPr>
              <w:t>8.4%</w:t>
            </w:r>
          </w:p>
        </w:tc>
      </w:tr>
      <w:tr w:rsidR="00B010BD" w:rsidRPr="003C7E17" w:rsidTr="00F40D9B">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rsidR="00B010BD" w:rsidRPr="003C7E17" w:rsidRDefault="00B010BD" w:rsidP="00035E41">
            <w:pPr>
              <w:rPr>
                <w:color w:val="000000" w:themeColor="text1"/>
              </w:rPr>
            </w:pPr>
            <w:r w:rsidRPr="003C7E17">
              <w:rPr>
                <w:color w:val="000000" w:themeColor="text1"/>
              </w:rPr>
              <w:t>Out of State</w:t>
            </w:r>
          </w:p>
        </w:tc>
        <w:tc>
          <w:tcPr>
            <w:tcW w:w="2430" w:type="dxa"/>
            <w:tcBorders>
              <w:top w:val="nil"/>
              <w:left w:val="nil"/>
              <w:bottom w:val="single" w:sz="4" w:space="0" w:color="auto"/>
              <w:right w:val="single" w:sz="4" w:space="0" w:color="auto"/>
            </w:tcBorders>
            <w:shd w:val="clear" w:color="auto" w:fill="auto"/>
            <w:noWrap/>
            <w:vAlign w:val="center"/>
            <w:hideMark/>
          </w:tcPr>
          <w:p w:rsidR="00B010BD" w:rsidRPr="003C7E17" w:rsidRDefault="00B010BD" w:rsidP="00726162">
            <w:pPr>
              <w:jc w:val="center"/>
              <w:rPr>
                <w:color w:val="000000" w:themeColor="text1"/>
              </w:rPr>
            </w:pPr>
            <w:r w:rsidRPr="003C7E17">
              <w:rPr>
                <w:color w:val="000000" w:themeColor="text1"/>
              </w:rPr>
              <w:t>2.8%</w:t>
            </w:r>
          </w:p>
        </w:tc>
      </w:tr>
      <w:tr w:rsidR="00B010BD" w:rsidRPr="003C7E17" w:rsidTr="00F40D9B">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rsidR="00B010BD" w:rsidRPr="003C7E17" w:rsidRDefault="00B010BD" w:rsidP="00035E41">
            <w:pPr>
              <w:rPr>
                <w:color w:val="000000" w:themeColor="text1"/>
              </w:rPr>
            </w:pPr>
            <w:r w:rsidRPr="003C7E17">
              <w:rPr>
                <w:color w:val="000000" w:themeColor="text1"/>
              </w:rPr>
              <w:t>Calaveras</w:t>
            </w:r>
          </w:p>
        </w:tc>
        <w:tc>
          <w:tcPr>
            <w:tcW w:w="2430" w:type="dxa"/>
            <w:tcBorders>
              <w:top w:val="nil"/>
              <w:left w:val="nil"/>
              <w:bottom w:val="single" w:sz="4" w:space="0" w:color="auto"/>
              <w:right w:val="single" w:sz="4" w:space="0" w:color="auto"/>
            </w:tcBorders>
            <w:shd w:val="clear" w:color="auto" w:fill="auto"/>
            <w:noWrap/>
            <w:vAlign w:val="center"/>
            <w:hideMark/>
          </w:tcPr>
          <w:p w:rsidR="00B010BD" w:rsidRPr="003C7E17" w:rsidRDefault="00B010BD" w:rsidP="00726162">
            <w:pPr>
              <w:jc w:val="center"/>
              <w:rPr>
                <w:color w:val="000000" w:themeColor="text1"/>
              </w:rPr>
            </w:pPr>
            <w:r w:rsidRPr="003C7E17">
              <w:rPr>
                <w:color w:val="000000" w:themeColor="text1"/>
              </w:rPr>
              <w:t>2.2%</w:t>
            </w:r>
          </w:p>
        </w:tc>
      </w:tr>
      <w:tr w:rsidR="00B010BD" w:rsidRPr="003C7E17" w:rsidTr="00F40D9B">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rsidR="00B010BD" w:rsidRPr="003C7E17" w:rsidRDefault="00B010BD" w:rsidP="00035E41">
            <w:pPr>
              <w:rPr>
                <w:color w:val="000000" w:themeColor="text1"/>
              </w:rPr>
            </w:pPr>
            <w:r w:rsidRPr="003C7E17">
              <w:rPr>
                <w:color w:val="000000" w:themeColor="text1"/>
              </w:rPr>
              <w:t>Contra Costa</w:t>
            </w:r>
          </w:p>
        </w:tc>
        <w:tc>
          <w:tcPr>
            <w:tcW w:w="2430" w:type="dxa"/>
            <w:tcBorders>
              <w:top w:val="nil"/>
              <w:left w:val="nil"/>
              <w:bottom w:val="single" w:sz="4" w:space="0" w:color="auto"/>
              <w:right w:val="single" w:sz="4" w:space="0" w:color="auto"/>
            </w:tcBorders>
            <w:shd w:val="clear" w:color="auto" w:fill="auto"/>
            <w:noWrap/>
            <w:vAlign w:val="center"/>
            <w:hideMark/>
          </w:tcPr>
          <w:p w:rsidR="00B010BD" w:rsidRPr="003C7E17" w:rsidRDefault="00B010BD" w:rsidP="00726162">
            <w:pPr>
              <w:jc w:val="center"/>
              <w:rPr>
                <w:color w:val="000000" w:themeColor="text1"/>
              </w:rPr>
            </w:pPr>
            <w:r w:rsidRPr="003C7E17">
              <w:rPr>
                <w:color w:val="000000" w:themeColor="text1"/>
              </w:rPr>
              <w:t>2.2%</w:t>
            </w:r>
          </w:p>
        </w:tc>
      </w:tr>
      <w:tr w:rsidR="00B010BD" w:rsidRPr="003C7E17" w:rsidTr="00F40D9B">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rsidR="00B010BD" w:rsidRPr="003C7E17" w:rsidRDefault="00B010BD" w:rsidP="00035E41">
            <w:pPr>
              <w:rPr>
                <w:color w:val="000000" w:themeColor="text1"/>
              </w:rPr>
            </w:pPr>
            <w:r w:rsidRPr="003C7E17">
              <w:rPr>
                <w:color w:val="000000" w:themeColor="text1"/>
              </w:rPr>
              <w:t>San Joaquin</w:t>
            </w:r>
          </w:p>
        </w:tc>
        <w:tc>
          <w:tcPr>
            <w:tcW w:w="2430" w:type="dxa"/>
            <w:tcBorders>
              <w:top w:val="nil"/>
              <w:left w:val="nil"/>
              <w:bottom w:val="single" w:sz="4" w:space="0" w:color="auto"/>
              <w:right w:val="single" w:sz="4" w:space="0" w:color="auto"/>
            </w:tcBorders>
            <w:shd w:val="clear" w:color="auto" w:fill="auto"/>
            <w:noWrap/>
            <w:vAlign w:val="center"/>
            <w:hideMark/>
          </w:tcPr>
          <w:p w:rsidR="00B010BD" w:rsidRPr="003C7E17" w:rsidRDefault="00B010BD" w:rsidP="00726162">
            <w:pPr>
              <w:jc w:val="center"/>
              <w:rPr>
                <w:color w:val="000000" w:themeColor="text1"/>
              </w:rPr>
            </w:pPr>
            <w:r w:rsidRPr="003C7E17">
              <w:rPr>
                <w:color w:val="000000" w:themeColor="text1"/>
              </w:rPr>
              <w:t>1.9%</w:t>
            </w:r>
          </w:p>
        </w:tc>
      </w:tr>
      <w:tr w:rsidR="00B010BD" w:rsidRPr="003C7E17" w:rsidTr="00F40D9B">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rsidR="00B010BD" w:rsidRPr="003C7E17" w:rsidRDefault="00B010BD" w:rsidP="00035E41">
            <w:pPr>
              <w:rPr>
                <w:color w:val="000000" w:themeColor="text1"/>
              </w:rPr>
            </w:pPr>
            <w:r w:rsidRPr="003C7E17">
              <w:rPr>
                <w:color w:val="000000" w:themeColor="text1"/>
              </w:rPr>
              <w:t>Nevada</w:t>
            </w:r>
          </w:p>
        </w:tc>
        <w:tc>
          <w:tcPr>
            <w:tcW w:w="2430" w:type="dxa"/>
            <w:tcBorders>
              <w:top w:val="nil"/>
              <w:left w:val="nil"/>
              <w:bottom w:val="single" w:sz="4" w:space="0" w:color="auto"/>
              <w:right w:val="single" w:sz="4" w:space="0" w:color="auto"/>
            </w:tcBorders>
            <w:shd w:val="clear" w:color="auto" w:fill="auto"/>
            <w:noWrap/>
            <w:vAlign w:val="center"/>
            <w:hideMark/>
          </w:tcPr>
          <w:p w:rsidR="00B010BD" w:rsidRPr="003C7E17" w:rsidRDefault="00B010BD" w:rsidP="00726162">
            <w:pPr>
              <w:jc w:val="center"/>
              <w:rPr>
                <w:color w:val="000000" w:themeColor="text1"/>
              </w:rPr>
            </w:pPr>
            <w:r w:rsidRPr="003C7E17">
              <w:rPr>
                <w:color w:val="000000" w:themeColor="text1"/>
              </w:rPr>
              <w:t>1.2%</w:t>
            </w:r>
          </w:p>
        </w:tc>
      </w:tr>
      <w:tr w:rsidR="00B010BD" w:rsidRPr="003C7E17" w:rsidTr="00F40D9B">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rsidR="00B010BD" w:rsidRPr="003C7E17" w:rsidRDefault="00B010BD" w:rsidP="00035E41">
            <w:pPr>
              <w:rPr>
                <w:color w:val="000000" w:themeColor="text1"/>
              </w:rPr>
            </w:pPr>
            <w:r w:rsidRPr="003C7E17">
              <w:rPr>
                <w:color w:val="000000" w:themeColor="text1"/>
              </w:rPr>
              <w:t>Solano</w:t>
            </w:r>
          </w:p>
        </w:tc>
        <w:tc>
          <w:tcPr>
            <w:tcW w:w="2430" w:type="dxa"/>
            <w:tcBorders>
              <w:top w:val="nil"/>
              <w:left w:val="nil"/>
              <w:bottom w:val="single" w:sz="4" w:space="0" w:color="auto"/>
              <w:right w:val="single" w:sz="4" w:space="0" w:color="auto"/>
            </w:tcBorders>
            <w:shd w:val="clear" w:color="auto" w:fill="auto"/>
            <w:noWrap/>
            <w:vAlign w:val="center"/>
            <w:hideMark/>
          </w:tcPr>
          <w:p w:rsidR="00B010BD" w:rsidRPr="003C7E17" w:rsidRDefault="00B010BD" w:rsidP="00726162">
            <w:pPr>
              <w:jc w:val="center"/>
              <w:rPr>
                <w:color w:val="000000" w:themeColor="text1"/>
              </w:rPr>
            </w:pPr>
            <w:r w:rsidRPr="003C7E17">
              <w:rPr>
                <w:color w:val="000000" w:themeColor="text1"/>
              </w:rPr>
              <w:t>1.2%</w:t>
            </w:r>
          </w:p>
        </w:tc>
      </w:tr>
      <w:tr w:rsidR="00B010BD" w:rsidRPr="003C7E17" w:rsidTr="00F40D9B">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rsidR="00B010BD" w:rsidRPr="003C7E17" w:rsidRDefault="00B010BD" w:rsidP="00035E41">
            <w:pPr>
              <w:rPr>
                <w:color w:val="000000" w:themeColor="text1"/>
              </w:rPr>
            </w:pPr>
            <w:r w:rsidRPr="003C7E17">
              <w:rPr>
                <w:color w:val="000000" w:themeColor="text1"/>
              </w:rPr>
              <w:t>Yuba</w:t>
            </w:r>
          </w:p>
        </w:tc>
        <w:tc>
          <w:tcPr>
            <w:tcW w:w="2430" w:type="dxa"/>
            <w:tcBorders>
              <w:top w:val="nil"/>
              <w:left w:val="nil"/>
              <w:bottom w:val="single" w:sz="4" w:space="0" w:color="auto"/>
              <w:right w:val="single" w:sz="4" w:space="0" w:color="auto"/>
            </w:tcBorders>
            <w:shd w:val="clear" w:color="auto" w:fill="auto"/>
            <w:noWrap/>
            <w:vAlign w:val="center"/>
            <w:hideMark/>
          </w:tcPr>
          <w:p w:rsidR="00B010BD" w:rsidRPr="003C7E17" w:rsidRDefault="00B010BD" w:rsidP="00726162">
            <w:pPr>
              <w:jc w:val="center"/>
              <w:rPr>
                <w:color w:val="000000" w:themeColor="text1"/>
              </w:rPr>
            </w:pPr>
            <w:r w:rsidRPr="003C7E17">
              <w:rPr>
                <w:color w:val="000000" w:themeColor="text1"/>
              </w:rPr>
              <w:t>1.2%</w:t>
            </w:r>
          </w:p>
        </w:tc>
      </w:tr>
      <w:tr w:rsidR="00B010BD" w:rsidRPr="003C7E17" w:rsidTr="00F40D9B">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rsidR="00B010BD" w:rsidRPr="003C7E17" w:rsidRDefault="00B010BD" w:rsidP="00035E41">
            <w:pPr>
              <w:rPr>
                <w:color w:val="000000" w:themeColor="text1"/>
              </w:rPr>
            </w:pPr>
            <w:r w:rsidRPr="003C7E17">
              <w:rPr>
                <w:color w:val="000000" w:themeColor="text1"/>
              </w:rPr>
              <w:t>Fresno</w:t>
            </w:r>
          </w:p>
        </w:tc>
        <w:tc>
          <w:tcPr>
            <w:tcW w:w="2430" w:type="dxa"/>
            <w:tcBorders>
              <w:top w:val="nil"/>
              <w:left w:val="nil"/>
              <w:bottom w:val="single" w:sz="4" w:space="0" w:color="auto"/>
              <w:right w:val="single" w:sz="4" w:space="0" w:color="auto"/>
            </w:tcBorders>
            <w:shd w:val="clear" w:color="auto" w:fill="auto"/>
            <w:noWrap/>
            <w:vAlign w:val="center"/>
            <w:hideMark/>
          </w:tcPr>
          <w:p w:rsidR="00B010BD" w:rsidRPr="003C7E17" w:rsidRDefault="00B010BD" w:rsidP="00726162">
            <w:pPr>
              <w:jc w:val="center"/>
              <w:rPr>
                <w:color w:val="000000" w:themeColor="text1"/>
              </w:rPr>
            </w:pPr>
            <w:r w:rsidRPr="003C7E17">
              <w:rPr>
                <w:color w:val="000000" w:themeColor="text1"/>
              </w:rPr>
              <w:t>0.9%</w:t>
            </w:r>
          </w:p>
        </w:tc>
      </w:tr>
      <w:tr w:rsidR="00B010BD" w:rsidRPr="003C7E17" w:rsidTr="00F40D9B">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rsidR="00B010BD" w:rsidRPr="003C7E17" w:rsidRDefault="00B010BD" w:rsidP="00035E41">
            <w:pPr>
              <w:rPr>
                <w:color w:val="000000" w:themeColor="text1"/>
              </w:rPr>
            </w:pPr>
            <w:r w:rsidRPr="003C7E17">
              <w:rPr>
                <w:color w:val="000000" w:themeColor="text1"/>
              </w:rPr>
              <w:t>Placer</w:t>
            </w:r>
          </w:p>
        </w:tc>
        <w:tc>
          <w:tcPr>
            <w:tcW w:w="2430" w:type="dxa"/>
            <w:tcBorders>
              <w:top w:val="nil"/>
              <w:left w:val="nil"/>
              <w:bottom w:val="single" w:sz="4" w:space="0" w:color="auto"/>
              <w:right w:val="single" w:sz="4" w:space="0" w:color="auto"/>
            </w:tcBorders>
            <w:shd w:val="clear" w:color="auto" w:fill="auto"/>
            <w:noWrap/>
            <w:vAlign w:val="center"/>
            <w:hideMark/>
          </w:tcPr>
          <w:p w:rsidR="00B010BD" w:rsidRPr="003C7E17" w:rsidRDefault="00B010BD" w:rsidP="00726162">
            <w:pPr>
              <w:jc w:val="center"/>
              <w:rPr>
                <w:color w:val="000000" w:themeColor="text1"/>
              </w:rPr>
            </w:pPr>
            <w:r w:rsidRPr="003C7E17">
              <w:rPr>
                <w:color w:val="000000" w:themeColor="text1"/>
              </w:rPr>
              <w:t>0.9%</w:t>
            </w:r>
          </w:p>
        </w:tc>
      </w:tr>
      <w:tr w:rsidR="00B010BD" w:rsidRPr="003C7E17" w:rsidTr="00F40D9B">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rsidR="00B010BD" w:rsidRPr="003C7E17" w:rsidRDefault="00B010BD" w:rsidP="00035E41">
            <w:pPr>
              <w:rPr>
                <w:color w:val="000000" w:themeColor="text1"/>
              </w:rPr>
            </w:pPr>
            <w:r w:rsidRPr="003C7E17">
              <w:rPr>
                <w:color w:val="000000" w:themeColor="text1"/>
              </w:rPr>
              <w:t>Sutter</w:t>
            </w:r>
          </w:p>
        </w:tc>
        <w:tc>
          <w:tcPr>
            <w:tcW w:w="2430" w:type="dxa"/>
            <w:tcBorders>
              <w:top w:val="nil"/>
              <w:left w:val="nil"/>
              <w:bottom w:val="single" w:sz="4" w:space="0" w:color="auto"/>
              <w:right w:val="single" w:sz="4" w:space="0" w:color="auto"/>
            </w:tcBorders>
            <w:shd w:val="clear" w:color="auto" w:fill="auto"/>
            <w:noWrap/>
            <w:vAlign w:val="center"/>
            <w:hideMark/>
          </w:tcPr>
          <w:p w:rsidR="00B010BD" w:rsidRPr="003C7E17" w:rsidRDefault="00B010BD" w:rsidP="00726162">
            <w:pPr>
              <w:jc w:val="center"/>
              <w:rPr>
                <w:color w:val="000000" w:themeColor="text1"/>
              </w:rPr>
            </w:pPr>
            <w:r w:rsidRPr="003C7E17">
              <w:rPr>
                <w:color w:val="000000" w:themeColor="text1"/>
              </w:rPr>
              <w:t>0.9%</w:t>
            </w:r>
          </w:p>
        </w:tc>
      </w:tr>
      <w:tr w:rsidR="00B010BD" w:rsidRPr="003C7E17" w:rsidTr="00F40D9B">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rsidR="00B010BD" w:rsidRPr="003C7E17" w:rsidRDefault="00B010BD" w:rsidP="00035E41">
            <w:pPr>
              <w:rPr>
                <w:color w:val="000000" w:themeColor="text1"/>
              </w:rPr>
            </w:pPr>
            <w:r w:rsidRPr="003C7E17">
              <w:rPr>
                <w:color w:val="000000" w:themeColor="text1"/>
              </w:rPr>
              <w:t>Ventura</w:t>
            </w:r>
          </w:p>
        </w:tc>
        <w:tc>
          <w:tcPr>
            <w:tcW w:w="2430" w:type="dxa"/>
            <w:tcBorders>
              <w:top w:val="nil"/>
              <w:left w:val="nil"/>
              <w:bottom w:val="single" w:sz="4" w:space="0" w:color="auto"/>
              <w:right w:val="single" w:sz="4" w:space="0" w:color="auto"/>
            </w:tcBorders>
            <w:shd w:val="clear" w:color="auto" w:fill="auto"/>
            <w:noWrap/>
            <w:vAlign w:val="center"/>
            <w:hideMark/>
          </w:tcPr>
          <w:p w:rsidR="00B010BD" w:rsidRPr="003C7E17" w:rsidRDefault="00B010BD" w:rsidP="00726162">
            <w:pPr>
              <w:jc w:val="center"/>
              <w:rPr>
                <w:color w:val="000000" w:themeColor="text1"/>
              </w:rPr>
            </w:pPr>
            <w:r w:rsidRPr="003C7E17">
              <w:rPr>
                <w:color w:val="000000" w:themeColor="text1"/>
              </w:rPr>
              <w:t>0.9%</w:t>
            </w:r>
          </w:p>
        </w:tc>
      </w:tr>
      <w:tr w:rsidR="00B010BD" w:rsidRPr="003C7E17" w:rsidTr="00F40D9B">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rsidR="00B010BD" w:rsidRPr="003C7E17" w:rsidRDefault="00B010BD" w:rsidP="00035E41">
            <w:pPr>
              <w:rPr>
                <w:color w:val="000000" w:themeColor="text1"/>
              </w:rPr>
            </w:pPr>
            <w:r w:rsidRPr="003C7E17">
              <w:rPr>
                <w:color w:val="000000" w:themeColor="text1"/>
              </w:rPr>
              <w:t>Butte</w:t>
            </w:r>
          </w:p>
        </w:tc>
        <w:tc>
          <w:tcPr>
            <w:tcW w:w="2430" w:type="dxa"/>
            <w:tcBorders>
              <w:top w:val="nil"/>
              <w:left w:val="nil"/>
              <w:bottom w:val="single" w:sz="4" w:space="0" w:color="auto"/>
              <w:right w:val="single" w:sz="4" w:space="0" w:color="auto"/>
            </w:tcBorders>
            <w:shd w:val="clear" w:color="auto" w:fill="auto"/>
            <w:noWrap/>
            <w:vAlign w:val="center"/>
            <w:hideMark/>
          </w:tcPr>
          <w:p w:rsidR="00B010BD" w:rsidRPr="003C7E17" w:rsidRDefault="00B010BD" w:rsidP="00726162">
            <w:pPr>
              <w:jc w:val="center"/>
              <w:rPr>
                <w:color w:val="000000" w:themeColor="text1"/>
              </w:rPr>
            </w:pPr>
            <w:r w:rsidRPr="003C7E17">
              <w:rPr>
                <w:color w:val="000000" w:themeColor="text1"/>
              </w:rPr>
              <w:t>0.6%</w:t>
            </w:r>
          </w:p>
        </w:tc>
      </w:tr>
      <w:tr w:rsidR="00B010BD" w:rsidRPr="003C7E17" w:rsidTr="00F40D9B">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rsidR="00B010BD" w:rsidRPr="003C7E17" w:rsidRDefault="00B010BD" w:rsidP="00035E41">
            <w:pPr>
              <w:rPr>
                <w:color w:val="000000" w:themeColor="text1"/>
              </w:rPr>
            </w:pPr>
            <w:r w:rsidRPr="003C7E17">
              <w:rPr>
                <w:color w:val="000000" w:themeColor="text1"/>
              </w:rPr>
              <w:t>San Luis Obispo</w:t>
            </w:r>
          </w:p>
        </w:tc>
        <w:tc>
          <w:tcPr>
            <w:tcW w:w="2430" w:type="dxa"/>
            <w:tcBorders>
              <w:top w:val="nil"/>
              <w:left w:val="nil"/>
              <w:bottom w:val="single" w:sz="4" w:space="0" w:color="auto"/>
              <w:right w:val="single" w:sz="4" w:space="0" w:color="auto"/>
            </w:tcBorders>
            <w:shd w:val="clear" w:color="auto" w:fill="auto"/>
            <w:noWrap/>
            <w:vAlign w:val="center"/>
            <w:hideMark/>
          </w:tcPr>
          <w:p w:rsidR="00B010BD" w:rsidRPr="003C7E17" w:rsidRDefault="00B010BD" w:rsidP="00726162">
            <w:pPr>
              <w:jc w:val="center"/>
              <w:rPr>
                <w:color w:val="000000" w:themeColor="text1"/>
              </w:rPr>
            </w:pPr>
            <w:r w:rsidRPr="003C7E17">
              <w:rPr>
                <w:color w:val="000000" w:themeColor="text1"/>
              </w:rPr>
              <w:t>0.6%</w:t>
            </w:r>
          </w:p>
        </w:tc>
      </w:tr>
      <w:tr w:rsidR="00B010BD" w:rsidRPr="003C7E17" w:rsidTr="00F40D9B">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rsidR="00B010BD" w:rsidRPr="003C7E17" w:rsidRDefault="00B010BD" w:rsidP="00035E41">
            <w:pPr>
              <w:rPr>
                <w:color w:val="000000" w:themeColor="text1"/>
              </w:rPr>
            </w:pPr>
            <w:r w:rsidRPr="003C7E17">
              <w:rPr>
                <w:color w:val="000000" w:themeColor="text1"/>
              </w:rPr>
              <w:t>Shasta</w:t>
            </w:r>
          </w:p>
        </w:tc>
        <w:tc>
          <w:tcPr>
            <w:tcW w:w="2430" w:type="dxa"/>
            <w:tcBorders>
              <w:top w:val="nil"/>
              <w:left w:val="nil"/>
              <w:bottom w:val="single" w:sz="4" w:space="0" w:color="auto"/>
              <w:right w:val="single" w:sz="4" w:space="0" w:color="auto"/>
            </w:tcBorders>
            <w:shd w:val="clear" w:color="auto" w:fill="auto"/>
            <w:noWrap/>
            <w:vAlign w:val="center"/>
            <w:hideMark/>
          </w:tcPr>
          <w:p w:rsidR="00B010BD" w:rsidRPr="003C7E17" w:rsidRDefault="00B010BD" w:rsidP="00726162">
            <w:pPr>
              <w:jc w:val="center"/>
              <w:rPr>
                <w:color w:val="000000" w:themeColor="text1"/>
              </w:rPr>
            </w:pPr>
            <w:r w:rsidRPr="003C7E17">
              <w:rPr>
                <w:color w:val="000000" w:themeColor="text1"/>
              </w:rPr>
              <w:t>0.6%</w:t>
            </w:r>
          </w:p>
        </w:tc>
      </w:tr>
      <w:tr w:rsidR="00B010BD" w:rsidRPr="003C7E17" w:rsidTr="00F40D9B">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rsidR="00B010BD" w:rsidRPr="003C7E17" w:rsidRDefault="00B010BD" w:rsidP="00035E41">
            <w:pPr>
              <w:rPr>
                <w:color w:val="000000" w:themeColor="text1"/>
              </w:rPr>
            </w:pPr>
            <w:r w:rsidRPr="003C7E17">
              <w:rPr>
                <w:color w:val="000000" w:themeColor="text1"/>
              </w:rPr>
              <w:t>Sonoma</w:t>
            </w:r>
          </w:p>
        </w:tc>
        <w:tc>
          <w:tcPr>
            <w:tcW w:w="2430" w:type="dxa"/>
            <w:tcBorders>
              <w:top w:val="nil"/>
              <w:left w:val="nil"/>
              <w:bottom w:val="single" w:sz="4" w:space="0" w:color="auto"/>
              <w:right w:val="single" w:sz="4" w:space="0" w:color="auto"/>
            </w:tcBorders>
            <w:shd w:val="clear" w:color="auto" w:fill="auto"/>
            <w:noWrap/>
            <w:vAlign w:val="center"/>
            <w:hideMark/>
          </w:tcPr>
          <w:p w:rsidR="00B010BD" w:rsidRPr="003C7E17" w:rsidRDefault="00B010BD" w:rsidP="00726162">
            <w:pPr>
              <w:jc w:val="center"/>
              <w:rPr>
                <w:color w:val="000000" w:themeColor="text1"/>
              </w:rPr>
            </w:pPr>
            <w:r w:rsidRPr="003C7E17">
              <w:rPr>
                <w:color w:val="000000" w:themeColor="text1"/>
              </w:rPr>
              <w:t>0.3%</w:t>
            </w:r>
          </w:p>
        </w:tc>
      </w:tr>
    </w:tbl>
    <w:p w:rsidR="00B010BD" w:rsidRPr="003C7E17" w:rsidRDefault="00B010BD" w:rsidP="00B010BD">
      <w:pPr>
        <w:pStyle w:val="s6"/>
        <w:spacing w:before="0" w:beforeAutospacing="0" w:after="0" w:afterAutospacing="0"/>
        <w:rPr>
          <w:color w:val="000000" w:themeColor="text1"/>
          <w:sz w:val="20"/>
          <w:szCs w:val="20"/>
        </w:rPr>
      </w:pPr>
      <w:r w:rsidRPr="003C7E17">
        <w:rPr>
          <w:color w:val="000000" w:themeColor="text1"/>
          <w:sz w:val="20"/>
          <w:szCs w:val="20"/>
        </w:rPr>
        <w:t>Data Source: CWS/CMS 2013 Quarter 2 Extract</w:t>
      </w:r>
    </w:p>
    <w:p w:rsidR="00A40292" w:rsidRPr="003C7E17" w:rsidRDefault="00A40292" w:rsidP="00B010BD">
      <w:pPr>
        <w:pStyle w:val="s6"/>
        <w:spacing w:before="0" w:beforeAutospacing="0" w:after="0" w:afterAutospacing="0"/>
        <w:rPr>
          <w:color w:val="000000" w:themeColor="text1"/>
          <w:sz w:val="20"/>
          <w:szCs w:val="20"/>
        </w:rPr>
      </w:pPr>
    </w:p>
    <w:p w:rsidR="00B010BD" w:rsidRPr="003C7E17" w:rsidRDefault="00716F44" w:rsidP="00B010BD">
      <w:pPr>
        <w:pStyle w:val="s6"/>
        <w:spacing w:before="0" w:beforeAutospacing="0" w:after="150" w:afterAutospacing="0"/>
        <w:rPr>
          <w:rStyle w:val="s3"/>
          <w:color w:val="000000" w:themeColor="text1"/>
        </w:rPr>
      </w:pPr>
      <w:hyperlink r:id="rId16" w:history="1">
        <w:r w:rsidR="00B010BD" w:rsidRPr="003C7E17">
          <w:rPr>
            <w:rStyle w:val="Hyperlink"/>
            <w:color w:val="000000" w:themeColor="text1"/>
            <w:sz w:val="22"/>
            <w:szCs w:val="22"/>
          </w:rPr>
          <w:t>http://cssr.berkeley.edu/CWSCMSreports/Pointintime/fostercare/childwel/grids/data/grid_sXr_jul2013_0.html</w:t>
        </w:r>
      </w:hyperlink>
    </w:p>
    <w:p w:rsidR="00B010BD" w:rsidRPr="003C7E17" w:rsidRDefault="00B010BD" w:rsidP="006E0979">
      <w:pPr>
        <w:pStyle w:val="s6"/>
        <w:numPr>
          <w:ilvl w:val="0"/>
          <w:numId w:val="12"/>
        </w:numPr>
        <w:tabs>
          <w:tab w:val="clear" w:pos="720"/>
          <w:tab w:val="num" w:pos="-180"/>
        </w:tabs>
        <w:spacing w:before="0" w:beforeAutospacing="0" w:after="150" w:afterAutospacing="0"/>
        <w:ind w:left="-180" w:hanging="540"/>
        <w:jc w:val="both"/>
        <w:rPr>
          <w:rStyle w:val="s3"/>
          <w:color w:val="000000" w:themeColor="text1"/>
        </w:rPr>
      </w:pPr>
      <w:r w:rsidRPr="003C7E17">
        <w:rPr>
          <w:rStyle w:val="s3"/>
          <w:color w:val="000000" w:themeColor="text1"/>
        </w:rPr>
        <w:t>What w</w:t>
      </w:r>
      <w:r w:rsidR="00D61B81">
        <w:rPr>
          <w:rStyle w:val="s3"/>
          <w:color w:val="000000" w:themeColor="text1"/>
        </w:rPr>
        <w:t>ere</w:t>
      </w:r>
      <w:r w:rsidRPr="003C7E17">
        <w:rPr>
          <w:rStyle w:val="s3"/>
          <w:color w:val="000000" w:themeColor="text1"/>
        </w:rPr>
        <w:t xml:space="preserve"> the total number of times in a year that out</w:t>
      </w:r>
      <w:r w:rsidRPr="003C7E17">
        <w:rPr>
          <w:rStyle w:val="s3"/>
          <w:rFonts w:ascii="Cambria Math" w:hAnsi="Cambria Math"/>
          <w:color w:val="000000" w:themeColor="text1"/>
        </w:rPr>
        <w:t>‐</w:t>
      </w:r>
      <w:r w:rsidRPr="003C7E17">
        <w:rPr>
          <w:rStyle w:val="s3"/>
          <w:color w:val="000000" w:themeColor="text1"/>
        </w:rPr>
        <w:t>of</w:t>
      </w:r>
      <w:r w:rsidRPr="003C7E17">
        <w:rPr>
          <w:rStyle w:val="s3"/>
          <w:rFonts w:ascii="Cambria Math" w:hAnsi="Cambria Math"/>
          <w:color w:val="000000" w:themeColor="text1"/>
        </w:rPr>
        <w:t>‐</w:t>
      </w:r>
      <w:r w:rsidRPr="003C7E17">
        <w:rPr>
          <w:rStyle w:val="s3"/>
          <w:color w:val="000000" w:themeColor="text1"/>
        </w:rPr>
        <w:t>county and out</w:t>
      </w:r>
      <w:r w:rsidRPr="003C7E17">
        <w:rPr>
          <w:rStyle w:val="s3"/>
          <w:rFonts w:ascii="Cambria Math" w:hAnsi="Cambria Math"/>
          <w:color w:val="000000" w:themeColor="text1"/>
        </w:rPr>
        <w:t>‐</w:t>
      </w:r>
      <w:r w:rsidRPr="003C7E17">
        <w:rPr>
          <w:rStyle w:val="s3"/>
          <w:color w:val="000000" w:themeColor="text1"/>
        </w:rPr>
        <w:t>of</w:t>
      </w:r>
      <w:r w:rsidRPr="003C7E17">
        <w:rPr>
          <w:rStyle w:val="s3"/>
          <w:rFonts w:ascii="Cambria Math" w:hAnsi="Cambria Math"/>
          <w:color w:val="000000" w:themeColor="text1"/>
        </w:rPr>
        <w:t>‐</w:t>
      </w:r>
      <w:r w:rsidRPr="003C7E17">
        <w:rPr>
          <w:rStyle w:val="s3"/>
          <w:color w:val="000000" w:themeColor="text1"/>
        </w:rPr>
        <w:t>state travel w</w:t>
      </w:r>
      <w:r w:rsidR="00DF56D6" w:rsidRPr="003C7E17">
        <w:rPr>
          <w:rStyle w:val="s3"/>
          <w:color w:val="000000" w:themeColor="text1"/>
        </w:rPr>
        <w:t>ere</w:t>
      </w:r>
      <w:r w:rsidRPr="003C7E17">
        <w:rPr>
          <w:rStyle w:val="s3"/>
          <w:color w:val="000000" w:themeColor="text1"/>
        </w:rPr>
        <w:t xml:space="preserve"> needed for each of the last three years through </w:t>
      </w:r>
      <w:r w:rsidR="00057E23" w:rsidRPr="003C7E17">
        <w:rPr>
          <w:rStyle w:val="s3"/>
          <w:color w:val="000000" w:themeColor="text1"/>
        </w:rPr>
        <w:t xml:space="preserve">September </w:t>
      </w:r>
      <w:r w:rsidRPr="003C7E17">
        <w:rPr>
          <w:rStyle w:val="s3"/>
          <w:color w:val="000000" w:themeColor="text1"/>
        </w:rPr>
        <w:t>30</w:t>
      </w:r>
      <w:r w:rsidR="00057E23" w:rsidRPr="003C7E17">
        <w:rPr>
          <w:rStyle w:val="s3"/>
          <w:color w:val="000000" w:themeColor="text1"/>
        </w:rPr>
        <w:t>, 20</w:t>
      </w:r>
      <w:r w:rsidRPr="003C7E17">
        <w:rPr>
          <w:rStyle w:val="s3"/>
          <w:color w:val="000000" w:themeColor="text1"/>
        </w:rPr>
        <w:t>13?  To what states was travel required?</w:t>
      </w:r>
    </w:p>
    <w:p w:rsidR="00B010BD" w:rsidRPr="003C7E17" w:rsidRDefault="009E7931" w:rsidP="006E0979">
      <w:pPr>
        <w:pStyle w:val="s6"/>
        <w:spacing w:before="0" w:beforeAutospacing="0" w:after="150" w:afterAutospacing="0"/>
        <w:ind w:left="720" w:hanging="900"/>
        <w:jc w:val="both"/>
        <w:rPr>
          <w:rStyle w:val="s3"/>
          <w:color w:val="000000" w:themeColor="text1"/>
        </w:rPr>
      </w:pPr>
      <w:r w:rsidRPr="003C7E17">
        <w:rPr>
          <w:rStyle w:val="s3"/>
          <w:color w:val="000000" w:themeColor="text1"/>
        </w:rPr>
        <w:t xml:space="preserve">Answer: </w:t>
      </w:r>
      <w:r w:rsidR="00B010BD" w:rsidRPr="003C7E17">
        <w:rPr>
          <w:rStyle w:val="s3"/>
          <w:color w:val="000000" w:themeColor="text1"/>
        </w:rPr>
        <w:t>Based on a review of invoices submitted to the AOC by current contractors, no out-of-state travel was billed to the AOC in the last three years.</w:t>
      </w:r>
    </w:p>
    <w:p w:rsidR="00B010BD" w:rsidRPr="003C7E17" w:rsidRDefault="00DE24D0" w:rsidP="006E0979">
      <w:pPr>
        <w:pStyle w:val="s6"/>
        <w:spacing w:before="0" w:beforeAutospacing="0" w:after="150" w:afterAutospacing="0"/>
        <w:ind w:left="720" w:hanging="900"/>
        <w:jc w:val="both"/>
        <w:rPr>
          <w:rStyle w:val="s3"/>
          <w:color w:val="000000" w:themeColor="text1"/>
        </w:rPr>
      </w:pPr>
      <w:r w:rsidRPr="003C7E17">
        <w:rPr>
          <w:rStyle w:val="s3"/>
          <w:color w:val="000000" w:themeColor="text1"/>
        </w:rPr>
        <w:tab/>
      </w:r>
      <w:r w:rsidR="00B010BD" w:rsidRPr="003C7E17">
        <w:rPr>
          <w:rStyle w:val="s3"/>
          <w:color w:val="000000" w:themeColor="text1"/>
        </w:rPr>
        <w:t xml:space="preserve">The AOC does not have information regarding the number of times out-of-county travel was needed.  However, proposers may consider the table in question </w:t>
      </w:r>
      <w:r w:rsidR="00367A8B" w:rsidRPr="003C7E17">
        <w:rPr>
          <w:rStyle w:val="s3"/>
          <w:color w:val="000000" w:themeColor="text1"/>
        </w:rPr>
        <w:t>41</w:t>
      </w:r>
      <w:r w:rsidR="00B010BD" w:rsidRPr="003C7E17">
        <w:rPr>
          <w:rStyle w:val="s3"/>
          <w:color w:val="000000" w:themeColor="text1"/>
        </w:rPr>
        <w:t xml:space="preserve"> to gauge the amount of out-of-county travel that may be needed. </w:t>
      </w:r>
    </w:p>
    <w:p w:rsidR="00B010BD" w:rsidRPr="003C7E17" w:rsidRDefault="00B010BD" w:rsidP="005E244E">
      <w:pPr>
        <w:pStyle w:val="s6"/>
        <w:numPr>
          <w:ilvl w:val="0"/>
          <w:numId w:val="12"/>
        </w:numPr>
        <w:tabs>
          <w:tab w:val="clear" w:pos="720"/>
          <w:tab w:val="num" w:pos="-180"/>
        </w:tabs>
        <w:spacing w:before="0" w:beforeAutospacing="0" w:after="150" w:afterAutospacing="0"/>
        <w:ind w:left="-180" w:hanging="540"/>
        <w:jc w:val="both"/>
        <w:rPr>
          <w:rStyle w:val="s3"/>
          <w:color w:val="000000" w:themeColor="text1"/>
        </w:rPr>
      </w:pPr>
      <w:r w:rsidRPr="003C7E17">
        <w:rPr>
          <w:rStyle w:val="s3"/>
          <w:color w:val="000000" w:themeColor="text1"/>
        </w:rPr>
        <w:t xml:space="preserve">What </w:t>
      </w:r>
      <w:r w:rsidR="00D61B81">
        <w:rPr>
          <w:rStyle w:val="s3"/>
          <w:color w:val="000000" w:themeColor="text1"/>
        </w:rPr>
        <w:t>are</w:t>
      </w:r>
      <w:r w:rsidRPr="003C7E17">
        <w:rPr>
          <w:rStyle w:val="s3"/>
          <w:color w:val="000000" w:themeColor="text1"/>
        </w:rPr>
        <w:t xml:space="preserve"> the projected number of times out</w:t>
      </w:r>
      <w:r w:rsidRPr="003C7E17">
        <w:rPr>
          <w:rStyle w:val="s3"/>
          <w:rFonts w:ascii="Cambria Math" w:hAnsi="Cambria Math"/>
          <w:color w:val="000000" w:themeColor="text1"/>
        </w:rPr>
        <w:t>‐</w:t>
      </w:r>
      <w:r w:rsidRPr="003C7E17">
        <w:rPr>
          <w:rStyle w:val="s3"/>
          <w:color w:val="000000" w:themeColor="text1"/>
        </w:rPr>
        <w:t>of</w:t>
      </w:r>
      <w:r w:rsidRPr="003C7E17">
        <w:rPr>
          <w:rStyle w:val="s3"/>
          <w:rFonts w:ascii="Cambria Math" w:hAnsi="Cambria Math"/>
          <w:color w:val="000000" w:themeColor="text1"/>
        </w:rPr>
        <w:t>‐</w:t>
      </w:r>
      <w:r w:rsidRPr="003C7E17">
        <w:rPr>
          <w:rStyle w:val="s3"/>
          <w:color w:val="000000" w:themeColor="text1"/>
        </w:rPr>
        <w:t>county and out</w:t>
      </w:r>
      <w:r w:rsidRPr="003C7E17">
        <w:rPr>
          <w:rStyle w:val="s3"/>
          <w:rFonts w:ascii="Cambria Math" w:hAnsi="Cambria Math"/>
          <w:color w:val="000000" w:themeColor="text1"/>
        </w:rPr>
        <w:t>‐</w:t>
      </w:r>
      <w:r w:rsidRPr="003C7E17">
        <w:rPr>
          <w:rStyle w:val="s3"/>
          <w:color w:val="000000" w:themeColor="text1"/>
        </w:rPr>
        <w:t>of</w:t>
      </w:r>
      <w:r w:rsidRPr="003C7E17">
        <w:rPr>
          <w:rStyle w:val="s3"/>
          <w:rFonts w:ascii="Cambria Math" w:hAnsi="Cambria Math"/>
          <w:color w:val="000000" w:themeColor="text1"/>
        </w:rPr>
        <w:t>‐</w:t>
      </w:r>
      <w:r w:rsidRPr="003C7E17">
        <w:rPr>
          <w:rStyle w:val="s3"/>
          <w:color w:val="000000" w:themeColor="text1"/>
        </w:rPr>
        <w:t xml:space="preserve">state travel will be needed for each of the two </w:t>
      </w:r>
      <w:r w:rsidR="00210814" w:rsidRPr="003C7E17">
        <w:rPr>
          <w:rStyle w:val="s3"/>
          <w:color w:val="000000" w:themeColor="text1"/>
        </w:rPr>
        <w:t xml:space="preserve">(2) </w:t>
      </w:r>
      <w:r w:rsidRPr="003C7E17">
        <w:rPr>
          <w:rStyle w:val="s3"/>
          <w:color w:val="000000" w:themeColor="text1"/>
        </w:rPr>
        <w:t>contract years?</w:t>
      </w:r>
    </w:p>
    <w:p w:rsidR="00B010BD" w:rsidRPr="003C7E17" w:rsidRDefault="009E7931" w:rsidP="00CF25E2">
      <w:pPr>
        <w:pStyle w:val="s6"/>
        <w:spacing w:before="0" w:beforeAutospacing="0" w:after="150" w:afterAutospacing="0"/>
        <w:ind w:left="720" w:hanging="900"/>
        <w:jc w:val="both"/>
        <w:rPr>
          <w:color w:val="000000" w:themeColor="text1"/>
        </w:rPr>
      </w:pPr>
      <w:r w:rsidRPr="003C7E17">
        <w:rPr>
          <w:rStyle w:val="s3"/>
          <w:color w:val="000000" w:themeColor="text1"/>
        </w:rPr>
        <w:t xml:space="preserve">Answer: </w:t>
      </w:r>
      <w:r w:rsidR="00B010BD" w:rsidRPr="003C7E17">
        <w:rPr>
          <w:color w:val="000000" w:themeColor="text1"/>
        </w:rPr>
        <w:t xml:space="preserve">The AOC does not have information regarding the projected number of times that out-of-county or out-of-state travel will be needed in future years.  However, proposers may review the information in question </w:t>
      </w:r>
      <w:r w:rsidR="009553DF" w:rsidRPr="003C7E17">
        <w:rPr>
          <w:color w:val="000000" w:themeColor="text1"/>
        </w:rPr>
        <w:t>41</w:t>
      </w:r>
      <w:r w:rsidR="00B010BD" w:rsidRPr="003C7E17">
        <w:rPr>
          <w:color w:val="000000" w:themeColor="text1"/>
        </w:rPr>
        <w:t>, above, to determine their own projections.</w:t>
      </w:r>
    </w:p>
    <w:p w:rsidR="00B010BD" w:rsidRPr="003C7E17" w:rsidRDefault="00B010BD" w:rsidP="00CF25E2">
      <w:pPr>
        <w:pStyle w:val="s6"/>
        <w:numPr>
          <w:ilvl w:val="0"/>
          <w:numId w:val="12"/>
        </w:numPr>
        <w:tabs>
          <w:tab w:val="clear" w:pos="720"/>
          <w:tab w:val="num" w:pos="-180"/>
        </w:tabs>
        <w:spacing w:before="0" w:beforeAutospacing="0" w:after="150" w:afterAutospacing="0"/>
        <w:ind w:left="-180" w:hanging="540"/>
        <w:jc w:val="both"/>
        <w:rPr>
          <w:rStyle w:val="s3"/>
          <w:color w:val="000000" w:themeColor="text1"/>
        </w:rPr>
      </w:pPr>
      <w:r w:rsidRPr="003C7E17">
        <w:rPr>
          <w:rStyle w:val="s3"/>
          <w:color w:val="000000" w:themeColor="text1"/>
        </w:rPr>
        <w:lastRenderedPageBreak/>
        <w:t xml:space="preserve">What are the rules for mileage reimbursement? </w:t>
      </w:r>
      <w:r w:rsidR="00D61B81">
        <w:rPr>
          <w:rStyle w:val="s3"/>
          <w:color w:val="000000" w:themeColor="text1"/>
        </w:rPr>
        <w:t xml:space="preserve"> </w:t>
      </w:r>
      <w:r w:rsidRPr="003C7E17">
        <w:rPr>
          <w:rStyle w:val="s3"/>
          <w:color w:val="000000" w:themeColor="text1"/>
        </w:rPr>
        <w:t xml:space="preserve">Can an attorney bill travel to visit out-of-county clients?  </w:t>
      </w:r>
    </w:p>
    <w:p w:rsidR="00D55231" w:rsidRPr="003C7E17" w:rsidRDefault="00D55231" w:rsidP="00CF25E2">
      <w:pPr>
        <w:pStyle w:val="s6"/>
        <w:spacing w:before="0" w:beforeAutospacing="0" w:after="150" w:afterAutospacing="0"/>
        <w:ind w:left="720" w:hanging="900"/>
        <w:jc w:val="both"/>
        <w:rPr>
          <w:rStyle w:val="s3"/>
          <w:color w:val="000000" w:themeColor="text1"/>
        </w:rPr>
      </w:pPr>
      <w:r w:rsidRPr="003C7E17">
        <w:rPr>
          <w:rStyle w:val="s3"/>
          <w:color w:val="000000" w:themeColor="text1"/>
        </w:rPr>
        <w:t xml:space="preserve">Answer:  </w:t>
      </w:r>
      <w:r w:rsidR="00B010BD" w:rsidRPr="003C7E17">
        <w:rPr>
          <w:rStyle w:val="s3"/>
          <w:color w:val="000000" w:themeColor="text1"/>
        </w:rPr>
        <w:t xml:space="preserve">Mileage can be reimbursed as an extraordinary expense if it is part of out-of-state travel to visit a child client with prior authorization.  </w:t>
      </w:r>
      <w:r w:rsidR="00394EC2" w:rsidRPr="003C7E17">
        <w:rPr>
          <w:rStyle w:val="s3"/>
          <w:color w:val="000000" w:themeColor="text1"/>
        </w:rPr>
        <w:t>S</w:t>
      </w:r>
      <w:r w:rsidR="00B010BD" w:rsidRPr="003C7E17">
        <w:rPr>
          <w:rStyle w:val="s3"/>
          <w:color w:val="000000" w:themeColor="text1"/>
        </w:rPr>
        <w:t xml:space="preserve">ee </w:t>
      </w:r>
      <w:r w:rsidR="00B010BD" w:rsidRPr="003C7E17">
        <w:rPr>
          <w:rStyle w:val="s3"/>
          <w:i/>
          <w:color w:val="000000" w:themeColor="text1"/>
        </w:rPr>
        <w:t>Attachment 2, Exhibit C, section 2</w:t>
      </w:r>
      <w:r w:rsidR="00B010BD" w:rsidRPr="003C7E17">
        <w:rPr>
          <w:rStyle w:val="s3"/>
          <w:color w:val="000000" w:themeColor="text1"/>
        </w:rPr>
        <w:t xml:space="preserve"> for more information.  Attorneys cannot invoice the AOC for travel expenses to visit child clients within the </w:t>
      </w:r>
      <w:r w:rsidR="005E244E" w:rsidRPr="003C7E17">
        <w:rPr>
          <w:rStyle w:val="s3"/>
          <w:color w:val="000000" w:themeColor="text1"/>
        </w:rPr>
        <w:t>S</w:t>
      </w:r>
      <w:r w:rsidR="00B010BD" w:rsidRPr="003C7E17">
        <w:rPr>
          <w:rStyle w:val="s3"/>
          <w:color w:val="000000" w:themeColor="text1"/>
        </w:rPr>
        <w:t>tate of California, even if the</w:t>
      </w:r>
      <w:r w:rsidR="00C0369B" w:rsidRPr="003C7E17">
        <w:rPr>
          <w:rStyle w:val="s3"/>
          <w:color w:val="000000" w:themeColor="text1"/>
        </w:rPr>
        <w:t xml:space="preserve"> child clients </w:t>
      </w:r>
      <w:r w:rsidR="00B010BD" w:rsidRPr="003C7E17">
        <w:rPr>
          <w:rStyle w:val="s3"/>
          <w:color w:val="000000" w:themeColor="text1"/>
        </w:rPr>
        <w:t xml:space="preserve">are outside </w:t>
      </w:r>
      <w:r w:rsidR="00C0369B" w:rsidRPr="003C7E17">
        <w:rPr>
          <w:rStyle w:val="s3"/>
          <w:color w:val="000000" w:themeColor="text1"/>
        </w:rPr>
        <w:t xml:space="preserve"> </w:t>
      </w:r>
      <w:r w:rsidR="00B010BD" w:rsidRPr="003C7E17">
        <w:rPr>
          <w:rStyle w:val="s3"/>
          <w:color w:val="000000" w:themeColor="text1"/>
        </w:rPr>
        <w:t xml:space="preserve"> El Dorado County.  </w:t>
      </w:r>
    </w:p>
    <w:p w:rsidR="00B212C3" w:rsidRPr="003C7E17" w:rsidRDefault="00D55231" w:rsidP="00CF25E2">
      <w:pPr>
        <w:pStyle w:val="s6"/>
        <w:spacing w:before="0" w:beforeAutospacing="0" w:after="150" w:afterAutospacing="0"/>
        <w:ind w:left="720" w:hanging="900"/>
        <w:jc w:val="both"/>
        <w:rPr>
          <w:rStyle w:val="s3"/>
          <w:color w:val="000000" w:themeColor="text1"/>
        </w:rPr>
      </w:pPr>
      <w:r w:rsidRPr="003C7E17">
        <w:rPr>
          <w:rStyle w:val="s3"/>
          <w:color w:val="000000" w:themeColor="text1"/>
        </w:rPr>
        <w:tab/>
      </w:r>
      <w:r w:rsidR="00B010BD" w:rsidRPr="003C7E17">
        <w:rPr>
          <w:rStyle w:val="s3"/>
          <w:color w:val="000000" w:themeColor="text1"/>
        </w:rPr>
        <w:t xml:space="preserve">However, proposers may consider mileage as part of their Operating Expenses in </w:t>
      </w:r>
      <w:r w:rsidR="00B010BD" w:rsidRPr="003C7E17">
        <w:rPr>
          <w:rStyle w:val="s3"/>
          <w:i/>
          <w:color w:val="000000" w:themeColor="text1"/>
        </w:rPr>
        <w:t>Appendix B – Budget Template</w:t>
      </w:r>
      <w:r w:rsidR="00B010BD" w:rsidRPr="003C7E17">
        <w:rPr>
          <w:rStyle w:val="s3"/>
          <w:color w:val="000000" w:themeColor="text1"/>
        </w:rPr>
        <w:t xml:space="preserve">, and include that estimate as part of the overall compensation for services.  </w:t>
      </w:r>
    </w:p>
    <w:p w:rsidR="006D07E2" w:rsidRPr="003C7E17" w:rsidRDefault="006D07E2" w:rsidP="00CF25E2">
      <w:pPr>
        <w:pStyle w:val="s6"/>
        <w:numPr>
          <w:ilvl w:val="0"/>
          <w:numId w:val="12"/>
        </w:numPr>
        <w:tabs>
          <w:tab w:val="clear" w:pos="720"/>
        </w:tabs>
        <w:spacing w:before="0" w:beforeAutospacing="0" w:after="120" w:afterAutospacing="0"/>
        <w:ind w:left="-180" w:hanging="540"/>
        <w:jc w:val="both"/>
        <w:rPr>
          <w:color w:val="000000" w:themeColor="text1"/>
        </w:rPr>
      </w:pPr>
      <w:r w:rsidRPr="003C7E17">
        <w:rPr>
          <w:color w:val="000000" w:themeColor="text1"/>
        </w:rPr>
        <w:t xml:space="preserve">What </w:t>
      </w:r>
      <w:r w:rsidR="00D61B81">
        <w:rPr>
          <w:color w:val="000000" w:themeColor="text1"/>
        </w:rPr>
        <w:t>are</w:t>
      </w:r>
      <w:r w:rsidRPr="003C7E17">
        <w:rPr>
          <w:color w:val="000000" w:themeColor="text1"/>
        </w:rPr>
        <w:t xml:space="preserve"> the total number of cases or the number of families currently open in El Dorado County and how many of those cases are located </w:t>
      </w:r>
      <w:r w:rsidR="00DF56D6" w:rsidRPr="003C7E17">
        <w:rPr>
          <w:color w:val="000000" w:themeColor="text1"/>
        </w:rPr>
        <w:t>in Placerville</w:t>
      </w:r>
      <w:r w:rsidRPr="003C7E17">
        <w:rPr>
          <w:color w:val="000000" w:themeColor="text1"/>
        </w:rPr>
        <w:t xml:space="preserve"> and South Lake Tahoe respectively?</w:t>
      </w:r>
    </w:p>
    <w:p w:rsidR="006D07E2" w:rsidRPr="003C7E17" w:rsidRDefault="00647650" w:rsidP="00647650">
      <w:pPr>
        <w:spacing w:after="120"/>
        <w:ind w:left="900" w:hanging="900"/>
        <w:jc w:val="both"/>
        <w:rPr>
          <w:rStyle w:val="s3"/>
          <w:color w:val="000000" w:themeColor="text1"/>
          <w:sz w:val="24"/>
          <w:szCs w:val="24"/>
        </w:rPr>
      </w:pPr>
      <w:r w:rsidRPr="003C7E17">
        <w:rPr>
          <w:rStyle w:val="s3"/>
          <w:color w:val="000000" w:themeColor="text1"/>
          <w:sz w:val="24"/>
          <w:szCs w:val="24"/>
        </w:rPr>
        <w:t xml:space="preserve">Answer: </w:t>
      </w:r>
      <w:r w:rsidR="006D07E2" w:rsidRPr="003C7E17">
        <w:rPr>
          <w:rStyle w:val="s3"/>
          <w:color w:val="000000" w:themeColor="text1"/>
          <w:sz w:val="24"/>
          <w:szCs w:val="24"/>
        </w:rPr>
        <w:t xml:space="preserve">In El Dorado County, each child is designated </w:t>
      </w:r>
      <w:r w:rsidR="00C0369B" w:rsidRPr="003C7E17">
        <w:rPr>
          <w:rStyle w:val="s3"/>
          <w:color w:val="000000" w:themeColor="text1"/>
          <w:sz w:val="24"/>
          <w:szCs w:val="24"/>
        </w:rPr>
        <w:t>a</w:t>
      </w:r>
      <w:r w:rsidR="006D07E2" w:rsidRPr="003C7E17">
        <w:rPr>
          <w:rStyle w:val="s3"/>
          <w:color w:val="000000" w:themeColor="text1"/>
          <w:sz w:val="24"/>
          <w:szCs w:val="24"/>
        </w:rPr>
        <w:t xml:space="preserve"> case number.  </w:t>
      </w:r>
      <w:r w:rsidR="00877274" w:rsidRPr="003C7E17">
        <w:rPr>
          <w:rStyle w:val="s3"/>
          <w:color w:val="000000" w:themeColor="text1"/>
          <w:sz w:val="24"/>
          <w:szCs w:val="24"/>
        </w:rPr>
        <w:t>F</w:t>
      </w:r>
      <w:r w:rsidR="006D07E2" w:rsidRPr="003C7E17">
        <w:rPr>
          <w:rStyle w:val="s3"/>
          <w:color w:val="000000" w:themeColor="text1"/>
          <w:sz w:val="24"/>
          <w:szCs w:val="24"/>
        </w:rPr>
        <w:t xml:space="preserve">or counting purposes, the number of cases is equal to the number of child clients, regardless of their family association.  As of November 13, 2013, based on information from the court’s case management system, there are approximately 397 open cases in El Dorado County.  </w:t>
      </w:r>
      <w:r w:rsidR="00877274" w:rsidRPr="003C7E17">
        <w:rPr>
          <w:rStyle w:val="s3"/>
          <w:color w:val="000000" w:themeColor="text1"/>
          <w:sz w:val="24"/>
          <w:szCs w:val="24"/>
        </w:rPr>
        <w:t xml:space="preserve">Of these, </w:t>
      </w:r>
      <w:r w:rsidR="006D07E2" w:rsidRPr="003C7E17">
        <w:rPr>
          <w:rStyle w:val="s3"/>
          <w:color w:val="000000" w:themeColor="text1"/>
          <w:sz w:val="24"/>
          <w:szCs w:val="24"/>
        </w:rPr>
        <w:t>273 cases are under the jurisdiction of the Placerville court and 124 are under the jurisdiction of the South Lake Tahoe court.  Data regarding the number of families involved in dependency cases is not available.</w:t>
      </w:r>
    </w:p>
    <w:p w:rsidR="006D07E2" w:rsidRPr="003C7E17" w:rsidRDefault="006D07E2" w:rsidP="00CF25E2">
      <w:pPr>
        <w:pStyle w:val="s6"/>
        <w:numPr>
          <w:ilvl w:val="0"/>
          <w:numId w:val="12"/>
        </w:numPr>
        <w:tabs>
          <w:tab w:val="clear" w:pos="720"/>
          <w:tab w:val="num" w:pos="-180"/>
        </w:tabs>
        <w:spacing w:before="0" w:beforeAutospacing="0" w:after="120" w:afterAutospacing="0"/>
        <w:ind w:left="-180" w:hanging="540"/>
        <w:jc w:val="both"/>
        <w:rPr>
          <w:color w:val="000000" w:themeColor="text1"/>
        </w:rPr>
      </w:pPr>
      <w:r w:rsidRPr="003C7E17">
        <w:rPr>
          <w:color w:val="000000" w:themeColor="text1"/>
        </w:rPr>
        <w:t xml:space="preserve">How many of the cases in El Dorado County have more than </w:t>
      </w:r>
      <w:r w:rsidR="00514B94" w:rsidRPr="003C7E17">
        <w:rPr>
          <w:color w:val="000000" w:themeColor="text1"/>
        </w:rPr>
        <w:t>two (</w:t>
      </w:r>
      <w:r w:rsidRPr="003C7E17">
        <w:rPr>
          <w:color w:val="000000" w:themeColor="text1"/>
        </w:rPr>
        <w:t>2</w:t>
      </w:r>
      <w:r w:rsidR="00514B94" w:rsidRPr="003C7E17">
        <w:rPr>
          <w:color w:val="000000" w:themeColor="text1"/>
        </w:rPr>
        <w:t>)</w:t>
      </w:r>
      <w:r w:rsidRPr="003C7E17">
        <w:rPr>
          <w:color w:val="000000" w:themeColor="text1"/>
        </w:rPr>
        <w:t xml:space="preserve"> parents with attorneys appointed?  How many cases in El Dorado County have more than 1 children’s attorney appointed? </w:t>
      </w:r>
    </w:p>
    <w:p w:rsidR="006D07E2" w:rsidRPr="003C7E17" w:rsidRDefault="00844F5E" w:rsidP="00647650">
      <w:pPr>
        <w:spacing w:after="120"/>
        <w:ind w:left="900" w:hanging="900"/>
        <w:jc w:val="both"/>
        <w:rPr>
          <w:color w:val="000000" w:themeColor="text1"/>
          <w:sz w:val="24"/>
          <w:szCs w:val="24"/>
        </w:rPr>
      </w:pPr>
      <w:r w:rsidRPr="003C7E17">
        <w:rPr>
          <w:rStyle w:val="s3"/>
          <w:color w:val="000000" w:themeColor="text1"/>
          <w:sz w:val="24"/>
          <w:szCs w:val="24"/>
        </w:rPr>
        <w:t xml:space="preserve">Answer: </w:t>
      </w:r>
      <w:r w:rsidR="006D07E2" w:rsidRPr="003C7E17">
        <w:rPr>
          <w:color w:val="000000" w:themeColor="text1"/>
          <w:sz w:val="24"/>
          <w:szCs w:val="24"/>
        </w:rPr>
        <w:t xml:space="preserve">As explained in response to question </w:t>
      </w:r>
      <w:r w:rsidR="00514B94" w:rsidRPr="003C7E17">
        <w:rPr>
          <w:color w:val="000000" w:themeColor="text1"/>
          <w:sz w:val="24"/>
          <w:szCs w:val="24"/>
        </w:rPr>
        <w:t>45</w:t>
      </w:r>
      <w:r w:rsidR="006D07E2" w:rsidRPr="003C7E17">
        <w:rPr>
          <w:color w:val="000000" w:themeColor="text1"/>
          <w:sz w:val="24"/>
          <w:szCs w:val="24"/>
        </w:rPr>
        <w:t xml:space="preserve">, above, each child in El Dorado County is assigned </w:t>
      </w:r>
      <w:r w:rsidR="00092D30" w:rsidRPr="003C7E17">
        <w:rPr>
          <w:color w:val="000000" w:themeColor="text1"/>
          <w:sz w:val="24"/>
          <w:szCs w:val="24"/>
        </w:rPr>
        <w:t>a</w:t>
      </w:r>
      <w:r w:rsidR="006D07E2" w:rsidRPr="003C7E17">
        <w:rPr>
          <w:color w:val="000000" w:themeColor="text1"/>
          <w:sz w:val="24"/>
          <w:szCs w:val="24"/>
        </w:rPr>
        <w:t xml:space="preserve"> case number and, for counting purposes, treated as a separate case.  Therefore, each case will have one child’s attorney appointed.  </w:t>
      </w:r>
      <w:r w:rsidR="00092D30" w:rsidRPr="003C7E17">
        <w:rPr>
          <w:color w:val="000000" w:themeColor="text1"/>
          <w:sz w:val="24"/>
          <w:szCs w:val="24"/>
        </w:rPr>
        <w:t>S</w:t>
      </w:r>
      <w:r w:rsidR="006D07E2" w:rsidRPr="003C7E17">
        <w:rPr>
          <w:color w:val="000000" w:themeColor="text1"/>
          <w:sz w:val="24"/>
          <w:szCs w:val="24"/>
        </w:rPr>
        <w:t xml:space="preserve">ee question </w:t>
      </w:r>
      <w:r w:rsidR="00514B94" w:rsidRPr="003C7E17">
        <w:rPr>
          <w:color w:val="000000" w:themeColor="text1"/>
          <w:sz w:val="24"/>
          <w:szCs w:val="24"/>
        </w:rPr>
        <w:t>45</w:t>
      </w:r>
      <w:r w:rsidR="006D07E2" w:rsidRPr="003C7E17">
        <w:rPr>
          <w:color w:val="000000" w:themeColor="text1"/>
          <w:sz w:val="24"/>
          <w:szCs w:val="24"/>
        </w:rPr>
        <w:t xml:space="preserve">, above, regarding the number of open cases in El Dorado County.  </w:t>
      </w:r>
    </w:p>
    <w:p w:rsidR="006D07E2" w:rsidRPr="003C7E17" w:rsidRDefault="00647650" w:rsidP="00647650">
      <w:pPr>
        <w:spacing w:after="120"/>
        <w:ind w:left="900" w:hanging="900"/>
        <w:jc w:val="both"/>
        <w:rPr>
          <w:color w:val="000000" w:themeColor="text1"/>
          <w:sz w:val="24"/>
          <w:szCs w:val="24"/>
        </w:rPr>
      </w:pPr>
      <w:r w:rsidRPr="003C7E17">
        <w:rPr>
          <w:color w:val="000000" w:themeColor="text1"/>
          <w:sz w:val="24"/>
          <w:szCs w:val="24"/>
        </w:rPr>
        <w:tab/>
      </w:r>
      <w:r w:rsidR="006D07E2" w:rsidRPr="003C7E17">
        <w:rPr>
          <w:color w:val="000000" w:themeColor="text1"/>
          <w:sz w:val="24"/>
          <w:szCs w:val="24"/>
        </w:rPr>
        <w:t xml:space="preserve">Proposers may also consider the client data available in </w:t>
      </w:r>
      <w:r w:rsidR="006D07E2" w:rsidRPr="003C7E17">
        <w:rPr>
          <w:i/>
          <w:color w:val="000000" w:themeColor="text1"/>
          <w:sz w:val="24"/>
          <w:szCs w:val="24"/>
        </w:rPr>
        <w:t>Attachment 4, section 8</w:t>
      </w:r>
      <w:r w:rsidR="006D07E2" w:rsidRPr="003C7E17">
        <w:rPr>
          <w:color w:val="000000" w:themeColor="text1"/>
          <w:sz w:val="24"/>
          <w:szCs w:val="24"/>
        </w:rPr>
        <w:t>, which estimates approximately 384 child clients and 411 parent clients receiving court-appointed dependency representation.  This produces a ratio of 1.07 parent clients for each child client.</w:t>
      </w:r>
    </w:p>
    <w:p w:rsidR="006D07E2" w:rsidRPr="003C7E17" w:rsidRDefault="006D07E2" w:rsidP="00CF25E2">
      <w:pPr>
        <w:pStyle w:val="s6"/>
        <w:numPr>
          <w:ilvl w:val="0"/>
          <w:numId w:val="12"/>
        </w:numPr>
        <w:tabs>
          <w:tab w:val="clear" w:pos="720"/>
          <w:tab w:val="num" w:pos="0"/>
        </w:tabs>
        <w:spacing w:before="0" w:beforeAutospacing="0" w:after="120" w:afterAutospacing="0"/>
        <w:ind w:left="-180" w:hanging="540"/>
        <w:jc w:val="both"/>
        <w:rPr>
          <w:color w:val="000000" w:themeColor="text1"/>
        </w:rPr>
      </w:pPr>
      <w:r w:rsidRPr="003C7E17">
        <w:rPr>
          <w:color w:val="000000" w:themeColor="text1"/>
        </w:rPr>
        <w:t xml:space="preserve">Over the past </w:t>
      </w:r>
      <w:r w:rsidR="00DE241F" w:rsidRPr="003C7E17">
        <w:rPr>
          <w:color w:val="000000" w:themeColor="text1"/>
        </w:rPr>
        <w:t>twelve (</w:t>
      </w:r>
      <w:r w:rsidRPr="003C7E17">
        <w:rPr>
          <w:color w:val="000000" w:themeColor="text1"/>
        </w:rPr>
        <w:t>12</w:t>
      </w:r>
      <w:r w:rsidR="00DE241F" w:rsidRPr="003C7E17">
        <w:rPr>
          <w:color w:val="000000" w:themeColor="text1"/>
        </w:rPr>
        <w:t>)</w:t>
      </w:r>
      <w:r w:rsidRPr="003C7E17">
        <w:rPr>
          <w:color w:val="000000" w:themeColor="text1"/>
        </w:rPr>
        <w:t xml:space="preserve"> months, what is the average number of dependency clients represented by an individual attorney in the Placerville court (Department 8) and South Lake Tahoe court (Department 12)?  Are these figures based on a full-time attorney working 40+ hours a week on dependency cases? </w:t>
      </w:r>
      <w:r w:rsidR="001C3E43">
        <w:rPr>
          <w:color w:val="000000" w:themeColor="text1"/>
        </w:rPr>
        <w:t xml:space="preserve"> </w:t>
      </w:r>
      <w:r w:rsidRPr="003C7E17">
        <w:rPr>
          <w:color w:val="000000" w:themeColor="text1"/>
        </w:rPr>
        <w:t>Or part-time attorney working under 32 hours a week on dependency cases?</w:t>
      </w:r>
    </w:p>
    <w:p w:rsidR="00F20EA8" w:rsidRPr="003C7E17" w:rsidRDefault="00CF25E2" w:rsidP="00647650">
      <w:pPr>
        <w:spacing w:after="120"/>
        <w:ind w:left="900" w:hanging="900"/>
        <w:rPr>
          <w:color w:val="000000" w:themeColor="text1"/>
          <w:sz w:val="24"/>
          <w:szCs w:val="24"/>
        </w:rPr>
      </w:pPr>
      <w:r w:rsidRPr="003C7E17">
        <w:rPr>
          <w:rStyle w:val="s3"/>
          <w:color w:val="000000" w:themeColor="text1"/>
          <w:sz w:val="24"/>
          <w:szCs w:val="24"/>
        </w:rPr>
        <w:t xml:space="preserve">Answer:  </w:t>
      </w:r>
      <w:r w:rsidR="00F20EA8" w:rsidRPr="003C7E17">
        <w:rPr>
          <w:color w:val="000000" w:themeColor="text1"/>
          <w:sz w:val="24"/>
          <w:szCs w:val="24"/>
        </w:rPr>
        <w:t>S</w:t>
      </w:r>
      <w:r w:rsidR="006D07E2" w:rsidRPr="003C7E17">
        <w:rPr>
          <w:color w:val="000000" w:themeColor="text1"/>
          <w:sz w:val="24"/>
          <w:szCs w:val="24"/>
        </w:rPr>
        <w:t xml:space="preserve">ee the table below for more information.  Note that attorneys in the Placerville court are contracted to represent different caseloads varying from 55 to 130 clients.  </w:t>
      </w:r>
    </w:p>
    <w:p w:rsidR="006D07E2" w:rsidRPr="003C7E17" w:rsidRDefault="00F20EA8" w:rsidP="00647650">
      <w:pPr>
        <w:spacing w:after="120"/>
        <w:ind w:left="900" w:hanging="900"/>
        <w:rPr>
          <w:color w:val="000000" w:themeColor="text1"/>
          <w:sz w:val="24"/>
          <w:szCs w:val="24"/>
        </w:rPr>
      </w:pPr>
      <w:r w:rsidRPr="003C7E17">
        <w:rPr>
          <w:color w:val="000000" w:themeColor="text1"/>
          <w:sz w:val="24"/>
          <w:szCs w:val="24"/>
        </w:rPr>
        <w:tab/>
      </w:r>
      <w:r w:rsidR="006D07E2" w:rsidRPr="003C7E17">
        <w:rPr>
          <w:color w:val="000000" w:themeColor="text1"/>
          <w:sz w:val="24"/>
          <w:szCs w:val="24"/>
        </w:rPr>
        <w:t>Attorneys in South Lake Tahoe are contracted to represent the same number of clients.</w:t>
      </w:r>
    </w:p>
    <w:p w:rsidR="00F20EA8" w:rsidRPr="003C7E17" w:rsidRDefault="00F20EA8" w:rsidP="00647650">
      <w:pPr>
        <w:spacing w:after="120"/>
        <w:ind w:left="900" w:hanging="900"/>
        <w:rPr>
          <w:color w:val="000000" w:themeColor="text1"/>
          <w:sz w:val="24"/>
          <w:szCs w:val="24"/>
        </w:rPr>
      </w:pPr>
    </w:p>
    <w:tbl>
      <w:tblPr>
        <w:tblStyle w:val="TableGrid"/>
        <w:tblW w:w="0" w:type="auto"/>
        <w:tblInd w:w="965" w:type="dxa"/>
        <w:tblLook w:val="04A0"/>
      </w:tblPr>
      <w:tblGrid>
        <w:gridCol w:w="1705"/>
        <w:gridCol w:w="1913"/>
        <w:gridCol w:w="1890"/>
        <w:gridCol w:w="2070"/>
      </w:tblGrid>
      <w:tr w:rsidR="006D07E2" w:rsidRPr="003C7E17" w:rsidTr="00F20EA8">
        <w:tc>
          <w:tcPr>
            <w:tcW w:w="1705" w:type="dxa"/>
            <w:shd w:val="clear" w:color="auto" w:fill="F2F2F2" w:themeFill="background1" w:themeFillShade="F2"/>
          </w:tcPr>
          <w:p w:rsidR="006D07E2" w:rsidRPr="003C7E17" w:rsidRDefault="006D07E2" w:rsidP="006D07E2">
            <w:pPr>
              <w:jc w:val="center"/>
              <w:rPr>
                <w:rFonts w:ascii="Times New Roman" w:hAnsi="Times New Roman"/>
                <w:b/>
                <w:color w:val="000000" w:themeColor="text1"/>
                <w:sz w:val="20"/>
                <w:szCs w:val="20"/>
              </w:rPr>
            </w:pPr>
            <w:r w:rsidRPr="003C7E17">
              <w:rPr>
                <w:rFonts w:ascii="Times New Roman" w:hAnsi="Times New Roman"/>
                <w:b/>
                <w:color w:val="000000" w:themeColor="text1"/>
                <w:sz w:val="20"/>
                <w:szCs w:val="20"/>
              </w:rPr>
              <w:lastRenderedPageBreak/>
              <w:t>Court</w:t>
            </w:r>
          </w:p>
        </w:tc>
        <w:tc>
          <w:tcPr>
            <w:tcW w:w="1913" w:type="dxa"/>
            <w:shd w:val="clear" w:color="auto" w:fill="F2F2F2" w:themeFill="background1" w:themeFillShade="F2"/>
            <w:vAlign w:val="center"/>
          </w:tcPr>
          <w:p w:rsidR="006D07E2" w:rsidRPr="003C7E17" w:rsidRDefault="006D07E2" w:rsidP="00F96AF2">
            <w:pPr>
              <w:ind w:left="-85" w:right="-108"/>
              <w:jc w:val="center"/>
              <w:rPr>
                <w:rFonts w:ascii="Times New Roman" w:hAnsi="Times New Roman"/>
                <w:b/>
                <w:color w:val="000000" w:themeColor="text1"/>
                <w:sz w:val="20"/>
                <w:szCs w:val="20"/>
              </w:rPr>
            </w:pPr>
            <w:r w:rsidRPr="003C7E17">
              <w:rPr>
                <w:rFonts w:ascii="Times New Roman" w:hAnsi="Times New Roman"/>
                <w:b/>
                <w:color w:val="000000" w:themeColor="text1"/>
                <w:sz w:val="20"/>
                <w:szCs w:val="20"/>
              </w:rPr>
              <w:t>Average Contracted</w:t>
            </w:r>
          </w:p>
          <w:p w:rsidR="006D07E2" w:rsidRPr="003C7E17" w:rsidRDefault="006D07E2" w:rsidP="00F96AF2">
            <w:pPr>
              <w:ind w:left="-85" w:right="-108"/>
              <w:jc w:val="center"/>
              <w:rPr>
                <w:rFonts w:ascii="Times New Roman" w:hAnsi="Times New Roman"/>
                <w:b/>
                <w:color w:val="000000" w:themeColor="text1"/>
                <w:sz w:val="20"/>
                <w:szCs w:val="20"/>
              </w:rPr>
            </w:pPr>
            <w:r w:rsidRPr="003C7E17">
              <w:rPr>
                <w:rFonts w:ascii="Times New Roman" w:hAnsi="Times New Roman"/>
                <w:b/>
                <w:color w:val="000000" w:themeColor="text1"/>
                <w:sz w:val="20"/>
                <w:szCs w:val="20"/>
              </w:rPr>
              <w:t>No. of Clients</w:t>
            </w:r>
          </w:p>
        </w:tc>
        <w:tc>
          <w:tcPr>
            <w:tcW w:w="1890" w:type="dxa"/>
            <w:shd w:val="clear" w:color="auto" w:fill="F2F2F2" w:themeFill="background1" w:themeFillShade="F2"/>
            <w:vAlign w:val="center"/>
          </w:tcPr>
          <w:p w:rsidR="006D07E2" w:rsidRPr="003C7E17" w:rsidRDefault="006D07E2" w:rsidP="006D07E2">
            <w:pPr>
              <w:jc w:val="center"/>
              <w:rPr>
                <w:rFonts w:ascii="Times New Roman" w:hAnsi="Times New Roman"/>
                <w:b/>
                <w:color w:val="000000" w:themeColor="text1"/>
                <w:sz w:val="20"/>
                <w:szCs w:val="20"/>
              </w:rPr>
            </w:pPr>
            <w:r w:rsidRPr="003C7E17">
              <w:rPr>
                <w:rFonts w:ascii="Times New Roman" w:hAnsi="Times New Roman"/>
                <w:b/>
                <w:color w:val="000000" w:themeColor="text1"/>
                <w:sz w:val="20"/>
                <w:szCs w:val="20"/>
              </w:rPr>
              <w:t>Average Reported</w:t>
            </w:r>
          </w:p>
          <w:p w:rsidR="006D07E2" w:rsidRPr="003C7E17" w:rsidRDefault="006D07E2" w:rsidP="006D07E2">
            <w:pPr>
              <w:jc w:val="center"/>
              <w:rPr>
                <w:rFonts w:ascii="Times New Roman" w:hAnsi="Times New Roman"/>
                <w:b/>
                <w:color w:val="000000" w:themeColor="text1"/>
                <w:sz w:val="20"/>
                <w:szCs w:val="20"/>
              </w:rPr>
            </w:pPr>
            <w:r w:rsidRPr="003C7E17">
              <w:rPr>
                <w:rFonts w:ascii="Times New Roman" w:hAnsi="Times New Roman"/>
                <w:b/>
                <w:color w:val="000000" w:themeColor="text1"/>
                <w:sz w:val="20"/>
                <w:szCs w:val="20"/>
              </w:rPr>
              <w:t>No. of Clients</w:t>
            </w:r>
          </w:p>
        </w:tc>
        <w:tc>
          <w:tcPr>
            <w:tcW w:w="2070" w:type="dxa"/>
            <w:shd w:val="clear" w:color="auto" w:fill="F2F2F2" w:themeFill="background1" w:themeFillShade="F2"/>
            <w:vAlign w:val="center"/>
          </w:tcPr>
          <w:p w:rsidR="006D07E2" w:rsidRPr="003C7E17" w:rsidRDefault="006D07E2" w:rsidP="006D07E2">
            <w:pPr>
              <w:jc w:val="center"/>
              <w:rPr>
                <w:rFonts w:ascii="Times New Roman" w:hAnsi="Times New Roman"/>
                <w:b/>
                <w:color w:val="000000" w:themeColor="text1"/>
                <w:sz w:val="20"/>
                <w:szCs w:val="20"/>
              </w:rPr>
            </w:pPr>
            <w:r w:rsidRPr="003C7E17">
              <w:rPr>
                <w:rFonts w:ascii="Times New Roman" w:hAnsi="Times New Roman"/>
                <w:b/>
                <w:color w:val="000000" w:themeColor="text1"/>
                <w:sz w:val="20"/>
                <w:szCs w:val="20"/>
              </w:rPr>
              <w:t>Full-Time Equivalent (FTE) Status</w:t>
            </w:r>
          </w:p>
        </w:tc>
      </w:tr>
      <w:tr w:rsidR="006D07E2" w:rsidRPr="003C7E17" w:rsidTr="00F20EA8">
        <w:tc>
          <w:tcPr>
            <w:tcW w:w="1705" w:type="dxa"/>
            <w:vAlign w:val="center"/>
          </w:tcPr>
          <w:p w:rsidR="006D07E2" w:rsidRPr="003C7E17" w:rsidRDefault="006D07E2" w:rsidP="006D07E2">
            <w:pPr>
              <w:jc w:val="center"/>
              <w:rPr>
                <w:rFonts w:ascii="Times New Roman" w:hAnsi="Times New Roman"/>
                <w:color w:val="000000" w:themeColor="text1"/>
                <w:sz w:val="20"/>
                <w:szCs w:val="20"/>
              </w:rPr>
            </w:pPr>
            <w:r w:rsidRPr="003C7E17">
              <w:rPr>
                <w:rFonts w:ascii="Times New Roman" w:hAnsi="Times New Roman"/>
                <w:color w:val="000000" w:themeColor="text1"/>
                <w:sz w:val="20"/>
                <w:szCs w:val="20"/>
              </w:rPr>
              <w:t>Placerville</w:t>
            </w:r>
          </w:p>
          <w:p w:rsidR="006D07E2" w:rsidRPr="003C7E17" w:rsidRDefault="006D07E2" w:rsidP="006D07E2">
            <w:pPr>
              <w:jc w:val="center"/>
              <w:rPr>
                <w:rFonts w:ascii="Times New Roman" w:hAnsi="Times New Roman"/>
                <w:color w:val="000000" w:themeColor="text1"/>
                <w:sz w:val="20"/>
                <w:szCs w:val="20"/>
              </w:rPr>
            </w:pPr>
            <w:r w:rsidRPr="003C7E17">
              <w:rPr>
                <w:rFonts w:ascii="Times New Roman" w:hAnsi="Times New Roman"/>
                <w:color w:val="000000" w:themeColor="text1"/>
                <w:sz w:val="20"/>
                <w:szCs w:val="20"/>
              </w:rPr>
              <w:t>Department 8</w:t>
            </w:r>
          </w:p>
        </w:tc>
        <w:tc>
          <w:tcPr>
            <w:tcW w:w="1913" w:type="dxa"/>
            <w:vAlign w:val="center"/>
          </w:tcPr>
          <w:p w:rsidR="006D07E2" w:rsidRPr="003C7E17" w:rsidRDefault="006D07E2" w:rsidP="006D07E2">
            <w:pPr>
              <w:jc w:val="center"/>
              <w:rPr>
                <w:rFonts w:ascii="Times New Roman" w:hAnsi="Times New Roman"/>
                <w:color w:val="000000" w:themeColor="text1"/>
                <w:sz w:val="20"/>
                <w:szCs w:val="20"/>
              </w:rPr>
            </w:pPr>
            <w:r w:rsidRPr="003C7E17">
              <w:rPr>
                <w:rFonts w:ascii="Times New Roman" w:hAnsi="Times New Roman"/>
                <w:color w:val="000000" w:themeColor="text1"/>
                <w:sz w:val="20"/>
                <w:szCs w:val="20"/>
              </w:rPr>
              <w:t>102</w:t>
            </w:r>
          </w:p>
          <w:p w:rsidR="006D07E2" w:rsidRPr="003C7E17" w:rsidRDefault="006D07E2" w:rsidP="006D07E2">
            <w:pPr>
              <w:jc w:val="center"/>
              <w:rPr>
                <w:rFonts w:ascii="Times New Roman" w:hAnsi="Times New Roman"/>
                <w:color w:val="000000" w:themeColor="text1"/>
                <w:sz w:val="20"/>
                <w:szCs w:val="20"/>
              </w:rPr>
            </w:pPr>
            <w:r w:rsidRPr="003C7E17">
              <w:rPr>
                <w:rFonts w:ascii="Times New Roman" w:hAnsi="Times New Roman"/>
                <w:color w:val="000000" w:themeColor="text1"/>
                <w:sz w:val="20"/>
                <w:szCs w:val="20"/>
              </w:rPr>
              <w:t>(range: 55 to 130)</w:t>
            </w:r>
          </w:p>
        </w:tc>
        <w:tc>
          <w:tcPr>
            <w:tcW w:w="1890" w:type="dxa"/>
            <w:vAlign w:val="center"/>
          </w:tcPr>
          <w:p w:rsidR="006D07E2" w:rsidRPr="003C7E17" w:rsidRDefault="006D07E2" w:rsidP="006D07E2">
            <w:pPr>
              <w:jc w:val="center"/>
              <w:rPr>
                <w:rFonts w:ascii="Times New Roman" w:hAnsi="Times New Roman"/>
                <w:color w:val="000000" w:themeColor="text1"/>
                <w:sz w:val="20"/>
                <w:szCs w:val="20"/>
              </w:rPr>
            </w:pPr>
            <w:r w:rsidRPr="003C7E17">
              <w:rPr>
                <w:rFonts w:ascii="Times New Roman" w:hAnsi="Times New Roman"/>
                <w:color w:val="000000" w:themeColor="text1"/>
                <w:sz w:val="20"/>
                <w:szCs w:val="20"/>
              </w:rPr>
              <w:t>94</w:t>
            </w:r>
          </w:p>
        </w:tc>
        <w:tc>
          <w:tcPr>
            <w:tcW w:w="2070" w:type="dxa"/>
            <w:vAlign w:val="center"/>
          </w:tcPr>
          <w:p w:rsidR="006D07E2" w:rsidRPr="003C7E17" w:rsidRDefault="006D07E2" w:rsidP="006D07E2">
            <w:pPr>
              <w:jc w:val="center"/>
              <w:rPr>
                <w:rFonts w:ascii="Times New Roman" w:hAnsi="Times New Roman"/>
                <w:color w:val="000000" w:themeColor="text1"/>
                <w:sz w:val="20"/>
                <w:szCs w:val="20"/>
              </w:rPr>
            </w:pPr>
            <w:r w:rsidRPr="003C7E17">
              <w:rPr>
                <w:rFonts w:ascii="Times New Roman" w:hAnsi="Times New Roman"/>
                <w:color w:val="000000" w:themeColor="text1"/>
                <w:sz w:val="20"/>
                <w:szCs w:val="20"/>
              </w:rPr>
              <w:t>0.2 to 0.6 FTE</w:t>
            </w:r>
          </w:p>
        </w:tc>
      </w:tr>
      <w:tr w:rsidR="006D07E2" w:rsidRPr="003C7E17" w:rsidTr="00F20EA8">
        <w:tc>
          <w:tcPr>
            <w:tcW w:w="1705" w:type="dxa"/>
            <w:vAlign w:val="center"/>
          </w:tcPr>
          <w:p w:rsidR="006D07E2" w:rsidRPr="003C7E17" w:rsidRDefault="006D07E2" w:rsidP="006D07E2">
            <w:pPr>
              <w:jc w:val="center"/>
              <w:rPr>
                <w:rFonts w:ascii="Times New Roman" w:hAnsi="Times New Roman"/>
                <w:color w:val="000000" w:themeColor="text1"/>
                <w:sz w:val="20"/>
                <w:szCs w:val="20"/>
              </w:rPr>
            </w:pPr>
            <w:r w:rsidRPr="003C7E17">
              <w:rPr>
                <w:rFonts w:ascii="Times New Roman" w:hAnsi="Times New Roman"/>
                <w:color w:val="000000" w:themeColor="text1"/>
                <w:sz w:val="20"/>
                <w:szCs w:val="20"/>
              </w:rPr>
              <w:t>So. Lake Tahoe</w:t>
            </w:r>
          </w:p>
          <w:p w:rsidR="006D07E2" w:rsidRPr="003C7E17" w:rsidRDefault="006D07E2" w:rsidP="006D07E2">
            <w:pPr>
              <w:jc w:val="center"/>
              <w:rPr>
                <w:rFonts w:ascii="Times New Roman" w:hAnsi="Times New Roman"/>
                <w:color w:val="000000" w:themeColor="text1"/>
                <w:sz w:val="20"/>
                <w:szCs w:val="20"/>
              </w:rPr>
            </w:pPr>
            <w:r w:rsidRPr="003C7E17">
              <w:rPr>
                <w:rFonts w:ascii="Times New Roman" w:hAnsi="Times New Roman"/>
                <w:color w:val="000000" w:themeColor="text1"/>
                <w:sz w:val="20"/>
                <w:szCs w:val="20"/>
              </w:rPr>
              <w:t>Department 12</w:t>
            </w:r>
          </w:p>
        </w:tc>
        <w:tc>
          <w:tcPr>
            <w:tcW w:w="1913" w:type="dxa"/>
            <w:vAlign w:val="center"/>
          </w:tcPr>
          <w:p w:rsidR="006D07E2" w:rsidRPr="003C7E17" w:rsidRDefault="006D07E2" w:rsidP="006D07E2">
            <w:pPr>
              <w:jc w:val="center"/>
              <w:rPr>
                <w:rFonts w:ascii="Times New Roman" w:hAnsi="Times New Roman"/>
                <w:color w:val="000000" w:themeColor="text1"/>
                <w:sz w:val="20"/>
                <w:szCs w:val="20"/>
              </w:rPr>
            </w:pPr>
            <w:r w:rsidRPr="003C7E17">
              <w:rPr>
                <w:rFonts w:ascii="Times New Roman" w:hAnsi="Times New Roman"/>
                <w:color w:val="000000" w:themeColor="text1"/>
                <w:sz w:val="20"/>
                <w:szCs w:val="20"/>
              </w:rPr>
              <w:t>73</w:t>
            </w:r>
          </w:p>
        </w:tc>
        <w:tc>
          <w:tcPr>
            <w:tcW w:w="1890" w:type="dxa"/>
            <w:vAlign w:val="center"/>
          </w:tcPr>
          <w:p w:rsidR="006D07E2" w:rsidRPr="003C7E17" w:rsidRDefault="006D07E2" w:rsidP="006D07E2">
            <w:pPr>
              <w:jc w:val="center"/>
              <w:rPr>
                <w:rFonts w:ascii="Times New Roman" w:hAnsi="Times New Roman"/>
                <w:color w:val="000000" w:themeColor="text1"/>
                <w:sz w:val="20"/>
                <w:szCs w:val="20"/>
              </w:rPr>
            </w:pPr>
            <w:r w:rsidRPr="003C7E17">
              <w:rPr>
                <w:rFonts w:ascii="Times New Roman" w:hAnsi="Times New Roman"/>
                <w:color w:val="000000" w:themeColor="text1"/>
                <w:sz w:val="20"/>
                <w:szCs w:val="20"/>
              </w:rPr>
              <w:t>83</w:t>
            </w:r>
          </w:p>
        </w:tc>
        <w:tc>
          <w:tcPr>
            <w:tcW w:w="2070" w:type="dxa"/>
            <w:vAlign w:val="center"/>
          </w:tcPr>
          <w:p w:rsidR="006D07E2" w:rsidRPr="003C7E17" w:rsidRDefault="006D07E2" w:rsidP="006D07E2">
            <w:pPr>
              <w:jc w:val="center"/>
              <w:rPr>
                <w:rFonts w:ascii="Times New Roman" w:hAnsi="Times New Roman"/>
                <w:color w:val="000000" w:themeColor="text1"/>
                <w:sz w:val="20"/>
                <w:szCs w:val="20"/>
              </w:rPr>
            </w:pPr>
            <w:r w:rsidRPr="003C7E17">
              <w:rPr>
                <w:rFonts w:ascii="Times New Roman" w:hAnsi="Times New Roman"/>
                <w:color w:val="000000" w:themeColor="text1"/>
                <w:sz w:val="20"/>
                <w:szCs w:val="20"/>
              </w:rPr>
              <w:t>0.35 FTE</w:t>
            </w:r>
          </w:p>
        </w:tc>
      </w:tr>
    </w:tbl>
    <w:p w:rsidR="0045452B" w:rsidRPr="003C7E17" w:rsidRDefault="00F20EA8" w:rsidP="0045452B">
      <w:pPr>
        <w:spacing w:after="120"/>
        <w:rPr>
          <w:color w:val="000000" w:themeColor="text1"/>
        </w:rPr>
      </w:pPr>
      <w:r w:rsidRPr="003C7E17">
        <w:rPr>
          <w:color w:val="000000" w:themeColor="text1"/>
        </w:rPr>
        <w:tab/>
        <w:t xml:space="preserve">   </w:t>
      </w:r>
      <w:r w:rsidR="0045452B" w:rsidRPr="003C7E17">
        <w:rPr>
          <w:color w:val="000000" w:themeColor="text1"/>
        </w:rPr>
        <w:t>Source: Attorney-reported case information from the JCATS case management system.</w:t>
      </w:r>
    </w:p>
    <w:p w:rsidR="0045452B" w:rsidRPr="003C7E17" w:rsidRDefault="0045452B" w:rsidP="00647650">
      <w:pPr>
        <w:pStyle w:val="s6"/>
        <w:numPr>
          <w:ilvl w:val="0"/>
          <w:numId w:val="12"/>
        </w:numPr>
        <w:tabs>
          <w:tab w:val="clear" w:pos="720"/>
          <w:tab w:val="num" w:pos="-180"/>
        </w:tabs>
        <w:spacing w:before="0" w:beforeAutospacing="0" w:after="120" w:afterAutospacing="0"/>
        <w:ind w:left="-180" w:hanging="540"/>
        <w:rPr>
          <w:rStyle w:val="s3"/>
          <w:color w:val="000000" w:themeColor="text1"/>
        </w:rPr>
      </w:pPr>
      <w:r w:rsidRPr="003C7E17">
        <w:rPr>
          <w:rStyle w:val="s3"/>
          <w:color w:val="000000" w:themeColor="text1"/>
        </w:rPr>
        <w:t>What was the total number of cases assigned for each of the last three years</w:t>
      </w:r>
      <w:r w:rsidR="00D165DC" w:rsidRPr="003C7E17">
        <w:rPr>
          <w:rStyle w:val="s3"/>
          <w:color w:val="000000" w:themeColor="text1"/>
        </w:rPr>
        <w:t>,</w:t>
      </w:r>
      <w:r w:rsidRPr="003C7E17">
        <w:rPr>
          <w:rStyle w:val="s3"/>
          <w:color w:val="000000" w:themeColor="text1"/>
        </w:rPr>
        <w:t xml:space="preserve"> 10/1/10</w:t>
      </w:r>
      <w:r w:rsidRPr="003C7E17">
        <w:rPr>
          <w:rStyle w:val="s3"/>
          <w:rFonts w:ascii="Cambria Math" w:hAnsi="Cambria Math"/>
          <w:color w:val="000000" w:themeColor="text1"/>
        </w:rPr>
        <w:t>‐</w:t>
      </w:r>
      <w:r w:rsidRPr="003C7E17">
        <w:rPr>
          <w:rStyle w:val="s3"/>
          <w:color w:val="000000" w:themeColor="text1"/>
        </w:rPr>
        <w:t>9/30/11, 10/1/11</w:t>
      </w:r>
      <w:r w:rsidRPr="003C7E17">
        <w:rPr>
          <w:rStyle w:val="s3"/>
          <w:rFonts w:ascii="Cambria Math" w:hAnsi="Cambria Math"/>
          <w:color w:val="000000" w:themeColor="text1"/>
        </w:rPr>
        <w:t>‐</w:t>
      </w:r>
      <w:r w:rsidRPr="003C7E17">
        <w:rPr>
          <w:rStyle w:val="s3"/>
          <w:color w:val="000000" w:themeColor="text1"/>
        </w:rPr>
        <w:t>9/30/12 and 10/1/12</w:t>
      </w:r>
      <w:r w:rsidRPr="003C7E17">
        <w:rPr>
          <w:rStyle w:val="s3"/>
          <w:rFonts w:ascii="Cambria Math" w:hAnsi="Cambria Math"/>
          <w:color w:val="000000" w:themeColor="text1"/>
        </w:rPr>
        <w:t>‐</w:t>
      </w:r>
      <w:r w:rsidRPr="003C7E17">
        <w:rPr>
          <w:rStyle w:val="s3"/>
          <w:color w:val="000000" w:themeColor="text1"/>
        </w:rPr>
        <w:t>9/30/13?  What is the projected total number of cases to be assigned for the same periods?</w:t>
      </w:r>
    </w:p>
    <w:p w:rsidR="0045452B" w:rsidRPr="003C7E17" w:rsidRDefault="00CF25E2" w:rsidP="00CF25E2">
      <w:pPr>
        <w:autoSpaceDE w:val="0"/>
        <w:autoSpaceDN w:val="0"/>
        <w:adjustRightInd w:val="0"/>
        <w:spacing w:before="9" w:after="120" w:line="260" w:lineRule="exact"/>
        <w:ind w:left="810" w:hanging="990"/>
        <w:jc w:val="both"/>
        <w:rPr>
          <w:color w:val="000000" w:themeColor="text1"/>
          <w:sz w:val="24"/>
          <w:szCs w:val="24"/>
        </w:rPr>
      </w:pPr>
      <w:r w:rsidRPr="003C7E17">
        <w:rPr>
          <w:rStyle w:val="s3"/>
          <w:color w:val="000000" w:themeColor="text1"/>
          <w:sz w:val="24"/>
          <w:szCs w:val="24"/>
        </w:rPr>
        <w:t xml:space="preserve">Answer:  </w:t>
      </w:r>
      <w:r w:rsidR="00684254" w:rsidRPr="003C7E17">
        <w:rPr>
          <w:color w:val="000000" w:themeColor="text1"/>
          <w:sz w:val="24"/>
          <w:szCs w:val="24"/>
        </w:rPr>
        <w:t>S</w:t>
      </w:r>
      <w:r w:rsidR="0045452B" w:rsidRPr="003C7E17">
        <w:rPr>
          <w:color w:val="000000" w:themeColor="text1"/>
          <w:sz w:val="24"/>
          <w:szCs w:val="24"/>
        </w:rPr>
        <w:t>ee the table below for information regarding the number of new cases assigned for each of the last three years:</w:t>
      </w:r>
    </w:p>
    <w:tbl>
      <w:tblPr>
        <w:tblStyle w:val="TableGrid"/>
        <w:tblW w:w="0" w:type="auto"/>
        <w:tblInd w:w="1008" w:type="dxa"/>
        <w:tblLook w:val="04A0"/>
      </w:tblPr>
      <w:tblGrid>
        <w:gridCol w:w="1491"/>
        <w:gridCol w:w="1200"/>
        <w:gridCol w:w="2259"/>
      </w:tblGrid>
      <w:tr w:rsidR="0045452B" w:rsidRPr="003C7E17" w:rsidTr="00D165DC">
        <w:tc>
          <w:tcPr>
            <w:tcW w:w="1491" w:type="dxa"/>
            <w:shd w:val="clear" w:color="auto" w:fill="F2F2F2" w:themeFill="background1" w:themeFillShade="F2"/>
          </w:tcPr>
          <w:p w:rsidR="0045452B" w:rsidRPr="003C7E17" w:rsidRDefault="0045452B" w:rsidP="0045452B">
            <w:pPr>
              <w:autoSpaceDE w:val="0"/>
              <w:autoSpaceDN w:val="0"/>
              <w:adjustRightInd w:val="0"/>
              <w:spacing w:line="260" w:lineRule="exact"/>
              <w:jc w:val="center"/>
              <w:rPr>
                <w:rFonts w:ascii="Times New Roman" w:hAnsi="Times New Roman"/>
                <w:b/>
                <w:color w:val="000000" w:themeColor="text1"/>
                <w:sz w:val="20"/>
                <w:szCs w:val="20"/>
              </w:rPr>
            </w:pPr>
            <w:r w:rsidRPr="003C7E17">
              <w:rPr>
                <w:rFonts w:ascii="Times New Roman" w:hAnsi="Times New Roman"/>
                <w:b/>
                <w:color w:val="000000" w:themeColor="text1"/>
                <w:sz w:val="20"/>
                <w:szCs w:val="20"/>
              </w:rPr>
              <w:t>Year</w:t>
            </w:r>
          </w:p>
        </w:tc>
        <w:tc>
          <w:tcPr>
            <w:tcW w:w="1200" w:type="dxa"/>
            <w:shd w:val="clear" w:color="auto" w:fill="F2F2F2" w:themeFill="background1" w:themeFillShade="F2"/>
          </w:tcPr>
          <w:p w:rsidR="0045452B" w:rsidRPr="003C7E17" w:rsidRDefault="0045452B" w:rsidP="0045452B">
            <w:pPr>
              <w:autoSpaceDE w:val="0"/>
              <w:autoSpaceDN w:val="0"/>
              <w:adjustRightInd w:val="0"/>
              <w:spacing w:line="260" w:lineRule="exact"/>
              <w:jc w:val="center"/>
              <w:rPr>
                <w:rFonts w:ascii="Times New Roman" w:hAnsi="Times New Roman"/>
                <w:b/>
                <w:color w:val="000000" w:themeColor="text1"/>
                <w:sz w:val="20"/>
                <w:szCs w:val="20"/>
              </w:rPr>
            </w:pPr>
            <w:r w:rsidRPr="003C7E17">
              <w:rPr>
                <w:rFonts w:ascii="Times New Roman" w:hAnsi="Times New Roman"/>
                <w:b/>
                <w:color w:val="000000" w:themeColor="text1"/>
                <w:sz w:val="20"/>
                <w:szCs w:val="20"/>
              </w:rPr>
              <w:t>No. of   New Cases</w:t>
            </w:r>
          </w:p>
        </w:tc>
        <w:tc>
          <w:tcPr>
            <w:tcW w:w="2259" w:type="dxa"/>
            <w:shd w:val="clear" w:color="auto" w:fill="F2F2F2" w:themeFill="background1" w:themeFillShade="F2"/>
          </w:tcPr>
          <w:p w:rsidR="0045452B" w:rsidRPr="003C7E17" w:rsidRDefault="0045452B" w:rsidP="00932E69">
            <w:pPr>
              <w:autoSpaceDE w:val="0"/>
              <w:autoSpaceDN w:val="0"/>
              <w:adjustRightInd w:val="0"/>
              <w:spacing w:line="260" w:lineRule="exact"/>
              <w:ind w:left="-108" w:right="-61"/>
              <w:jc w:val="center"/>
              <w:rPr>
                <w:rFonts w:ascii="Times New Roman" w:hAnsi="Times New Roman"/>
                <w:b/>
                <w:color w:val="000000" w:themeColor="text1"/>
                <w:sz w:val="20"/>
                <w:szCs w:val="20"/>
              </w:rPr>
            </w:pPr>
            <w:r w:rsidRPr="003C7E17">
              <w:rPr>
                <w:rFonts w:ascii="Times New Roman" w:hAnsi="Times New Roman"/>
                <w:b/>
                <w:color w:val="000000" w:themeColor="text1"/>
                <w:sz w:val="20"/>
                <w:szCs w:val="20"/>
              </w:rPr>
              <w:t xml:space="preserve">No. of New Cases </w:t>
            </w:r>
          </w:p>
          <w:p w:rsidR="0045452B" w:rsidRPr="003C7E17" w:rsidRDefault="0045452B" w:rsidP="00932E69">
            <w:pPr>
              <w:autoSpaceDE w:val="0"/>
              <w:autoSpaceDN w:val="0"/>
              <w:adjustRightInd w:val="0"/>
              <w:spacing w:line="260" w:lineRule="exact"/>
              <w:ind w:left="-108" w:right="-61"/>
              <w:jc w:val="center"/>
              <w:rPr>
                <w:rFonts w:ascii="Times New Roman" w:hAnsi="Times New Roman"/>
                <w:b/>
                <w:color w:val="000000" w:themeColor="text1"/>
                <w:sz w:val="20"/>
                <w:szCs w:val="20"/>
              </w:rPr>
            </w:pPr>
            <w:r w:rsidRPr="003C7E17">
              <w:rPr>
                <w:rFonts w:ascii="Times New Roman" w:hAnsi="Times New Roman"/>
                <w:b/>
                <w:color w:val="000000" w:themeColor="text1"/>
                <w:sz w:val="20"/>
                <w:szCs w:val="20"/>
              </w:rPr>
              <w:t>w/ Appointed Counsel</w:t>
            </w:r>
          </w:p>
        </w:tc>
      </w:tr>
      <w:tr w:rsidR="0045452B" w:rsidRPr="003C7E17" w:rsidTr="00D165DC">
        <w:tc>
          <w:tcPr>
            <w:tcW w:w="1491" w:type="dxa"/>
          </w:tcPr>
          <w:p w:rsidR="0045452B" w:rsidRPr="003C7E17" w:rsidRDefault="0045452B" w:rsidP="0045452B">
            <w:pPr>
              <w:autoSpaceDE w:val="0"/>
              <w:autoSpaceDN w:val="0"/>
              <w:adjustRightInd w:val="0"/>
              <w:spacing w:line="260" w:lineRule="exact"/>
              <w:jc w:val="center"/>
              <w:rPr>
                <w:rFonts w:ascii="Times New Roman" w:hAnsi="Times New Roman"/>
                <w:color w:val="000000" w:themeColor="text1"/>
                <w:sz w:val="20"/>
                <w:szCs w:val="20"/>
              </w:rPr>
            </w:pPr>
            <w:r w:rsidRPr="003C7E17">
              <w:rPr>
                <w:rFonts w:ascii="Times New Roman" w:hAnsi="Times New Roman"/>
                <w:color w:val="000000" w:themeColor="text1"/>
                <w:sz w:val="20"/>
                <w:szCs w:val="20"/>
              </w:rPr>
              <w:t>2010/2011</w:t>
            </w:r>
          </w:p>
        </w:tc>
        <w:tc>
          <w:tcPr>
            <w:tcW w:w="1200" w:type="dxa"/>
          </w:tcPr>
          <w:p w:rsidR="0045452B" w:rsidRPr="003C7E17" w:rsidRDefault="0045452B" w:rsidP="0045452B">
            <w:pPr>
              <w:autoSpaceDE w:val="0"/>
              <w:autoSpaceDN w:val="0"/>
              <w:adjustRightInd w:val="0"/>
              <w:spacing w:line="260" w:lineRule="exact"/>
              <w:jc w:val="center"/>
              <w:rPr>
                <w:rFonts w:ascii="Times New Roman" w:hAnsi="Times New Roman"/>
                <w:color w:val="000000" w:themeColor="text1"/>
                <w:sz w:val="20"/>
                <w:szCs w:val="20"/>
              </w:rPr>
            </w:pPr>
            <w:r w:rsidRPr="003C7E17">
              <w:rPr>
                <w:rFonts w:ascii="Times New Roman" w:hAnsi="Times New Roman"/>
                <w:color w:val="000000" w:themeColor="text1"/>
                <w:sz w:val="20"/>
                <w:szCs w:val="20"/>
              </w:rPr>
              <w:t>179</w:t>
            </w:r>
          </w:p>
        </w:tc>
        <w:tc>
          <w:tcPr>
            <w:tcW w:w="2259" w:type="dxa"/>
          </w:tcPr>
          <w:p w:rsidR="0045452B" w:rsidRPr="003C7E17" w:rsidRDefault="0045452B" w:rsidP="0045452B">
            <w:pPr>
              <w:autoSpaceDE w:val="0"/>
              <w:autoSpaceDN w:val="0"/>
              <w:adjustRightInd w:val="0"/>
              <w:spacing w:line="260" w:lineRule="exact"/>
              <w:jc w:val="center"/>
              <w:rPr>
                <w:rFonts w:ascii="Times New Roman" w:hAnsi="Times New Roman"/>
                <w:color w:val="000000" w:themeColor="text1"/>
                <w:sz w:val="20"/>
                <w:szCs w:val="20"/>
              </w:rPr>
            </w:pPr>
            <w:r w:rsidRPr="003C7E17">
              <w:rPr>
                <w:rFonts w:ascii="Times New Roman" w:hAnsi="Times New Roman"/>
                <w:color w:val="000000" w:themeColor="text1"/>
                <w:sz w:val="20"/>
                <w:szCs w:val="20"/>
              </w:rPr>
              <w:t>171</w:t>
            </w:r>
          </w:p>
        </w:tc>
      </w:tr>
      <w:tr w:rsidR="0045452B" w:rsidRPr="003C7E17" w:rsidTr="00D165DC">
        <w:tc>
          <w:tcPr>
            <w:tcW w:w="1491" w:type="dxa"/>
          </w:tcPr>
          <w:p w:rsidR="0045452B" w:rsidRPr="003C7E17" w:rsidRDefault="0045452B" w:rsidP="0045452B">
            <w:pPr>
              <w:autoSpaceDE w:val="0"/>
              <w:autoSpaceDN w:val="0"/>
              <w:adjustRightInd w:val="0"/>
              <w:spacing w:line="260" w:lineRule="exact"/>
              <w:jc w:val="center"/>
              <w:rPr>
                <w:rFonts w:ascii="Times New Roman" w:hAnsi="Times New Roman"/>
                <w:color w:val="000000" w:themeColor="text1"/>
                <w:sz w:val="20"/>
                <w:szCs w:val="20"/>
              </w:rPr>
            </w:pPr>
            <w:r w:rsidRPr="003C7E17">
              <w:rPr>
                <w:rFonts w:ascii="Times New Roman" w:hAnsi="Times New Roman"/>
                <w:color w:val="000000" w:themeColor="text1"/>
                <w:sz w:val="20"/>
                <w:szCs w:val="20"/>
              </w:rPr>
              <w:t>2011/2012</w:t>
            </w:r>
          </w:p>
        </w:tc>
        <w:tc>
          <w:tcPr>
            <w:tcW w:w="1200" w:type="dxa"/>
          </w:tcPr>
          <w:p w:rsidR="0045452B" w:rsidRPr="003C7E17" w:rsidRDefault="0045452B" w:rsidP="0045452B">
            <w:pPr>
              <w:autoSpaceDE w:val="0"/>
              <w:autoSpaceDN w:val="0"/>
              <w:adjustRightInd w:val="0"/>
              <w:spacing w:line="260" w:lineRule="exact"/>
              <w:jc w:val="center"/>
              <w:rPr>
                <w:rFonts w:ascii="Times New Roman" w:hAnsi="Times New Roman"/>
                <w:color w:val="000000" w:themeColor="text1"/>
                <w:sz w:val="20"/>
                <w:szCs w:val="20"/>
              </w:rPr>
            </w:pPr>
            <w:r w:rsidRPr="003C7E17">
              <w:rPr>
                <w:rFonts w:ascii="Times New Roman" w:hAnsi="Times New Roman"/>
                <w:color w:val="000000" w:themeColor="text1"/>
                <w:sz w:val="20"/>
                <w:szCs w:val="20"/>
              </w:rPr>
              <w:t>200</w:t>
            </w:r>
          </w:p>
        </w:tc>
        <w:tc>
          <w:tcPr>
            <w:tcW w:w="2259" w:type="dxa"/>
          </w:tcPr>
          <w:p w:rsidR="0045452B" w:rsidRPr="003C7E17" w:rsidRDefault="0045452B" w:rsidP="0045452B">
            <w:pPr>
              <w:autoSpaceDE w:val="0"/>
              <w:autoSpaceDN w:val="0"/>
              <w:adjustRightInd w:val="0"/>
              <w:spacing w:line="260" w:lineRule="exact"/>
              <w:jc w:val="center"/>
              <w:rPr>
                <w:rFonts w:ascii="Times New Roman" w:hAnsi="Times New Roman"/>
                <w:color w:val="000000" w:themeColor="text1"/>
                <w:sz w:val="20"/>
                <w:szCs w:val="20"/>
              </w:rPr>
            </w:pPr>
            <w:r w:rsidRPr="003C7E17">
              <w:rPr>
                <w:rFonts w:ascii="Times New Roman" w:hAnsi="Times New Roman"/>
                <w:color w:val="000000" w:themeColor="text1"/>
                <w:sz w:val="20"/>
                <w:szCs w:val="20"/>
              </w:rPr>
              <w:t>186</w:t>
            </w:r>
          </w:p>
        </w:tc>
      </w:tr>
      <w:tr w:rsidR="0045452B" w:rsidRPr="003C7E17" w:rsidTr="00D165DC">
        <w:tc>
          <w:tcPr>
            <w:tcW w:w="1491" w:type="dxa"/>
          </w:tcPr>
          <w:p w:rsidR="0045452B" w:rsidRPr="003C7E17" w:rsidRDefault="0045452B" w:rsidP="0045452B">
            <w:pPr>
              <w:autoSpaceDE w:val="0"/>
              <w:autoSpaceDN w:val="0"/>
              <w:adjustRightInd w:val="0"/>
              <w:spacing w:line="260" w:lineRule="exact"/>
              <w:jc w:val="center"/>
              <w:rPr>
                <w:rFonts w:ascii="Times New Roman" w:hAnsi="Times New Roman"/>
                <w:color w:val="000000" w:themeColor="text1"/>
                <w:sz w:val="20"/>
                <w:szCs w:val="20"/>
              </w:rPr>
            </w:pPr>
            <w:r w:rsidRPr="003C7E17">
              <w:rPr>
                <w:rFonts w:ascii="Times New Roman" w:hAnsi="Times New Roman"/>
                <w:color w:val="000000" w:themeColor="text1"/>
                <w:sz w:val="20"/>
                <w:szCs w:val="20"/>
              </w:rPr>
              <w:t>2012/2013</w:t>
            </w:r>
          </w:p>
        </w:tc>
        <w:tc>
          <w:tcPr>
            <w:tcW w:w="1200" w:type="dxa"/>
          </w:tcPr>
          <w:p w:rsidR="0045452B" w:rsidRPr="003C7E17" w:rsidRDefault="0045452B" w:rsidP="0045452B">
            <w:pPr>
              <w:autoSpaceDE w:val="0"/>
              <w:autoSpaceDN w:val="0"/>
              <w:adjustRightInd w:val="0"/>
              <w:spacing w:line="260" w:lineRule="exact"/>
              <w:jc w:val="center"/>
              <w:rPr>
                <w:rFonts w:ascii="Times New Roman" w:hAnsi="Times New Roman"/>
                <w:color w:val="000000" w:themeColor="text1"/>
                <w:sz w:val="20"/>
                <w:szCs w:val="20"/>
              </w:rPr>
            </w:pPr>
            <w:r w:rsidRPr="003C7E17">
              <w:rPr>
                <w:rFonts w:ascii="Times New Roman" w:hAnsi="Times New Roman"/>
                <w:color w:val="000000" w:themeColor="text1"/>
                <w:sz w:val="20"/>
                <w:szCs w:val="20"/>
              </w:rPr>
              <w:t>196</w:t>
            </w:r>
          </w:p>
        </w:tc>
        <w:tc>
          <w:tcPr>
            <w:tcW w:w="2259" w:type="dxa"/>
          </w:tcPr>
          <w:p w:rsidR="0045452B" w:rsidRPr="003C7E17" w:rsidRDefault="0045452B" w:rsidP="0045452B">
            <w:pPr>
              <w:autoSpaceDE w:val="0"/>
              <w:autoSpaceDN w:val="0"/>
              <w:adjustRightInd w:val="0"/>
              <w:spacing w:line="260" w:lineRule="exact"/>
              <w:jc w:val="center"/>
              <w:rPr>
                <w:rFonts w:ascii="Times New Roman" w:hAnsi="Times New Roman"/>
                <w:color w:val="000000" w:themeColor="text1"/>
                <w:sz w:val="20"/>
                <w:szCs w:val="20"/>
              </w:rPr>
            </w:pPr>
            <w:r w:rsidRPr="003C7E17">
              <w:rPr>
                <w:rFonts w:ascii="Times New Roman" w:hAnsi="Times New Roman"/>
                <w:color w:val="000000" w:themeColor="text1"/>
                <w:sz w:val="20"/>
                <w:szCs w:val="20"/>
              </w:rPr>
              <w:t>164</w:t>
            </w:r>
          </w:p>
        </w:tc>
      </w:tr>
    </w:tbl>
    <w:p w:rsidR="00932E69" w:rsidRPr="003C7E17" w:rsidRDefault="00932E69" w:rsidP="00932E69">
      <w:pPr>
        <w:autoSpaceDE w:val="0"/>
        <w:autoSpaceDN w:val="0"/>
        <w:adjustRightInd w:val="0"/>
        <w:spacing w:after="120"/>
        <w:ind w:right="-20"/>
        <w:rPr>
          <w:rStyle w:val="s3"/>
          <w:color w:val="000000" w:themeColor="text1"/>
        </w:rPr>
      </w:pPr>
    </w:p>
    <w:p w:rsidR="00932E69" w:rsidRPr="003C7E17" w:rsidRDefault="00932E69" w:rsidP="00CF25E2">
      <w:pPr>
        <w:autoSpaceDE w:val="0"/>
        <w:autoSpaceDN w:val="0"/>
        <w:adjustRightInd w:val="0"/>
        <w:spacing w:after="120"/>
        <w:ind w:left="810" w:right="-20"/>
        <w:jc w:val="both"/>
        <w:rPr>
          <w:rStyle w:val="s3"/>
          <w:color w:val="000000" w:themeColor="text1"/>
          <w:sz w:val="24"/>
          <w:szCs w:val="24"/>
        </w:rPr>
      </w:pPr>
      <w:r w:rsidRPr="003C7E17">
        <w:rPr>
          <w:rStyle w:val="s3"/>
          <w:color w:val="000000" w:themeColor="text1"/>
          <w:sz w:val="24"/>
          <w:szCs w:val="24"/>
        </w:rPr>
        <w:t>The AOC does not have information regarding the projected number of cases to be assigned in the future.  However, proposers may consider the historical data presented in this document, within the RFP, and child welfare data provided in the link below to determine their own caseload projections.</w:t>
      </w:r>
    </w:p>
    <w:p w:rsidR="00932E69" w:rsidRPr="003C7E17" w:rsidRDefault="00932E69" w:rsidP="00647DF2">
      <w:pPr>
        <w:autoSpaceDE w:val="0"/>
        <w:autoSpaceDN w:val="0"/>
        <w:adjustRightInd w:val="0"/>
        <w:spacing w:after="120"/>
        <w:ind w:left="810" w:right="-20"/>
        <w:rPr>
          <w:rStyle w:val="s3"/>
          <w:color w:val="000000" w:themeColor="text1"/>
          <w:sz w:val="24"/>
          <w:szCs w:val="24"/>
        </w:rPr>
      </w:pPr>
      <w:r w:rsidRPr="003C7E17">
        <w:rPr>
          <w:rStyle w:val="s3"/>
          <w:color w:val="000000" w:themeColor="text1"/>
          <w:sz w:val="24"/>
          <w:szCs w:val="24"/>
        </w:rPr>
        <w:t xml:space="preserve">Additional child welfare data is available at </w:t>
      </w:r>
      <w:hyperlink r:id="rId17" w:anchor="acc18886" w:history="1">
        <w:r w:rsidRPr="003C7E17">
          <w:rPr>
            <w:rStyle w:val="Hyperlink"/>
            <w:color w:val="000000" w:themeColor="text1"/>
            <w:sz w:val="24"/>
            <w:szCs w:val="24"/>
          </w:rPr>
          <w:t>http://www.courts.ca.gov/brc.htm#acc18886</w:t>
        </w:r>
      </w:hyperlink>
      <w:r w:rsidRPr="003C7E17">
        <w:rPr>
          <w:rStyle w:val="s3"/>
          <w:color w:val="000000" w:themeColor="text1"/>
          <w:sz w:val="24"/>
          <w:szCs w:val="24"/>
        </w:rPr>
        <w:t xml:space="preserve"> in the section “Child Welfare County Data Profiles for the Courts”.</w:t>
      </w:r>
    </w:p>
    <w:p w:rsidR="00932E69" w:rsidRPr="003C7E17" w:rsidRDefault="00932E69" w:rsidP="002C2A08">
      <w:pPr>
        <w:pStyle w:val="s6"/>
        <w:numPr>
          <w:ilvl w:val="0"/>
          <w:numId w:val="12"/>
        </w:numPr>
        <w:tabs>
          <w:tab w:val="clear" w:pos="720"/>
          <w:tab w:val="num" w:pos="-180"/>
        </w:tabs>
        <w:spacing w:before="0" w:beforeAutospacing="0" w:after="120" w:afterAutospacing="0"/>
        <w:ind w:left="-180" w:hanging="540"/>
        <w:jc w:val="both"/>
        <w:rPr>
          <w:rStyle w:val="s3"/>
          <w:color w:val="000000" w:themeColor="text1"/>
        </w:rPr>
      </w:pPr>
      <w:r w:rsidRPr="003C7E17">
        <w:rPr>
          <w:rStyle w:val="s3"/>
          <w:color w:val="000000" w:themeColor="text1"/>
        </w:rPr>
        <w:t>What was the total number of conflict cases assigned for each of the last three years through</w:t>
      </w:r>
      <w:r w:rsidR="00EC04FF" w:rsidRPr="003C7E17">
        <w:rPr>
          <w:rStyle w:val="s3"/>
          <w:color w:val="000000" w:themeColor="text1"/>
        </w:rPr>
        <w:t xml:space="preserve"> September </w:t>
      </w:r>
      <w:r w:rsidRPr="003C7E17">
        <w:rPr>
          <w:rStyle w:val="s3"/>
          <w:color w:val="000000" w:themeColor="text1"/>
        </w:rPr>
        <w:t>30</w:t>
      </w:r>
      <w:r w:rsidR="00EC04FF" w:rsidRPr="003C7E17">
        <w:rPr>
          <w:rStyle w:val="s3"/>
          <w:color w:val="000000" w:themeColor="text1"/>
        </w:rPr>
        <w:t>, 20</w:t>
      </w:r>
      <w:r w:rsidRPr="003C7E17">
        <w:rPr>
          <w:rStyle w:val="s3"/>
          <w:color w:val="000000" w:themeColor="text1"/>
        </w:rPr>
        <w:t>13?  What is the projected number of conflict cases to be assigned for each of the two contract years?</w:t>
      </w:r>
    </w:p>
    <w:p w:rsidR="00932E69" w:rsidRPr="003C7E17" w:rsidRDefault="00647DF2" w:rsidP="002C2A08">
      <w:pPr>
        <w:spacing w:after="120"/>
        <w:ind w:left="810" w:hanging="990"/>
        <w:jc w:val="both"/>
        <w:rPr>
          <w:rStyle w:val="s3"/>
          <w:color w:val="000000" w:themeColor="text1"/>
          <w:sz w:val="24"/>
          <w:szCs w:val="24"/>
        </w:rPr>
      </w:pPr>
      <w:r w:rsidRPr="003C7E17">
        <w:rPr>
          <w:rStyle w:val="s3"/>
          <w:color w:val="000000" w:themeColor="text1"/>
          <w:sz w:val="24"/>
          <w:szCs w:val="24"/>
        </w:rPr>
        <w:t xml:space="preserve">Answer: </w:t>
      </w:r>
      <w:r w:rsidR="002C2A08" w:rsidRPr="003C7E17">
        <w:rPr>
          <w:rStyle w:val="s3"/>
          <w:color w:val="000000" w:themeColor="text1"/>
          <w:sz w:val="24"/>
          <w:szCs w:val="24"/>
        </w:rPr>
        <w:t>C</w:t>
      </w:r>
      <w:r w:rsidR="00932E69" w:rsidRPr="003C7E17">
        <w:rPr>
          <w:rStyle w:val="s3"/>
          <w:color w:val="000000" w:themeColor="text1"/>
          <w:sz w:val="24"/>
          <w:szCs w:val="24"/>
        </w:rPr>
        <w:t>urrent contracts are held by sol</w:t>
      </w:r>
      <w:r w:rsidR="002C2A08" w:rsidRPr="003C7E17">
        <w:rPr>
          <w:rStyle w:val="s3"/>
          <w:color w:val="000000" w:themeColor="text1"/>
          <w:sz w:val="24"/>
          <w:szCs w:val="24"/>
        </w:rPr>
        <w:t>e</w:t>
      </w:r>
      <w:r w:rsidR="00932E69" w:rsidRPr="003C7E17">
        <w:rPr>
          <w:rStyle w:val="s3"/>
          <w:color w:val="000000" w:themeColor="text1"/>
          <w:sz w:val="24"/>
          <w:szCs w:val="24"/>
        </w:rPr>
        <w:t xml:space="preserve"> practitioners</w:t>
      </w:r>
      <w:r w:rsidR="000669C9" w:rsidRPr="003C7E17">
        <w:rPr>
          <w:rStyle w:val="s3"/>
          <w:color w:val="000000" w:themeColor="text1"/>
          <w:sz w:val="24"/>
          <w:szCs w:val="24"/>
        </w:rPr>
        <w:t>.  T</w:t>
      </w:r>
      <w:r w:rsidR="00932E69" w:rsidRPr="003C7E17">
        <w:rPr>
          <w:rStyle w:val="s3"/>
          <w:color w:val="000000" w:themeColor="text1"/>
          <w:sz w:val="24"/>
          <w:szCs w:val="24"/>
        </w:rPr>
        <w:t>he AOC does not have information regarding the number of conflict cases, as any conflicts are covered by other contracted vendors.  In instances where the number of conflicts on a case exceeds the number of contracted vendors available, cases are assigned to non-contracted vendors</w:t>
      </w:r>
      <w:r w:rsidR="000669C9" w:rsidRPr="003C7E17">
        <w:rPr>
          <w:rStyle w:val="s3"/>
          <w:color w:val="000000" w:themeColor="text1"/>
          <w:sz w:val="24"/>
          <w:szCs w:val="24"/>
        </w:rPr>
        <w:t>,</w:t>
      </w:r>
      <w:r w:rsidR="00932E69" w:rsidRPr="003C7E17">
        <w:rPr>
          <w:rStyle w:val="s3"/>
          <w:color w:val="000000" w:themeColor="text1"/>
          <w:sz w:val="24"/>
          <w:szCs w:val="24"/>
        </w:rPr>
        <w:t xml:space="preserve"> who are paid on an hourly basis.  </w:t>
      </w:r>
      <w:r w:rsidR="002C2A08" w:rsidRPr="003C7E17">
        <w:rPr>
          <w:rStyle w:val="s3"/>
          <w:color w:val="000000" w:themeColor="text1"/>
          <w:sz w:val="24"/>
          <w:szCs w:val="24"/>
        </w:rPr>
        <w:t>S</w:t>
      </w:r>
      <w:r w:rsidR="00932E69" w:rsidRPr="003C7E17">
        <w:rPr>
          <w:rStyle w:val="s3"/>
          <w:color w:val="000000" w:themeColor="text1"/>
          <w:sz w:val="24"/>
          <w:szCs w:val="24"/>
        </w:rPr>
        <w:t xml:space="preserve">ee the response to question </w:t>
      </w:r>
      <w:r w:rsidR="00362ADF" w:rsidRPr="003C7E17">
        <w:rPr>
          <w:rStyle w:val="s3"/>
          <w:color w:val="000000" w:themeColor="text1"/>
          <w:sz w:val="24"/>
          <w:szCs w:val="24"/>
        </w:rPr>
        <w:t>48</w:t>
      </w:r>
      <w:r w:rsidR="00932E69" w:rsidRPr="003C7E17">
        <w:rPr>
          <w:rStyle w:val="s3"/>
          <w:color w:val="000000" w:themeColor="text1"/>
          <w:sz w:val="24"/>
          <w:szCs w:val="24"/>
        </w:rPr>
        <w:t>, above, which provides total caseload data regardless of whether the case was assigned to a contract or non-contract vendor.</w:t>
      </w:r>
    </w:p>
    <w:p w:rsidR="00EC04FF" w:rsidRPr="003C7E17" w:rsidRDefault="00EC04FF" w:rsidP="006E25C4">
      <w:pPr>
        <w:pStyle w:val="s6"/>
        <w:numPr>
          <w:ilvl w:val="0"/>
          <w:numId w:val="12"/>
        </w:numPr>
        <w:tabs>
          <w:tab w:val="clear" w:pos="720"/>
          <w:tab w:val="num" w:pos="-180"/>
        </w:tabs>
        <w:spacing w:before="0" w:beforeAutospacing="0" w:after="120" w:afterAutospacing="0"/>
        <w:ind w:hanging="1440"/>
        <w:rPr>
          <w:color w:val="000000" w:themeColor="text1"/>
        </w:rPr>
      </w:pPr>
      <w:r w:rsidRPr="003C7E17">
        <w:rPr>
          <w:color w:val="000000" w:themeColor="text1"/>
        </w:rPr>
        <w:t xml:space="preserve">At what caseload </w:t>
      </w:r>
      <w:r w:rsidR="000669C9" w:rsidRPr="003C7E17">
        <w:rPr>
          <w:color w:val="000000" w:themeColor="text1"/>
        </w:rPr>
        <w:t xml:space="preserve">number </w:t>
      </w:r>
      <w:r w:rsidRPr="003C7E17">
        <w:rPr>
          <w:color w:val="000000" w:themeColor="text1"/>
        </w:rPr>
        <w:t>does the AOC consider an attorney full time?</w:t>
      </w:r>
    </w:p>
    <w:p w:rsidR="00EC04FF" w:rsidRPr="003C7E17" w:rsidRDefault="00647DF2" w:rsidP="00E05A9E">
      <w:pPr>
        <w:spacing w:after="120"/>
        <w:ind w:left="720" w:hanging="900"/>
        <w:rPr>
          <w:color w:val="000000" w:themeColor="text1"/>
          <w:sz w:val="24"/>
          <w:szCs w:val="24"/>
        </w:rPr>
      </w:pPr>
      <w:r w:rsidRPr="003C7E17">
        <w:rPr>
          <w:rStyle w:val="s3"/>
          <w:color w:val="000000" w:themeColor="text1"/>
          <w:sz w:val="24"/>
          <w:szCs w:val="24"/>
        </w:rPr>
        <w:t xml:space="preserve">Answer: </w:t>
      </w:r>
      <w:r w:rsidR="00EC04FF" w:rsidRPr="003C7E17">
        <w:rPr>
          <w:color w:val="000000" w:themeColor="text1"/>
          <w:sz w:val="24"/>
          <w:szCs w:val="24"/>
        </w:rPr>
        <w:t xml:space="preserve">As indicated in the October 2007 report to the Judicial Council, and as determined by the Caseload Funding Model, a full-time attorney aided by a 0.5 full-time equivalent investigator can carry a caseload of 188-200 clients.  </w:t>
      </w:r>
    </w:p>
    <w:p w:rsidR="00EC04FF" w:rsidRPr="003C7E17" w:rsidRDefault="00E05A9E" w:rsidP="00267C4C">
      <w:pPr>
        <w:autoSpaceDE w:val="0"/>
        <w:autoSpaceDN w:val="0"/>
        <w:adjustRightInd w:val="0"/>
        <w:spacing w:after="120"/>
        <w:ind w:left="720" w:hanging="720"/>
        <w:jc w:val="both"/>
        <w:rPr>
          <w:rStyle w:val="s3"/>
          <w:color w:val="000000" w:themeColor="text1"/>
          <w:sz w:val="24"/>
          <w:szCs w:val="24"/>
        </w:rPr>
      </w:pPr>
      <w:r w:rsidRPr="003C7E17">
        <w:rPr>
          <w:rStyle w:val="s3"/>
          <w:color w:val="000000" w:themeColor="text1"/>
          <w:sz w:val="24"/>
          <w:szCs w:val="24"/>
        </w:rPr>
        <w:lastRenderedPageBreak/>
        <w:tab/>
      </w:r>
      <w:r w:rsidR="00EC04FF" w:rsidRPr="003C7E17">
        <w:rPr>
          <w:rStyle w:val="s3"/>
          <w:color w:val="000000" w:themeColor="text1"/>
          <w:sz w:val="24"/>
          <w:szCs w:val="24"/>
        </w:rPr>
        <w:t xml:space="preserve">See </w:t>
      </w:r>
      <w:r w:rsidR="00EC04FF" w:rsidRPr="003C7E17">
        <w:rPr>
          <w:color w:val="000000" w:themeColor="text1"/>
          <w:sz w:val="24"/>
          <w:szCs w:val="24"/>
        </w:rPr>
        <w:t xml:space="preserve">pages 4-6 </w:t>
      </w:r>
      <w:r w:rsidR="00EC04FF" w:rsidRPr="003C7E17">
        <w:rPr>
          <w:rStyle w:val="s3"/>
          <w:color w:val="000000" w:themeColor="text1"/>
          <w:sz w:val="24"/>
          <w:szCs w:val="24"/>
        </w:rPr>
        <w:t xml:space="preserve">of the October 2007 report to the Judicial Council for more information: </w:t>
      </w:r>
      <w:hyperlink r:id="rId18" w:history="1">
        <w:r w:rsidR="00EC04FF" w:rsidRPr="003C7E17">
          <w:rPr>
            <w:rStyle w:val="Hyperlink"/>
            <w:color w:val="000000" w:themeColor="text1"/>
            <w:sz w:val="24"/>
            <w:szCs w:val="24"/>
          </w:rPr>
          <w:t>http://www.courts.ca.gov/documents/102607itemF.pdf</w:t>
        </w:r>
      </w:hyperlink>
    </w:p>
    <w:p w:rsidR="00EC04FF" w:rsidRPr="003C7E17" w:rsidRDefault="00EC04FF" w:rsidP="006E25C4">
      <w:pPr>
        <w:pStyle w:val="ListParagraph"/>
        <w:numPr>
          <w:ilvl w:val="0"/>
          <w:numId w:val="12"/>
        </w:numPr>
        <w:tabs>
          <w:tab w:val="clear" w:pos="720"/>
          <w:tab w:val="num" w:pos="-180"/>
        </w:tabs>
        <w:autoSpaceDE w:val="0"/>
        <w:autoSpaceDN w:val="0"/>
        <w:adjustRightInd w:val="0"/>
        <w:spacing w:after="120"/>
        <w:ind w:right="-20" w:hanging="1440"/>
        <w:rPr>
          <w:rStyle w:val="s3"/>
          <w:rFonts w:ascii="Times New Roman" w:hAnsi="Times New Roman"/>
          <w:color w:val="000000" w:themeColor="text1"/>
          <w:sz w:val="24"/>
          <w:szCs w:val="24"/>
        </w:rPr>
      </w:pPr>
      <w:r w:rsidRPr="003C7E17">
        <w:rPr>
          <w:rStyle w:val="s3"/>
          <w:rFonts w:ascii="Times New Roman" w:hAnsi="Times New Roman"/>
          <w:color w:val="000000" w:themeColor="text1"/>
          <w:sz w:val="24"/>
          <w:szCs w:val="24"/>
        </w:rPr>
        <w:t>What is the estimated time spent on a typical case?</w:t>
      </w:r>
    </w:p>
    <w:p w:rsidR="00D55231" w:rsidRPr="003C7E17" w:rsidRDefault="00647DF2" w:rsidP="00267C4C">
      <w:pPr>
        <w:pStyle w:val="s6"/>
        <w:spacing w:before="0" w:beforeAutospacing="0" w:after="150" w:afterAutospacing="0"/>
        <w:ind w:left="720" w:hanging="900"/>
        <w:jc w:val="both"/>
        <w:rPr>
          <w:rStyle w:val="s3"/>
          <w:color w:val="000000" w:themeColor="text1"/>
        </w:rPr>
      </w:pPr>
      <w:r w:rsidRPr="003C7E17">
        <w:rPr>
          <w:rStyle w:val="s3"/>
          <w:color w:val="000000" w:themeColor="text1"/>
        </w:rPr>
        <w:t xml:space="preserve">Answer: </w:t>
      </w:r>
      <w:r w:rsidR="00EC04FF" w:rsidRPr="003C7E17">
        <w:rPr>
          <w:rStyle w:val="s3"/>
          <w:color w:val="000000" w:themeColor="text1"/>
        </w:rPr>
        <w:t>The average time spent on a typical case is approximately</w:t>
      </w:r>
      <w:r w:rsidR="00267C4C" w:rsidRPr="003C7E17">
        <w:rPr>
          <w:rStyle w:val="s3"/>
          <w:color w:val="000000" w:themeColor="text1"/>
        </w:rPr>
        <w:t xml:space="preserve"> eight (</w:t>
      </w:r>
      <w:r w:rsidR="00EC04FF" w:rsidRPr="003C7E17">
        <w:rPr>
          <w:rStyle w:val="s3"/>
          <w:color w:val="000000" w:themeColor="text1"/>
        </w:rPr>
        <w:t>8</w:t>
      </w:r>
      <w:r w:rsidR="00267C4C" w:rsidRPr="003C7E17">
        <w:rPr>
          <w:rStyle w:val="s3"/>
          <w:color w:val="000000" w:themeColor="text1"/>
        </w:rPr>
        <w:t>)</w:t>
      </w:r>
      <w:r w:rsidR="00EC04FF" w:rsidRPr="003C7E17">
        <w:rPr>
          <w:rStyle w:val="s3"/>
          <w:color w:val="000000" w:themeColor="text1"/>
        </w:rPr>
        <w:t xml:space="preserve"> hours, according to the June 2004 Dependency Counsel Caseload Study conducted by the American Humane Association on behalf of the Administrative office of the Courts.  This study was used to determine the Caseload Funding Model mentioned in </w:t>
      </w:r>
      <w:r w:rsidR="00EC04FF" w:rsidRPr="003C7E17">
        <w:rPr>
          <w:rStyle w:val="s3"/>
          <w:i/>
          <w:color w:val="000000" w:themeColor="text1"/>
        </w:rPr>
        <w:t>RFP section 7.2.2</w:t>
      </w:r>
      <w:r w:rsidR="00EC04FF" w:rsidRPr="003C7E17">
        <w:rPr>
          <w:rStyle w:val="s3"/>
          <w:color w:val="000000" w:themeColor="text1"/>
        </w:rPr>
        <w:t>.</w:t>
      </w:r>
    </w:p>
    <w:p w:rsidR="00DF3E09" w:rsidRPr="003C7E17" w:rsidRDefault="00DF3E09" w:rsidP="00267C4C">
      <w:pPr>
        <w:pStyle w:val="s6"/>
        <w:numPr>
          <w:ilvl w:val="0"/>
          <w:numId w:val="12"/>
        </w:numPr>
        <w:tabs>
          <w:tab w:val="clear" w:pos="720"/>
          <w:tab w:val="num" w:pos="-180"/>
        </w:tabs>
        <w:spacing w:before="0" w:beforeAutospacing="0" w:after="120" w:afterAutospacing="0"/>
        <w:ind w:hanging="1440"/>
        <w:jc w:val="both"/>
        <w:rPr>
          <w:color w:val="000000" w:themeColor="text1"/>
        </w:rPr>
      </w:pPr>
      <w:r w:rsidRPr="003C7E17">
        <w:rPr>
          <w:rStyle w:val="s3"/>
          <w:color w:val="000000" w:themeColor="text1"/>
        </w:rPr>
        <w:t>What are the accounting system requirements?</w:t>
      </w:r>
    </w:p>
    <w:p w:rsidR="00D55231" w:rsidRPr="003C7E17" w:rsidRDefault="00647DF2" w:rsidP="00267C4C">
      <w:pPr>
        <w:pStyle w:val="s6"/>
        <w:spacing w:before="0" w:beforeAutospacing="0" w:after="150" w:afterAutospacing="0"/>
        <w:ind w:left="720" w:hanging="900"/>
        <w:jc w:val="both"/>
        <w:rPr>
          <w:rStyle w:val="s3"/>
          <w:color w:val="000000" w:themeColor="text1"/>
        </w:rPr>
      </w:pPr>
      <w:r w:rsidRPr="003C7E17">
        <w:rPr>
          <w:rStyle w:val="s3"/>
          <w:color w:val="000000" w:themeColor="text1"/>
        </w:rPr>
        <w:t xml:space="preserve">Answer: </w:t>
      </w:r>
      <w:r w:rsidR="00E05A9E" w:rsidRPr="003C7E17">
        <w:rPr>
          <w:rStyle w:val="s3"/>
          <w:color w:val="000000" w:themeColor="text1"/>
        </w:rPr>
        <w:t xml:space="preserve"> </w:t>
      </w:r>
      <w:r w:rsidR="00DF3E09" w:rsidRPr="003C7E17">
        <w:rPr>
          <w:rStyle w:val="s3"/>
          <w:color w:val="000000" w:themeColor="text1"/>
        </w:rPr>
        <w:t xml:space="preserve">As indicated in </w:t>
      </w:r>
      <w:r w:rsidR="00DF3E09" w:rsidRPr="003C7E17">
        <w:rPr>
          <w:rStyle w:val="s3"/>
          <w:i/>
          <w:color w:val="000000" w:themeColor="text1"/>
        </w:rPr>
        <w:t>Attachment 2 – Contract Terms and Conditions, Exhibit A, section 17</w:t>
      </w:r>
      <w:r w:rsidR="00DF3E09" w:rsidRPr="003C7E17">
        <w:rPr>
          <w:rStyle w:val="s3"/>
          <w:color w:val="000000" w:themeColor="text1"/>
        </w:rPr>
        <w:t>, “Contractor shall maintain an adequate system of accounting and internal controls in accordance with Generally Accepted Accounting Principles (GAAP).”</w:t>
      </w:r>
    </w:p>
    <w:p w:rsidR="0094486B" w:rsidRPr="003C7E17" w:rsidRDefault="0094486B" w:rsidP="00267C4C">
      <w:pPr>
        <w:pStyle w:val="ListParagraph"/>
        <w:numPr>
          <w:ilvl w:val="0"/>
          <w:numId w:val="12"/>
        </w:numPr>
        <w:tabs>
          <w:tab w:val="clear" w:pos="720"/>
          <w:tab w:val="num" w:pos="-180"/>
        </w:tabs>
        <w:spacing w:after="120"/>
        <w:ind w:hanging="1440"/>
        <w:jc w:val="both"/>
        <w:rPr>
          <w:rStyle w:val="s3"/>
          <w:rFonts w:ascii="Times New Roman" w:hAnsi="Times New Roman"/>
          <w:color w:val="000000" w:themeColor="text1"/>
          <w:sz w:val="24"/>
          <w:szCs w:val="24"/>
        </w:rPr>
      </w:pPr>
      <w:r w:rsidRPr="003C7E17">
        <w:rPr>
          <w:rStyle w:val="s3"/>
          <w:rFonts w:ascii="Times New Roman" w:hAnsi="Times New Roman"/>
          <w:color w:val="000000" w:themeColor="text1"/>
          <w:sz w:val="24"/>
          <w:szCs w:val="24"/>
        </w:rPr>
        <w:t>Can contractors design their own invoicing or are forms to be provided?</w:t>
      </w:r>
    </w:p>
    <w:p w:rsidR="0094486B" w:rsidRPr="003C7E17" w:rsidRDefault="00E05A9E" w:rsidP="00267C4C">
      <w:pPr>
        <w:spacing w:after="120"/>
        <w:ind w:left="-180"/>
        <w:jc w:val="both"/>
        <w:rPr>
          <w:rStyle w:val="s3"/>
          <w:color w:val="000000" w:themeColor="text1"/>
          <w:sz w:val="24"/>
          <w:szCs w:val="24"/>
        </w:rPr>
      </w:pPr>
      <w:r w:rsidRPr="003C7E17">
        <w:rPr>
          <w:rStyle w:val="s3"/>
          <w:color w:val="000000" w:themeColor="text1"/>
          <w:sz w:val="24"/>
          <w:szCs w:val="24"/>
        </w:rPr>
        <w:t xml:space="preserve">Answer: </w:t>
      </w:r>
      <w:r w:rsidR="0094486B" w:rsidRPr="003C7E17">
        <w:rPr>
          <w:rStyle w:val="s3"/>
          <w:color w:val="000000" w:themeColor="text1"/>
          <w:sz w:val="24"/>
          <w:szCs w:val="24"/>
        </w:rPr>
        <w:t xml:space="preserve">The AOC will provide invoice templates after contractor selection.  Any invoice must </w:t>
      </w:r>
      <w:r w:rsidRPr="003C7E17">
        <w:rPr>
          <w:rStyle w:val="s3"/>
          <w:color w:val="000000" w:themeColor="text1"/>
          <w:sz w:val="24"/>
          <w:szCs w:val="24"/>
        </w:rPr>
        <w:tab/>
      </w:r>
      <w:r w:rsidRPr="003C7E17">
        <w:rPr>
          <w:rStyle w:val="s3"/>
          <w:color w:val="000000" w:themeColor="text1"/>
          <w:sz w:val="24"/>
          <w:szCs w:val="24"/>
        </w:rPr>
        <w:tab/>
      </w:r>
      <w:r w:rsidR="0094486B" w:rsidRPr="003C7E17">
        <w:rPr>
          <w:rStyle w:val="s3"/>
          <w:color w:val="000000" w:themeColor="text1"/>
          <w:sz w:val="24"/>
          <w:szCs w:val="24"/>
        </w:rPr>
        <w:t xml:space="preserve">meet the terms described in </w:t>
      </w:r>
      <w:r w:rsidR="0094486B" w:rsidRPr="003C7E17">
        <w:rPr>
          <w:rStyle w:val="s3"/>
          <w:i/>
          <w:color w:val="000000" w:themeColor="text1"/>
          <w:sz w:val="24"/>
          <w:szCs w:val="24"/>
        </w:rPr>
        <w:t>Attachment 2 – Contract Terms and Conditions, Exhibit C</w:t>
      </w:r>
      <w:r w:rsidR="0094486B" w:rsidRPr="003C7E17">
        <w:rPr>
          <w:rStyle w:val="s3"/>
          <w:color w:val="000000" w:themeColor="text1"/>
          <w:sz w:val="24"/>
          <w:szCs w:val="24"/>
        </w:rPr>
        <w:t xml:space="preserve">.  </w:t>
      </w:r>
    </w:p>
    <w:p w:rsidR="0094486B" w:rsidRPr="003C7E17" w:rsidRDefault="0094486B" w:rsidP="00267C4C">
      <w:pPr>
        <w:pStyle w:val="ListParagraph"/>
        <w:numPr>
          <w:ilvl w:val="0"/>
          <w:numId w:val="12"/>
        </w:numPr>
        <w:tabs>
          <w:tab w:val="clear" w:pos="720"/>
        </w:tabs>
        <w:spacing w:after="120"/>
        <w:ind w:left="-180" w:hanging="540"/>
        <w:jc w:val="both"/>
        <w:rPr>
          <w:rStyle w:val="s3"/>
          <w:rFonts w:ascii="Times New Roman" w:hAnsi="Times New Roman"/>
          <w:color w:val="000000" w:themeColor="text1"/>
          <w:sz w:val="24"/>
          <w:szCs w:val="24"/>
        </w:rPr>
      </w:pPr>
      <w:r w:rsidRPr="003C7E17">
        <w:rPr>
          <w:rStyle w:val="s3"/>
          <w:rFonts w:ascii="Times New Roman" w:hAnsi="Times New Roman"/>
          <w:color w:val="000000" w:themeColor="text1"/>
          <w:sz w:val="24"/>
          <w:szCs w:val="24"/>
        </w:rPr>
        <w:t xml:space="preserve">Can contractors design their own quarterly workload report, described in </w:t>
      </w:r>
      <w:r w:rsidRPr="003C7E17">
        <w:rPr>
          <w:rStyle w:val="s3"/>
          <w:rFonts w:ascii="Times New Roman" w:hAnsi="Times New Roman"/>
          <w:i/>
          <w:color w:val="000000" w:themeColor="text1"/>
          <w:sz w:val="24"/>
          <w:szCs w:val="24"/>
        </w:rPr>
        <w:t>Attachment 2 – Contract Terms and Conditions, Exhibit C, section 8.A</w:t>
      </w:r>
      <w:r w:rsidR="00AC266D" w:rsidRPr="003C7E17">
        <w:rPr>
          <w:rStyle w:val="s3"/>
          <w:rFonts w:ascii="Times New Roman" w:hAnsi="Times New Roman"/>
          <w:i/>
          <w:color w:val="000000" w:themeColor="text1"/>
          <w:sz w:val="24"/>
          <w:szCs w:val="24"/>
        </w:rPr>
        <w:t xml:space="preserve"> </w:t>
      </w:r>
      <w:r w:rsidRPr="003C7E17">
        <w:rPr>
          <w:rStyle w:val="s3"/>
          <w:rFonts w:ascii="Times New Roman" w:hAnsi="Times New Roman"/>
          <w:i/>
          <w:color w:val="000000" w:themeColor="text1"/>
          <w:sz w:val="24"/>
          <w:szCs w:val="24"/>
        </w:rPr>
        <w:t>(iv)</w:t>
      </w:r>
      <w:r w:rsidRPr="003C7E17">
        <w:rPr>
          <w:rStyle w:val="s3"/>
          <w:rFonts w:ascii="Times New Roman" w:hAnsi="Times New Roman"/>
          <w:color w:val="000000" w:themeColor="text1"/>
          <w:sz w:val="24"/>
          <w:szCs w:val="24"/>
        </w:rPr>
        <w:t>, or is there a report template to be used?</w:t>
      </w:r>
    </w:p>
    <w:p w:rsidR="00DF3E09" w:rsidRPr="003C7E17" w:rsidRDefault="00E05A9E" w:rsidP="00267C4C">
      <w:pPr>
        <w:spacing w:after="120"/>
        <w:ind w:left="720" w:hanging="900"/>
        <w:jc w:val="both"/>
        <w:rPr>
          <w:rStyle w:val="s3"/>
          <w:color w:val="000000" w:themeColor="text1"/>
          <w:sz w:val="24"/>
          <w:szCs w:val="24"/>
        </w:rPr>
      </w:pPr>
      <w:r w:rsidRPr="003C7E17">
        <w:rPr>
          <w:rStyle w:val="s3"/>
          <w:color w:val="000000" w:themeColor="text1"/>
          <w:sz w:val="24"/>
          <w:szCs w:val="24"/>
        </w:rPr>
        <w:t xml:space="preserve">Answer: </w:t>
      </w:r>
      <w:r w:rsidR="0094486B" w:rsidRPr="003C7E17">
        <w:rPr>
          <w:rStyle w:val="s3"/>
          <w:color w:val="000000" w:themeColor="text1"/>
          <w:sz w:val="24"/>
          <w:szCs w:val="24"/>
        </w:rPr>
        <w:t xml:space="preserve">Contractors must use the JCATS case management system, described in </w:t>
      </w:r>
      <w:r w:rsidR="0094486B" w:rsidRPr="003C7E17">
        <w:rPr>
          <w:rStyle w:val="s3"/>
          <w:i/>
          <w:color w:val="000000" w:themeColor="text1"/>
          <w:sz w:val="24"/>
          <w:szCs w:val="24"/>
        </w:rPr>
        <w:t>RFP section 7.1.3(g),</w:t>
      </w:r>
      <w:r w:rsidR="0094486B" w:rsidRPr="003C7E17">
        <w:rPr>
          <w:rStyle w:val="s3"/>
          <w:color w:val="000000" w:themeColor="text1"/>
          <w:sz w:val="24"/>
          <w:szCs w:val="24"/>
        </w:rPr>
        <w:t xml:space="preserve"> for their quarterly workload report.  Training on the use of JCATS will be provided after contractor selection.</w:t>
      </w:r>
    </w:p>
    <w:p w:rsidR="0094486B" w:rsidRPr="003C7E17" w:rsidRDefault="0094486B" w:rsidP="004546F5">
      <w:pPr>
        <w:pStyle w:val="ListParagraph"/>
        <w:numPr>
          <w:ilvl w:val="0"/>
          <w:numId w:val="12"/>
        </w:numPr>
        <w:tabs>
          <w:tab w:val="clear" w:pos="720"/>
          <w:tab w:val="num" w:pos="360"/>
        </w:tabs>
        <w:spacing w:after="120"/>
        <w:ind w:left="-180" w:hanging="540"/>
        <w:jc w:val="both"/>
        <w:rPr>
          <w:rStyle w:val="s3"/>
          <w:rFonts w:ascii="Times New Roman" w:hAnsi="Times New Roman"/>
          <w:color w:val="000000" w:themeColor="text1"/>
          <w:sz w:val="24"/>
          <w:szCs w:val="24"/>
        </w:rPr>
      </w:pPr>
      <w:r w:rsidRPr="003C7E17">
        <w:rPr>
          <w:rStyle w:val="s3"/>
          <w:rFonts w:ascii="Times New Roman" w:hAnsi="Times New Roman"/>
          <w:color w:val="000000" w:themeColor="text1"/>
          <w:sz w:val="24"/>
          <w:szCs w:val="24"/>
        </w:rPr>
        <w:t xml:space="preserve">Are the insurance requirements listed under </w:t>
      </w:r>
      <w:r w:rsidRPr="003C7E17">
        <w:rPr>
          <w:rStyle w:val="s3"/>
          <w:rFonts w:ascii="Times New Roman" w:hAnsi="Times New Roman"/>
          <w:i/>
          <w:color w:val="000000" w:themeColor="text1"/>
          <w:sz w:val="24"/>
          <w:szCs w:val="24"/>
        </w:rPr>
        <w:t>Attachment 2 – Contract Terms and Conditions, Exhibit A, section 7</w:t>
      </w:r>
      <w:r w:rsidRPr="003C7E17">
        <w:rPr>
          <w:rStyle w:val="s3"/>
          <w:rFonts w:ascii="Times New Roman" w:hAnsi="Times New Roman"/>
          <w:color w:val="000000" w:themeColor="text1"/>
          <w:sz w:val="24"/>
          <w:szCs w:val="24"/>
        </w:rPr>
        <w:t xml:space="preserve"> the same for a sole practitioner?</w:t>
      </w:r>
    </w:p>
    <w:p w:rsidR="00DF3E09" w:rsidRPr="003C7E17" w:rsidRDefault="00E05A9E" w:rsidP="004546F5">
      <w:pPr>
        <w:pStyle w:val="s6"/>
        <w:spacing w:before="0" w:beforeAutospacing="0" w:after="150" w:afterAutospacing="0"/>
        <w:ind w:left="720" w:hanging="900"/>
        <w:jc w:val="both"/>
        <w:rPr>
          <w:rStyle w:val="s3"/>
          <w:color w:val="000000" w:themeColor="text1"/>
        </w:rPr>
      </w:pPr>
      <w:r w:rsidRPr="003C7E17">
        <w:rPr>
          <w:rStyle w:val="s3"/>
          <w:color w:val="000000" w:themeColor="text1"/>
        </w:rPr>
        <w:t xml:space="preserve">Answer: </w:t>
      </w:r>
      <w:r w:rsidR="0094486B" w:rsidRPr="003C7E17">
        <w:rPr>
          <w:rStyle w:val="s3"/>
          <w:color w:val="000000" w:themeColor="text1"/>
        </w:rPr>
        <w:t xml:space="preserve">The insurance requirements listed in </w:t>
      </w:r>
      <w:r w:rsidR="0094486B" w:rsidRPr="003C7E17">
        <w:rPr>
          <w:rStyle w:val="s3"/>
          <w:i/>
          <w:color w:val="000000" w:themeColor="text1"/>
        </w:rPr>
        <w:t>Attachment 2, Exhibit A, section 7</w:t>
      </w:r>
      <w:r w:rsidR="0094486B" w:rsidRPr="003C7E17">
        <w:rPr>
          <w:rStyle w:val="s3"/>
          <w:color w:val="000000" w:themeColor="text1"/>
        </w:rPr>
        <w:t xml:space="preserve"> apply to all provider types and only distinguishes between Option 1 – non-government insurance and Option 2 – county/government self-insurance.  </w:t>
      </w:r>
    </w:p>
    <w:p w:rsidR="0094486B" w:rsidRPr="003C7E17" w:rsidRDefault="0094486B" w:rsidP="004546F5">
      <w:pPr>
        <w:pStyle w:val="ListParagraph"/>
        <w:numPr>
          <w:ilvl w:val="0"/>
          <w:numId w:val="12"/>
        </w:numPr>
        <w:tabs>
          <w:tab w:val="clear" w:pos="720"/>
          <w:tab w:val="num" w:pos="360"/>
        </w:tabs>
        <w:spacing w:after="120"/>
        <w:ind w:left="-180" w:hanging="540"/>
        <w:jc w:val="both"/>
        <w:rPr>
          <w:rStyle w:val="s3"/>
          <w:rFonts w:ascii="Times New Roman" w:hAnsi="Times New Roman"/>
          <w:color w:val="000000" w:themeColor="text1"/>
          <w:sz w:val="24"/>
          <w:szCs w:val="24"/>
        </w:rPr>
      </w:pPr>
      <w:r w:rsidRPr="003C7E17">
        <w:rPr>
          <w:rStyle w:val="s3"/>
          <w:rFonts w:ascii="Times New Roman" w:hAnsi="Times New Roman"/>
          <w:color w:val="000000" w:themeColor="text1"/>
          <w:sz w:val="24"/>
          <w:szCs w:val="24"/>
        </w:rPr>
        <w:t xml:space="preserve">In what form is the 11.5% operating reserve described in </w:t>
      </w:r>
      <w:r w:rsidRPr="003C7E17">
        <w:rPr>
          <w:rStyle w:val="s3"/>
          <w:rFonts w:ascii="Times New Roman" w:hAnsi="Times New Roman"/>
          <w:i/>
          <w:color w:val="000000" w:themeColor="text1"/>
          <w:sz w:val="24"/>
          <w:szCs w:val="24"/>
        </w:rPr>
        <w:t>Attachment 2 – Contract Terms and Conditions, Exhibit A, section 14.A</w:t>
      </w:r>
      <w:r w:rsidRPr="003C7E17">
        <w:rPr>
          <w:rStyle w:val="s3"/>
          <w:rFonts w:ascii="Times New Roman" w:hAnsi="Times New Roman"/>
          <w:color w:val="000000" w:themeColor="text1"/>
          <w:sz w:val="24"/>
          <w:szCs w:val="24"/>
        </w:rPr>
        <w:t xml:space="preserve"> to be confirmed (i.e. money market, credit, etc.)?</w:t>
      </w:r>
    </w:p>
    <w:p w:rsidR="0094486B" w:rsidRPr="003C7E17" w:rsidRDefault="00E05A9E" w:rsidP="004546F5">
      <w:pPr>
        <w:pStyle w:val="s6"/>
        <w:spacing w:before="0" w:beforeAutospacing="0" w:after="150" w:afterAutospacing="0"/>
        <w:ind w:left="720" w:hanging="900"/>
        <w:jc w:val="both"/>
        <w:rPr>
          <w:rStyle w:val="s3"/>
          <w:color w:val="000000" w:themeColor="text1"/>
        </w:rPr>
      </w:pPr>
      <w:r w:rsidRPr="003C7E17">
        <w:rPr>
          <w:rStyle w:val="s3"/>
          <w:color w:val="000000" w:themeColor="text1"/>
        </w:rPr>
        <w:t xml:space="preserve">Answer: </w:t>
      </w:r>
      <w:r w:rsidR="0094486B" w:rsidRPr="003C7E17">
        <w:rPr>
          <w:rStyle w:val="s3"/>
          <w:color w:val="000000" w:themeColor="text1"/>
        </w:rPr>
        <w:t xml:space="preserve">There are no contractual requirements for contractors to provide proof of their operating reserve.  However, as described in </w:t>
      </w:r>
      <w:r w:rsidR="0094486B" w:rsidRPr="003C7E17">
        <w:rPr>
          <w:rStyle w:val="s3"/>
          <w:i/>
          <w:color w:val="000000" w:themeColor="text1"/>
        </w:rPr>
        <w:t>Attachment 2, Exhibit A, section 14.D</w:t>
      </w:r>
      <w:r w:rsidR="0094486B" w:rsidRPr="003C7E17">
        <w:rPr>
          <w:rStyle w:val="s3"/>
          <w:color w:val="000000" w:themeColor="text1"/>
        </w:rPr>
        <w:t xml:space="preserve">, contractors may consider any line of credit or similar instruments as part of their reserve in order to meet the requirements under </w:t>
      </w:r>
      <w:r w:rsidR="0094486B" w:rsidRPr="003C7E17">
        <w:rPr>
          <w:rStyle w:val="s3"/>
          <w:i/>
          <w:color w:val="000000" w:themeColor="text1"/>
        </w:rPr>
        <w:t>section 14</w:t>
      </w:r>
      <w:r w:rsidR="0094486B" w:rsidRPr="003C7E17">
        <w:rPr>
          <w:rStyle w:val="s3"/>
          <w:color w:val="000000" w:themeColor="text1"/>
        </w:rPr>
        <w:t>.</w:t>
      </w:r>
    </w:p>
    <w:p w:rsidR="003C7E17" w:rsidRPr="003C7E17" w:rsidRDefault="003C7E17" w:rsidP="004546F5">
      <w:pPr>
        <w:pStyle w:val="s6"/>
        <w:spacing w:before="0" w:beforeAutospacing="0" w:after="150" w:afterAutospacing="0"/>
        <w:ind w:left="720" w:hanging="900"/>
        <w:jc w:val="both"/>
        <w:rPr>
          <w:rStyle w:val="s3"/>
          <w:color w:val="000000" w:themeColor="text1"/>
        </w:rPr>
      </w:pPr>
    </w:p>
    <w:p w:rsidR="00C454E7" w:rsidRPr="003C7E17" w:rsidRDefault="00A45EB1" w:rsidP="000B2D1F">
      <w:pPr>
        <w:autoSpaceDE w:val="0"/>
        <w:autoSpaceDN w:val="0"/>
        <w:adjustRightInd w:val="0"/>
        <w:spacing w:after="240"/>
        <w:ind w:left="-180" w:hanging="540"/>
        <w:jc w:val="center"/>
        <w:rPr>
          <w:i/>
          <w:color w:val="000000" w:themeColor="text1"/>
        </w:rPr>
      </w:pPr>
      <w:r w:rsidRPr="003C7E17">
        <w:rPr>
          <w:b/>
          <w:i/>
          <w:color w:val="000000" w:themeColor="text1"/>
          <w:sz w:val="24"/>
          <w:szCs w:val="24"/>
        </w:rPr>
        <w:t>[END OF QUESTIONS AND ANSWERS]</w:t>
      </w:r>
    </w:p>
    <w:sectPr w:rsidR="00C454E7" w:rsidRPr="003C7E17" w:rsidSect="009A56C4">
      <w:headerReference w:type="default" r:id="rId19"/>
      <w:footerReference w:type="default" r:id="rId20"/>
      <w:footerReference w:type="first" r:id="rId21"/>
      <w:pgSz w:w="12240" w:h="15840" w:code="1"/>
      <w:pgMar w:top="1440" w:right="117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930" w:rsidRDefault="003F3930">
      <w:r>
        <w:separator/>
      </w:r>
    </w:p>
  </w:endnote>
  <w:endnote w:type="continuationSeparator" w:id="0">
    <w:p w:rsidR="003F3930" w:rsidRDefault="003F39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930" w:rsidRPr="00DA17F3" w:rsidRDefault="003F3930" w:rsidP="00A45EB1">
    <w:pPr>
      <w:pStyle w:val="Footer"/>
      <w:jc w:val="center"/>
      <w:rPr>
        <w:sz w:val="22"/>
        <w:szCs w:val="22"/>
      </w:rPr>
    </w:pPr>
    <w:r w:rsidRPr="00DA17F3">
      <w:rPr>
        <w:sz w:val="22"/>
        <w:szCs w:val="22"/>
      </w:rPr>
      <w:t xml:space="preserve">Page </w:t>
    </w:r>
    <w:r w:rsidRPr="00DA17F3">
      <w:rPr>
        <w:sz w:val="22"/>
        <w:szCs w:val="22"/>
      </w:rPr>
      <w:fldChar w:fldCharType="begin"/>
    </w:r>
    <w:r w:rsidRPr="00DA17F3">
      <w:rPr>
        <w:sz w:val="22"/>
        <w:szCs w:val="22"/>
      </w:rPr>
      <w:instrText xml:space="preserve"> PAGE </w:instrText>
    </w:r>
    <w:r w:rsidRPr="00DA17F3">
      <w:rPr>
        <w:sz w:val="22"/>
        <w:szCs w:val="22"/>
      </w:rPr>
      <w:fldChar w:fldCharType="separate"/>
    </w:r>
    <w:r w:rsidR="007971B0">
      <w:rPr>
        <w:noProof/>
        <w:sz w:val="22"/>
        <w:szCs w:val="22"/>
      </w:rPr>
      <w:t>4</w:t>
    </w:r>
    <w:r w:rsidRPr="00DA17F3">
      <w:rPr>
        <w:sz w:val="22"/>
        <w:szCs w:val="22"/>
      </w:rPr>
      <w:fldChar w:fldCharType="end"/>
    </w:r>
    <w:r w:rsidRPr="00DA17F3">
      <w:rPr>
        <w:sz w:val="22"/>
        <w:szCs w:val="22"/>
      </w:rPr>
      <w:t xml:space="preserve"> of </w:t>
    </w:r>
    <w:r w:rsidRPr="00DA17F3">
      <w:rPr>
        <w:sz w:val="22"/>
        <w:szCs w:val="22"/>
      </w:rPr>
      <w:fldChar w:fldCharType="begin"/>
    </w:r>
    <w:r w:rsidRPr="00DA17F3">
      <w:rPr>
        <w:sz w:val="22"/>
        <w:szCs w:val="22"/>
      </w:rPr>
      <w:instrText xml:space="preserve"> NUMPAGES </w:instrText>
    </w:r>
    <w:r w:rsidRPr="00DA17F3">
      <w:rPr>
        <w:sz w:val="22"/>
        <w:szCs w:val="22"/>
      </w:rPr>
      <w:fldChar w:fldCharType="separate"/>
    </w:r>
    <w:r w:rsidR="007971B0">
      <w:rPr>
        <w:noProof/>
        <w:sz w:val="22"/>
        <w:szCs w:val="22"/>
      </w:rPr>
      <w:t>11</w:t>
    </w:r>
    <w:r w:rsidRPr="00DA17F3">
      <w:rPr>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930" w:rsidRPr="00CB15F8" w:rsidRDefault="003F3930" w:rsidP="00A45EB1">
    <w:pPr>
      <w:pStyle w:val="Footer"/>
      <w:jc w:val="center"/>
      <w:rPr>
        <w:sz w:val="24"/>
        <w:szCs w:val="24"/>
      </w:rPr>
    </w:pPr>
    <w:r w:rsidRPr="00CB15F8">
      <w:rPr>
        <w:sz w:val="24"/>
        <w:szCs w:val="24"/>
      </w:rPr>
      <w:t xml:space="preserve">Page </w:t>
    </w:r>
    <w:r w:rsidRPr="00CB15F8">
      <w:rPr>
        <w:sz w:val="24"/>
        <w:szCs w:val="24"/>
      </w:rPr>
      <w:fldChar w:fldCharType="begin"/>
    </w:r>
    <w:r w:rsidRPr="00CB15F8">
      <w:rPr>
        <w:sz w:val="24"/>
        <w:szCs w:val="24"/>
      </w:rPr>
      <w:instrText xml:space="preserve"> PAGE </w:instrText>
    </w:r>
    <w:r w:rsidRPr="00CB15F8">
      <w:rPr>
        <w:sz w:val="24"/>
        <w:szCs w:val="24"/>
      </w:rPr>
      <w:fldChar w:fldCharType="separate"/>
    </w:r>
    <w:r>
      <w:rPr>
        <w:noProof/>
        <w:sz w:val="24"/>
        <w:szCs w:val="24"/>
      </w:rPr>
      <w:t>1</w:t>
    </w:r>
    <w:r w:rsidRPr="00CB15F8">
      <w:rPr>
        <w:sz w:val="24"/>
        <w:szCs w:val="24"/>
      </w:rPr>
      <w:fldChar w:fldCharType="end"/>
    </w:r>
    <w:r w:rsidRPr="00CB15F8">
      <w:rPr>
        <w:sz w:val="24"/>
        <w:szCs w:val="24"/>
      </w:rPr>
      <w:t xml:space="preserve"> of </w:t>
    </w:r>
    <w:r w:rsidRPr="00CB15F8">
      <w:rPr>
        <w:sz w:val="24"/>
        <w:szCs w:val="24"/>
      </w:rPr>
      <w:fldChar w:fldCharType="begin"/>
    </w:r>
    <w:r w:rsidRPr="00CB15F8">
      <w:rPr>
        <w:sz w:val="24"/>
        <w:szCs w:val="24"/>
      </w:rPr>
      <w:instrText xml:space="preserve"> NUMPAGES </w:instrText>
    </w:r>
    <w:r w:rsidRPr="00CB15F8">
      <w:rPr>
        <w:sz w:val="24"/>
        <w:szCs w:val="24"/>
      </w:rPr>
      <w:fldChar w:fldCharType="separate"/>
    </w:r>
    <w:r>
      <w:rPr>
        <w:noProof/>
        <w:sz w:val="24"/>
        <w:szCs w:val="24"/>
      </w:rPr>
      <w:t>11</w:t>
    </w:r>
    <w:r w:rsidRPr="00CB15F8">
      <w:rPr>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930" w:rsidRDefault="003F3930">
      <w:r>
        <w:separator/>
      </w:r>
    </w:p>
  </w:footnote>
  <w:footnote w:type="continuationSeparator" w:id="0">
    <w:p w:rsidR="003F3930" w:rsidRDefault="003F3930">
      <w:r>
        <w:continuationSeparator/>
      </w:r>
    </w:p>
  </w:footnote>
  <w:footnote w:id="1">
    <w:p w:rsidR="003F3930" w:rsidRPr="00671DBE" w:rsidRDefault="003F3930" w:rsidP="00DE6C0A">
      <w:pPr>
        <w:pStyle w:val="FootnoteText"/>
      </w:pPr>
      <w:r w:rsidRPr="000418B8">
        <w:rPr>
          <w:rStyle w:val="FootnoteReference"/>
        </w:rPr>
        <w:footnoteRef/>
      </w:r>
      <w:r w:rsidRPr="000418B8">
        <w:t xml:space="preserve"> Definitions of key terms used below, including “representation”, “parents”, “parent”, “children”, “child”, and “conflict” can be found in section 1.4 of this RFP.</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930" w:rsidRDefault="003F3930" w:rsidP="00610910">
    <w:pPr>
      <w:autoSpaceDE w:val="0"/>
      <w:autoSpaceDN w:val="0"/>
      <w:adjustRightInd w:val="0"/>
      <w:jc w:val="center"/>
      <w:rPr>
        <w:b/>
        <w:bCs/>
        <w:color w:val="auto"/>
        <w:sz w:val="28"/>
        <w:szCs w:val="28"/>
      </w:rPr>
    </w:pPr>
    <w:r w:rsidRPr="00C07721">
      <w:rPr>
        <w:b/>
        <w:bCs/>
        <w:color w:val="auto"/>
        <w:sz w:val="28"/>
        <w:szCs w:val="28"/>
      </w:rPr>
      <w:t xml:space="preserve">Administrative Office of the Courts </w:t>
    </w:r>
  </w:p>
  <w:p w:rsidR="003F3930" w:rsidRPr="00263C8D" w:rsidRDefault="003F3930" w:rsidP="00610910">
    <w:pPr>
      <w:autoSpaceDE w:val="0"/>
      <w:autoSpaceDN w:val="0"/>
      <w:adjustRightInd w:val="0"/>
      <w:jc w:val="center"/>
      <w:rPr>
        <w:b/>
        <w:bCs/>
        <w:color w:val="auto"/>
        <w:sz w:val="28"/>
        <w:szCs w:val="28"/>
      </w:rPr>
    </w:pPr>
    <w:r w:rsidRPr="00263C8D">
      <w:rPr>
        <w:b/>
        <w:bCs/>
        <w:color w:val="auto"/>
        <w:sz w:val="28"/>
        <w:szCs w:val="28"/>
      </w:rPr>
      <w:t xml:space="preserve">RFP Number: </w:t>
    </w:r>
    <w:r>
      <w:rPr>
        <w:b/>
        <w:bCs/>
        <w:color w:val="auto"/>
        <w:sz w:val="28"/>
        <w:szCs w:val="28"/>
      </w:rPr>
      <w:t>CFCC 10-13-LM</w:t>
    </w:r>
  </w:p>
  <w:p w:rsidR="003F3930" w:rsidRPr="00263C8D" w:rsidRDefault="003F3930" w:rsidP="00610910">
    <w:pPr>
      <w:autoSpaceDE w:val="0"/>
      <w:autoSpaceDN w:val="0"/>
      <w:adjustRightInd w:val="0"/>
      <w:jc w:val="center"/>
      <w:rPr>
        <w:b/>
        <w:bCs/>
        <w:color w:val="auto"/>
        <w:sz w:val="28"/>
        <w:szCs w:val="28"/>
      </w:rPr>
    </w:pPr>
    <w:r>
      <w:rPr>
        <w:b/>
        <w:bCs/>
        <w:color w:val="auto"/>
        <w:sz w:val="28"/>
        <w:szCs w:val="28"/>
      </w:rPr>
      <w:t>El Dorado Dependency Representation</w:t>
    </w:r>
  </w:p>
  <w:p w:rsidR="003F3930" w:rsidRDefault="003F3930" w:rsidP="00A45EB1">
    <w:pPr>
      <w:pBdr>
        <w:bottom w:val="thinThickSmallGap" w:sz="24" w:space="1" w:color="auto"/>
      </w:pBdr>
      <w:autoSpaceDE w:val="0"/>
      <w:autoSpaceDN w:val="0"/>
      <w:adjustRightInd w:val="0"/>
      <w:spacing w:after="240"/>
    </w:pPr>
  </w:p>
  <w:p w:rsidR="003F3930" w:rsidRDefault="003F3930" w:rsidP="00A45EB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11B68"/>
    <w:multiLevelType w:val="hybridMultilevel"/>
    <w:tmpl w:val="56F45448"/>
    <w:lvl w:ilvl="0" w:tplc="D70438A2">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ED09AF"/>
    <w:multiLevelType w:val="hybridMultilevel"/>
    <w:tmpl w:val="57221B1C"/>
    <w:lvl w:ilvl="0" w:tplc="DFF69EF2">
      <w:start w:val="24"/>
      <w:numFmt w:val="decimal"/>
      <w:lvlText w:val="%1."/>
      <w:lvlJc w:val="left"/>
      <w:pPr>
        <w:tabs>
          <w:tab w:val="num" w:pos="720"/>
        </w:tabs>
        <w:ind w:left="720" w:hanging="360"/>
      </w:pPr>
      <w:rPr>
        <w:rFonts w:ascii="Times New Roman" w:hAnsi="Times New Roman"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1F4464"/>
    <w:multiLevelType w:val="hybridMultilevel"/>
    <w:tmpl w:val="67245470"/>
    <w:lvl w:ilvl="0" w:tplc="DB26C9C2">
      <w:start w:val="1"/>
      <w:numFmt w:val="decimal"/>
      <w:lvlText w:val="%1."/>
      <w:lvlJc w:val="left"/>
      <w:pPr>
        <w:tabs>
          <w:tab w:val="num" w:pos="720"/>
        </w:tabs>
        <w:ind w:left="720" w:hanging="360"/>
      </w:pPr>
      <w:rPr>
        <w:rFonts w:ascii="Times New Roman" w:hAnsi="Times New Roman" w:cs="Times New Roman" w:hint="default"/>
        <w:b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5A5D2A"/>
    <w:multiLevelType w:val="hybridMultilevel"/>
    <w:tmpl w:val="9A82E78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0355BCE"/>
    <w:multiLevelType w:val="multilevel"/>
    <w:tmpl w:val="76FE5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897AA0"/>
    <w:multiLevelType w:val="multilevel"/>
    <w:tmpl w:val="25E89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7B7B30"/>
    <w:multiLevelType w:val="hybridMultilevel"/>
    <w:tmpl w:val="FCFAA4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F2F480A"/>
    <w:multiLevelType w:val="hybridMultilevel"/>
    <w:tmpl w:val="EABEFC78"/>
    <w:lvl w:ilvl="0" w:tplc="90D6F038">
      <w:start w:val="41"/>
      <w:numFmt w:val="decimal"/>
      <w:lvlText w:val="%1."/>
      <w:lvlJc w:val="left"/>
      <w:pPr>
        <w:tabs>
          <w:tab w:val="num" w:pos="720"/>
        </w:tabs>
        <w:ind w:left="720" w:hanging="360"/>
      </w:pPr>
      <w:rPr>
        <w:rFonts w:ascii="Times New Roman" w:hAnsi="Times New Roman"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EE55E8"/>
    <w:multiLevelType w:val="hybridMultilevel"/>
    <w:tmpl w:val="4AFC23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71C376B"/>
    <w:multiLevelType w:val="hybridMultilevel"/>
    <w:tmpl w:val="6284BC5A"/>
    <w:lvl w:ilvl="0" w:tplc="E0CEFC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8A106F"/>
    <w:multiLevelType w:val="multilevel"/>
    <w:tmpl w:val="67B4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3857ED9"/>
    <w:multiLevelType w:val="multilevel"/>
    <w:tmpl w:val="38E2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0"/>
  </w:num>
  <w:num w:numId="3">
    <w:abstractNumId w:val="2"/>
  </w:num>
  <w:num w:numId="4">
    <w:abstractNumId w:val="11"/>
  </w:num>
  <w:num w:numId="5">
    <w:abstractNumId w:val="5"/>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 w:numId="10">
    <w:abstractNumId w:val="9"/>
  </w:num>
  <w:num w:numId="11">
    <w:abstractNumId w:val="1"/>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stylePaneFormatFilter w:val="3F01"/>
  <w:defaultTabStop w:val="720"/>
  <w:characterSpacingControl w:val="doNotCompress"/>
  <w:hdrShapeDefaults>
    <o:shapedefaults v:ext="edit" spidmax="23553"/>
  </w:hdrShapeDefaults>
  <w:footnotePr>
    <w:footnote w:id="-1"/>
    <w:footnote w:id="0"/>
  </w:footnotePr>
  <w:endnotePr>
    <w:endnote w:id="-1"/>
    <w:endnote w:id="0"/>
  </w:endnotePr>
  <w:compat/>
  <w:rsids>
    <w:rsidRoot w:val="00FE288B"/>
    <w:rsid w:val="00004A1E"/>
    <w:rsid w:val="000076E6"/>
    <w:rsid w:val="00016886"/>
    <w:rsid w:val="00017834"/>
    <w:rsid w:val="00022B9F"/>
    <w:rsid w:val="00024D54"/>
    <w:rsid w:val="00033B48"/>
    <w:rsid w:val="00034159"/>
    <w:rsid w:val="00034D65"/>
    <w:rsid w:val="00035E41"/>
    <w:rsid w:val="00057E23"/>
    <w:rsid w:val="00060427"/>
    <w:rsid w:val="00063D7C"/>
    <w:rsid w:val="00065187"/>
    <w:rsid w:val="000669C9"/>
    <w:rsid w:val="00076980"/>
    <w:rsid w:val="00086750"/>
    <w:rsid w:val="0009139C"/>
    <w:rsid w:val="00092D30"/>
    <w:rsid w:val="00094B12"/>
    <w:rsid w:val="000A6972"/>
    <w:rsid w:val="000A6D1A"/>
    <w:rsid w:val="000B1398"/>
    <w:rsid w:val="000B2D1F"/>
    <w:rsid w:val="000B3D52"/>
    <w:rsid w:val="000C06BD"/>
    <w:rsid w:val="000C2BE2"/>
    <w:rsid w:val="000E4416"/>
    <w:rsid w:val="000E769D"/>
    <w:rsid w:val="000F1E1D"/>
    <w:rsid w:val="000F44A4"/>
    <w:rsid w:val="00105FDC"/>
    <w:rsid w:val="00115196"/>
    <w:rsid w:val="00116993"/>
    <w:rsid w:val="00117FD0"/>
    <w:rsid w:val="00120F96"/>
    <w:rsid w:val="00121F6D"/>
    <w:rsid w:val="0012601D"/>
    <w:rsid w:val="001271EB"/>
    <w:rsid w:val="00127A58"/>
    <w:rsid w:val="0013023D"/>
    <w:rsid w:val="0013136B"/>
    <w:rsid w:val="00131CFB"/>
    <w:rsid w:val="0014582A"/>
    <w:rsid w:val="001468AC"/>
    <w:rsid w:val="001502DD"/>
    <w:rsid w:val="00155214"/>
    <w:rsid w:val="00155890"/>
    <w:rsid w:val="001605D9"/>
    <w:rsid w:val="00167E11"/>
    <w:rsid w:val="00172235"/>
    <w:rsid w:val="00183D34"/>
    <w:rsid w:val="001A7BF4"/>
    <w:rsid w:val="001B0373"/>
    <w:rsid w:val="001B1AA1"/>
    <w:rsid w:val="001B79D4"/>
    <w:rsid w:val="001C0B54"/>
    <w:rsid w:val="001C3E43"/>
    <w:rsid w:val="001C46C3"/>
    <w:rsid w:val="001C6ECA"/>
    <w:rsid w:val="001E0DFC"/>
    <w:rsid w:val="001F3AD9"/>
    <w:rsid w:val="001F441D"/>
    <w:rsid w:val="001F484F"/>
    <w:rsid w:val="001F5C4C"/>
    <w:rsid w:val="00210814"/>
    <w:rsid w:val="0021508C"/>
    <w:rsid w:val="0021690F"/>
    <w:rsid w:val="002216D6"/>
    <w:rsid w:val="00227F47"/>
    <w:rsid w:val="00230614"/>
    <w:rsid w:val="00240027"/>
    <w:rsid w:val="0024595B"/>
    <w:rsid w:val="00252A3C"/>
    <w:rsid w:val="002602F5"/>
    <w:rsid w:val="00263426"/>
    <w:rsid w:val="00263C8D"/>
    <w:rsid w:val="002648AA"/>
    <w:rsid w:val="002667F6"/>
    <w:rsid w:val="002671B5"/>
    <w:rsid w:val="00267C4C"/>
    <w:rsid w:val="0027342E"/>
    <w:rsid w:val="002801EE"/>
    <w:rsid w:val="002842CE"/>
    <w:rsid w:val="00296C81"/>
    <w:rsid w:val="00297B14"/>
    <w:rsid w:val="002A3361"/>
    <w:rsid w:val="002A6568"/>
    <w:rsid w:val="002A6C06"/>
    <w:rsid w:val="002A7C04"/>
    <w:rsid w:val="002C069B"/>
    <w:rsid w:val="002C0B5B"/>
    <w:rsid w:val="002C1118"/>
    <w:rsid w:val="002C294F"/>
    <w:rsid w:val="002C2A08"/>
    <w:rsid w:val="002C4F09"/>
    <w:rsid w:val="002C6E78"/>
    <w:rsid w:val="002D34BD"/>
    <w:rsid w:val="002D3DA7"/>
    <w:rsid w:val="002E0E21"/>
    <w:rsid w:val="002E2A78"/>
    <w:rsid w:val="002E2C60"/>
    <w:rsid w:val="002E321D"/>
    <w:rsid w:val="002E4BBD"/>
    <w:rsid w:val="002E66EE"/>
    <w:rsid w:val="002F1E7B"/>
    <w:rsid w:val="002F5EFC"/>
    <w:rsid w:val="0030067A"/>
    <w:rsid w:val="00311C9D"/>
    <w:rsid w:val="003165B2"/>
    <w:rsid w:val="003169EB"/>
    <w:rsid w:val="003213F7"/>
    <w:rsid w:val="00322457"/>
    <w:rsid w:val="003245A0"/>
    <w:rsid w:val="00327A61"/>
    <w:rsid w:val="00331F93"/>
    <w:rsid w:val="00333A0E"/>
    <w:rsid w:val="003346DD"/>
    <w:rsid w:val="003353C6"/>
    <w:rsid w:val="00343A76"/>
    <w:rsid w:val="00344121"/>
    <w:rsid w:val="0035097C"/>
    <w:rsid w:val="00353985"/>
    <w:rsid w:val="00362ADF"/>
    <w:rsid w:val="003677BB"/>
    <w:rsid w:val="003678D4"/>
    <w:rsid w:val="00367A8B"/>
    <w:rsid w:val="003751BD"/>
    <w:rsid w:val="00376C2A"/>
    <w:rsid w:val="003805D0"/>
    <w:rsid w:val="00386500"/>
    <w:rsid w:val="003865D3"/>
    <w:rsid w:val="00386967"/>
    <w:rsid w:val="003879B6"/>
    <w:rsid w:val="00391931"/>
    <w:rsid w:val="003945DB"/>
    <w:rsid w:val="00394EC2"/>
    <w:rsid w:val="00395DBD"/>
    <w:rsid w:val="003A1A70"/>
    <w:rsid w:val="003B1B9F"/>
    <w:rsid w:val="003B2D2C"/>
    <w:rsid w:val="003B3192"/>
    <w:rsid w:val="003B5FEE"/>
    <w:rsid w:val="003B724F"/>
    <w:rsid w:val="003B7A81"/>
    <w:rsid w:val="003C19AB"/>
    <w:rsid w:val="003C1C39"/>
    <w:rsid w:val="003C5A6D"/>
    <w:rsid w:val="003C67F0"/>
    <w:rsid w:val="003C7E17"/>
    <w:rsid w:val="003D1A32"/>
    <w:rsid w:val="003D40E5"/>
    <w:rsid w:val="003D4949"/>
    <w:rsid w:val="003E1335"/>
    <w:rsid w:val="003E313F"/>
    <w:rsid w:val="003F328D"/>
    <w:rsid w:val="003F3930"/>
    <w:rsid w:val="003F7FC2"/>
    <w:rsid w:val="004117C3"/>
    <w:rsid w:val="0042250B"/>
    <w:rsid w:val="00422867"/>
    <w:rsid w:val="00430270"/>
    <w:rsid w:val="0043407B"/>
    <w:rsid w:val="00437BF6"/>
    <w:rsid w:val="00442090"/>
    <w:rsid w:val="00442D58"/>
    <w:rsid w:val="00445729"/>
    <w:rsid w:val="00447024"/>
    <w:rsid w:val="0045104A"/>
    <w:rsid w:val="0045452B"/>
    <w:rsid w:val="004546F5"/>
    <w:rsid w:val="00457349"/>
    <w:rsid w:val="00473C1E"/>
    <w:rsid w:val="004757A5"/>
    <w:rsid w:val="00481B04"/>
    <w:rsid w:val="00481F70"/>
    <w:rsid w:val="00484CCB"/>
    <w:rsid w:val="00486C94"/>
    <w:rsid w:val="00494900"/>
    <w:rsid w:val="004A0AB2"/>
    <w:rsid w:val="004A24C0"/>
    <w:rsid w:val="004A5C55"/>
    <w:rsid w:val="004A603A"/>
    <w:rsid w:val="004B6893"/>
    <w:rsid w:val="004B68BF"/>
    <w:rsid w:val="004C3954"/>
    <w:rsid w:val="004C4797"/>
    <w:rsid w:val="004C4F31"/>
    <w:rsid w:val="004C5393"/>
    <w:rsid w:val="004D56FD"/>
    <w:rsid w:val="004D7A37"/>
    <w:rsid w:val="004E2339"/>
    <w:rsid w:val="004E5325"/>
    <w:rsid w:val="004F33F6"/>
    <w:rsid w:val="005002B5"/>
    <w:rsid w:val="005005A9"/>
    <w:rsid w:val="00506289"/>
    <w:rsid w:val="005078F2"/>
    <w:rsid w:val="00514B94"/>
    <w:rsid w:val="00515E09"/>
    <w:rsid w:val="00522D5E"/>
    <w:rsid w:val="00526187"/>
    <w:rsid w:val="0053510D"/>
    <w:rsid w:val="0054673C"/>
    <w:rsid w:val="005478FB"/>
    <w:rsid w:val="00552199"/>
    <w:rsid w:val="00553F89"/>
    <w:rsid w:val="005573EA"/>
    <w:rsid w:val="00565697"/>
    <w:rsid w:val="005730FF"/>
    <w:rsid w:val="005756C5"/>
    <w:rsid w:val="00594CD6"/>
    <w:rsid w:val="00595655"/>
    <w:rsid w:val="00597808"/>
    <w:rsid w:val="00597AFC"/>
    <w:rsid w:val="005A2D3A"/>
    <w:rsid w:val="005A774A"/>
    <w:rsid w:val="005C0866"/>
    <w:rsid w:val="005C2910"/>
    <w:rsid w:val="005C5AF7"/>
    <w:rsid w:val="005C6A3D"/>
    <w:rsid w:val="005D74A3"/>
    <w:rsid w:val="005E244E"/>
    <w:rsid w:val="005E2D2D"/>
    <w:rsid w:val="005E715A"/>
    <w:rsid w:val="005F0A81"/>
    <w:rsid w:val="006008D8"/>
    <w:rsid w:val="00610910"/>
    <w:rsid w:val="0061444D"/>
    <w:rsid w:val="00614ED0"/>
    <w:rsid w:val="00614ED8"/>
    <w:rsid w:val="0062332E"/>
    <w:rsid w:val="00623A82"/>
    <w:rsid w:val="00631068"/>
    <w:rsid w:val="00636010"/>
    <w:rsid w:val="00641448"/>
    <w:rsid w:val="006438C5"/>
    <w:rsid w:val="00647650"/>
    <w:rsid w:val="00647DD2"/>
    <w:rsid w:val="00647DF2"/>
    <w:rsid w:val="00650BED"/>
    <w:rsid w:val="00651DCF"/>
    <w:rsid w:val="0065270C"/>
    <w:rsid w:val="00664699"/>
    <w:rsid w:val="0066565C"/>
    <w:rsid w:val="00666EC5"/>
    <w:rsid w:val="006771D9"/>
    <w:rsid w:val="006774C5"/>
    <w:rsid w:val="00680F7F"/>
    <w:rsid w:val="00681903"/>
    <w:rsid w:val="00682629"/>
    <w:rsid w:val="00684254"/>
    <w:rsid w:val="006866CE"/>
    <w:rsid w:val="00687F3E"/>
    <w:rsid w:val="006978E2"/>
    <w:rsid w:val="006A3255"/>
    <w:rsid w:val="006B0DB7"/>
    <w:rsid w:val="006B211D"/>
    <w:rsid w:val="006B5C6D"/>
    <w:rsid w:val="006C02BE"/>
    <w:rsid w:val="006C0CF2"/>
    <w:rsid w:val="006C5AF2"/>
    <w:rsid w:val="006D07E2"/>
    <w:rsid w:val="006D0E4B"/>
    <w:rsid w:val="006E0979"/>
    <w:rsid w:val="006E2592"/>
    <w:rsid w:val="006E25C4"/>
    <w:rsid w:val="006E4816"/>
    <w:rsid w:val="006E6FE9"/>
    <w:rsid w:val="006F6E47"/>
    <w:rsid w:val="00700D37"/>
    <w:rsid w:val="007055EA"/>
    <w:rsid w:val="007061CE"/>
    <w:rsid w:val="00706F67"/>
    <w:rsid w:val="00714696"/>
    <w:rsid w:val="00716F44"/>
    <w:rsid w:val="00724B26"/>
    <w:rsid w:val="00726162"/>
    <w:rsid w:val="00732757"/>
    <w:rsid w:val="007356D0"/>
    <w:rsid w:val="00736279"/>
    <w:rsid w:val="007420CA"/>
    <w:rsid w:val="007456C2"/>
    <w:rsid w:val="00745E64"/>
    <w:rsid w:val="007475C1"/>
    <w:rsid w:val="0075410F"/>
    <w:rsid w:val="00756D6B"/>
    <w:rsid w:val="00757505"/>
    <w:rsid w:val="007638EE"/>
    <w:rsid w:val="00765A86"/>
    <w:rsid w:val="00765C87"/>
    <w:rsid w:val="00766723"/>
    <w:rsid w:val="00772F9E"/>
    <w:rsid w:val="0077472D"/>
    <w:rsid w:val="00775562"/>
    <w:rsid w:val="00776831"/>
    <w:rsid w:val="0078033B"/>
    <w:rsid w:val="007808C8"/>
    <w:rsid w:val="00781EE7"/>
    <w:rsid w:val="00783A4A"/>
    <w:rsid w:val="007859CB"/>
    <w:rsid w:val="0078660D"/>
    <w:rsid w:val="007904BF"/>
    <w:rsid w:val="00791408"/>
    <w:rsid w:val="00793024"/>
    <w:rsid w:val="007971B0"/>
    <w:rsid w:val="007979EE"/>
    <w:rsid w:val="007A17F3"/>
    <w:rsid w:val="007A205E"/>
    <w:rsid w:val="007A38B4"/>
    <w:rsid w:val="007A68F8"/>
    <w:rsid w:val="007A7FB2"/>
    <w:rsid w:val="007B33DD"/>
    <w:rsid w:val="007B7BCA"/>
    <w:rsid w:val="007C4A45"/>
    <w:rsid w:val="007D094B"/>
    <w:rsid w:val="007D0AAA"/>
    <w:rsid w:val="007D1360"/>
    <w:rsid w:val="007D1FD9"/>
    <w:rsid w:val="007E27CA"/>
    <w:rsid w:val="007E6185"/>
    <w:rsid w:val="007F0E6F"/>
    <w:rsid w:val="007F34A4"/>
    <w:rsid w:val="00800578"/>
    <w:rsid w:val="00802BBF"/>
    <w:rsid w:val="008035B9"/>
    <w:rsid w:val="00804D1C"/>
    <w:rsid w:val="00805DE7"/>
    <w:rsid w:val="0081146E"/>
    <w:rsid w:val="00811E15"/>
    <w:rsid w:val="008151E2"/>
    <w:rsid w:val="00835DDD"/>
    <w:rsid w:val="00835EA4"/>
    <w:rsid w:val="0084176A"/>
    <w:rsid w:val="00841BC4"/>
    <w:rsid w:val="00842F47"/>
    <w:rsid w:val="00844968"/>
    <w:rsid w:val="00844F5E"/>
    <w:rsid w:val="00845A82"/>
    <w:rsid w:val="008516C5"/>
    <w:rsid w:val="0085438D"/>
    <w:rsid w:val="00860932"/>
    <w:rsid w:val="008657E8"/>
    <w:rsid w:val="00866B30"/>
    <w:rsid w:val="00866C3E"/>
    <w:rsid w:val="00877274"/>
    <w:rsid w:val="00885203"/>
    <w:rsid w:val="00891BAC"/>
    <w:rsid w:val="008A0452"/>
    <w:rsid w:val="008A0E82"/>
    <w:rsid w:val="008A283C"/>
    <w:rsid w:val="008A2E7C"/>
    <w:rsid w:val="008A3047"/>
    <w:rsid w:val="008A5080"/>
    <w:rsid w:val="008A52D2"/>
    <w:rsid w:val="008B1A13"/>
    <w:rsid w:val="008C1955"/>
    <w:rsid w:val="008D3BDC"/>
    <w:rsid w:val="008D62D0"/>
    <w:rsid w:val="008E067B"/>
    <w:rsid w:val="008E4EB7"/>
    <w:rsid w:val="008E5A91"/>
    <w:rsid w:val="008E5C86"/>
    <w:rsid w:val="008E65D8"/>
    <w:rsid w:val="0090210B"/>
    <w:rsid w:val="009032A9"/>
    <w:rsid w:val="009052BC"/>
    <w:rsid w:val="00907C7A"/>
    <w:rsid w:val="00911D19"/>
    <w:rsid w:val="00917943"/>
    <w:rsid w:val="00921A37"/>
    <w:rsid w:val="009240EB"/>
    <w:rsid w:val="00927FE6"/>
    <w:rsid w:val="00930AFE"/>
    <w:rsid w:val="00932E69"/>
    <w:rsid w:val="00935E24"/>
    <w:rsid w:val="009377A0"/>
    <w:rsid w:val="0094336D"/>
    <w:rsid w:val="009434BA"/>
    <w:rsid w:val="009441C2"/>
    <w:rsid w:val="0094486B"/>
    <w:rsid w:val="00950A3D"/>
    <w:rsid w:val="0095284F"/>
    <w:rsid w:val="00953390"/>
    <w:rsid w:val="009553DF"/>
    <w:rsid w:val="00963629"/>
    <w:rsid w:val="009657CE"/>
    <w:rsid w:val="00965DA7"/>
    <w:rsid w:val="00965F9B"/>
    <w:rsid w:val="00967774"/>
    <w:rsid w:val="00967EF9"/>
    <w:rsid w:val="00970715"/>
    <w:rsid w:val="00972CA6"/>
    <w:rsid w:val="00985A3E"/>
    <w:rsid w:val="0099120A"/>
    <w:rsid w:val="0099357C"/>
    <w:rsid w:val="00995A0F"/>
    <w:rsid w:val="00995D09"/>
    <w:rsid w:val="009974AD"/>
    <w:rsid w:val="009A0135"/>
    <w:rsid w:val="009A0F00"/>
    <w:rsid w:val="009A56C4"/>
    <w:rsid w:val="009A69ED"/>
    <w:rsid w:val="009A7C11"/>
    <w:rsid w:val="009B22F8"/>
    <w:rsid w:val="009B7A82"/>
    <w:rsid w:val="009B7C5D"/>
    <w:rsid w:val="009B7E68"/>
    <w:rsid w:val="009C096E"/>
    <w:rsid w:val="009C2C6D"/>
    <w:rsid w:val="009C44D5"/>
    <w:rsid w:val="009C512A"/>
    <w:rsid w:val="009C6A01"/>
    <w:rsid w:val="009C6A8F"/>
    <w:rsid w:val="009D4B90"/>
    <w:rsid w:val="009D5636"/>
    <w:rsid w:val="009E2EAC"/>
    <w:rsid w:val="009E7931"/>
    <w:rsid w:val="009E7C40"/>
    <w:rsid w:val="009F322A"/>
    <w:rsid w:val="009F6038"/>
    <w:rsid w:val="009F620B"/>
    <w:rsid w:val="009F76B4"/>
    <w:rsid w:val="00A001BF"/>
    <w:rsid w:val="00A00351"/>
    <w:rsid w:val="00A05114"/>
    <w:rsid w:val="00A07F0F"/>
    <w:rsid w:val="00A1190A"/>
    <w:rsid w:val="00A137EF"/>
    <w:rsid w:val="00A21ABA"/>
    <w:rsid w:val="00A346B6"/>
    <w:rsid w:val="00A40292"/>
    <w:rsid w:val="00A45EB1"/>
    <w:rsid w:val="00A46C2A"/>
    <w:rsid w:val="00A55A36"/>
    <w:rsid w:val="00A60824"/>
    <w:rsid w:val="00A621A2"/>
    <w:rsid w:val="00A74129"/>
    <w:rsid w:val="00A74A58"/>
    <w:rsid w:val="00A864FE"/>
    <w:rsid w:val="00A9147A"/>
    <w:rsid w:val="00A91D03"/>
    <w:rsid w:val="00A94866"/>
    <w:rsid w:val="00AA0A4C"/>
    <w:rsid w:val="00AA67C3"/>
    <w:rsid w:val="00AB587A"/>
    <w:rsid w:val="00AC09CE"/>
    <w:rsid w:val="00AC266D"/>
    <w:rsid w:val="00AC2791"/>
    <w:rsid w:val="00AC526F"/>
    <w:rsid w:val="00AC76C8"/>
    <w:rsid w:val="00AC7AEC"/>
    <w:rsid w:val="00AD1411"/>
    <w:rsid w:val="00AD67EB"/>
    <w:rsid w:val="00AE10C9"/>
    <w:rsid w:val="00AE1101"/>
    <w:rsid w:val="00AE3ADA"/>
    <w:rsid w:val="00AE4F76"/>
    <w:rsid w:val="00AE5276"/>
    <w:rsid w:val="00AF154A"/>
    <w:rsid w:val="00B010BD"/>
    <w:rsid w:val="00B06706"/>
    <w:rsid w:val="00B07EFD"/>
    <w:rsid w:val="00B10BB6"/>
    <w:rsid w:val="00B212C3"/>
    <w:rsid w:val="00B2324A"/>
    <w:rsid w:val="00B23383"/>
    <w:rsid w:val="00B23E2C"/>
    <w:rsid w:val="00B251E3"/>
    <w:rsid w:val="00B25DD8"/>
    <w:rsid w:val="00B3289B"/>
    <w:rsid w:val="00B3410E"/>
    <w:rsid w:val="00B40DE3"/>
    <w:rsid w:val="00B41816"/>
    <w:rsid w:val="00B437BF"/>
    <w:rsid w:val="00B50537"/>
    <w:rsid w:val="00B67F11"/>
    <w:rsid w:val="00B72BE5"/>
    <w:rsid w:val="00B81917"/>
    <w:rsid w:val="00B95D9C"/>
    <w:rsid w:val="00BA05DE"/>
    <w:rsid w:val="00BB37F9"/>
    <w:rsid w:val="00BC09B2"/>
    <w:rsid w:val="00BC2B14"/>
    <w:rsid w:val="00BD0A1E"/>
    <w:rsid w:val="00BE0ED3"/>
    <w:rsid w:val="00BE1059"/>
    <w:rsid w:val="00BE3A09"/>
    <w:rsid w:val="00BF6F0F"/>
    <w:rsid w:val="00BF7815"/>
    <w:rsid w:val="00BF7882"/>
    <w:rsid w:val="00BF7988"/>
    <w:rsid w:val="00C0029E"/>
    <w:rsid w:val="00C0369B"/>
    <w:rsid w:val="00C05A3D"/>
    <w:rsid w:val="00C07721"/>
    <w:rsid w:val="00C111CF"/>
    <w:rsid w:val="00C14F65"/>
    <w:rsid w:val="00C20BF5"/>
    <w:rsid w:val="00C22B59"/>
    <w:rsid w:val="00C2391C"/>
    <w:rsid w:val="00C30B1B"/>
    <w:rsid w:val="00C353DD"/>
    <w:rsid w:val="00C378AE"/>
    <w:rsid w:val="00C41B2F"/>
    <w:rsid w:val="00C42377"/>
    <w:rsid w:val="00C454E7"/>
    <w:rsid w:val="00C45934"/>
    <w:rsid w:val="00C55D55"/>
    <w:rsid w:val="00C56111"/>
    <w:rsid w:val="00C66D68"/>
    <w:rsid w:val="00C721BE"/>
    <w:rsid w:val="00C72370"/>
    <w:rsid w:val="00C72884"/>
    <w:rsid w:val="00C83078"/>
    <w:rsid w:val="00C841A0"/>
    <w:rsid w:val="00C86D21"/>
    <w:rsid w:val="00C86F22"/>
    <w:rsid w:val="00C86F9E"/>
    <w:rsid w:val="00C90DD4"/>
    <w:rsid w:val="00C96A95"/>
    <w:rsid w:val="00C97080"/>
    <w:rsid w:val="00C97B5A"/>
    <w:rsid w:val="00CA3BE6"/>
    <w:rsid w:val="00CA7035"/>
    <w:rsid w:val="00CB15F8"/>
    <w:rsid w:val="00CB7135"/>
    <w:rsid w:val="00CC28AB"/>
    <w:rsid w:val="00CC32BB"/>
    <w:rsid w:val="00CC3F5F"/>
    <w:rsid w:val="00CC43CA"/>
    <w:rsid w:val="00CC7DD8"/>
    <w:rsid w:val="00CC7FF4"/>
    <w:rsid w:val="00CD0669"/>
    <w:rsid w:val="00CD25D0"/>
    <w:rsid w:val="00CD5591"/>
    <w:rsid w:val="00CD6608"/>
    <w:rsid w:val="00CD7C84"/>
    <w:rsid w:val="00CE3B30"/>
    <w:rsid w:val="00CF1D3C"/>
    <w:rsid w:val="00CF25E2"/>
    <w:rsid w:val="00CF7404"/>
    <w:rsid w:val="00D0031F"/>
    <w:rsid w:val="00D013D8"/>
    <w:rsid w:val="00D01718"/>
    <w:rsid w:val="00D01F0A"/>
    <w:rsid w:val="00D072CA"/>
    <w:rsid w:val="00D10A78"/>
    <w:rsid w:val="00D159CE"/>
    <w:rsid w:val="00D165DC"/>
    <w:rsid w:val="00D25AE6"/>
    <w:rsid w:val="00D303F1"/>
    <w:rsid w:val="00D32126"/>
    <w:rsid w:val="00D361BD"/>
    <w:rsid w:val="00D362AD"/>
    <w:rsid w:val="00D45AAF"/>
    <w:rsid w:val="00D55231"/>
    <w:rsid w:val="00D61B81"/>
    <w:rsid w:val="00D66F3A"/>
    <w:rsid w:val="00D8389C"/>
    <w:rsid w:val="00D93A3C"/>
    <w:rsid w:val="00D93FDE"/>
    <w:rsid w:val="00D945A5"/>
    <w:rsid w:val="00D953F2"/>
    <w:rsid w:val="00DA0E0F"/>
    <w:rsid w:val="00DA17F3"/>
    <w:rsid w:val="00DA4801"/>
    <w:rsid w:val="00DA7926"/>
    <w:rsid w:val="00DB1C06"/>
    <w:rsid w:val="00DB3236"/>
    <w:rsid w:val="00DC2719"/>
    <w:rsid w:val="00DC5676"/>
    <w:rsid w:val="00DD1388"/>
    <w:rsid w:val="00DD1A10"/>
    <w:rsid w:val="00DD2600"/>
    <w:rsid w:val="00DD5EAD"/>
    <w:rsid w:val="00DE241F"/>
    <w:rsid w:val="00DE24D0"/>
    <w:rsid w:val="00DE6C0A"/>
    <w:rsid w:val="00DF105A"/>
    <w:rsid w:val="00DF1728"/>
    <w:rsid w:val="00DF3E09"/>
    <w:rsid w:val="00DF4450"/>
    <w:rsid w:val="00DF4F40"/>
    <w:rsid w:val="00DF56D6"/>
    <w:rsid w:val="00E05A9E"/>
    <w:rsid w:val="00E07604"/>
    <w:rsid w:val="00E11CB9"/>
    <w:rsid w:val="00E13674"/>
    <w:rsid w:val="00E23B25"/>
    <w:rsid w:val="00E250CB"/>
    <w:rsid w:val="00E254CA"/>
    <w:rsid w:val="00E26DC1"/>
    <w:rsid w:val="00E32047"/>
    <w:rsid w:val="00E33CD4"/>
    <w:rsid w:val="00E36201"/>
    <w:rsid w:val="00E4010B"/>
    <w:rsid w:val="00E41B94"/>
    <w:rsid w:val="00E4689F"/>
    <w:rsid w:val="00E5777E"/>
    <w:rsid w:val="00E57B55"/>
    <w:rsid w:val="00E57E5D"/>
    <w:rsid w:val="00E609DE"/>
    <w:rsid w:val="00E614A1"/>
    <w:rsid w:val="00E618CB"/>
    <w:rsid w:val="00E64705"/>
    <w:rsid w:val="00E72F33"/>
    <w:rsid w:val="00E74833"/>
    <w:rsid w:val="00E93214"/>
    <w:rsid w:val="00EA3BCD"/>
    <w:rsid w:val="00EA56FC"/>
    <w:rsid w:val="00EB09FE"/>
    <w:rsid w:val="00EB1AF5"/>
    <w:rsid w:val="00EC04FF"/>
    <w:rsid w:val="00EC22A0"/>
    <w:rsid w:val="00ED059A"/>
    <w:rsid w:val="00ED3577"/>
    <w:rsid w:val="00ED64B4"/>
    <w:rsid w:val="00ED7252"/>
    <w:rsid w:val="00EE0F56"/>
    <w:rsid w:val="00EE44C6"/>
    <w:rsid w:val="00EF04E7"/>
    <w:rsid w:val="00F0023B"/>
    <w:rsid w:val="00F003DC"/>
    <w:rsid w:val="00F03E7A"/>
    <w:rsid w:val="00F07777"/>
    <w:rsid w:val="00F10A86"/>
    <w:rsid w:val="00F1331E"/>
    <w:rsid w:val="00F13957"/>
    <w:rsid w:val="00F13C6E"/>
    <w:rsid w:val="00F20EA8"/>
    <w:rsid w:val="00F229FE"/>
    <w:rsid w:val="00F234EC"/>
    <w:rsid w:val="00F251B4"/>
    <w:rsid w:val="00F2617E"/>
    <w:rsid w:val="00F27F70"/>
    <w:rsid w:val="00F32312"/>
    <w:rsid w:val="00F331C6"/>
    <w:rsid w:val="00F34921"/>
    <w:rsid w:val="00F3699A"/>
    <w:rsid w:val="00F37B47"/>
    <w:rsid w:val="00F40D9B"/>
    <w:rsid w:val="00F562E5"/>
    <w:rsid w:val="00F67ED2"/>
    <w:rsid w:val="00F76B84"/>
    <w:rsid w:val="00F85955"/>
    <w:rsid w:val="00F9561F"/>
    <w:rsid w:val="00F95CA7"/>
    <w:rsid w:val="00F96AF2"/>
    <w:rsid w:val="00FA0CAF"/>
    <w:rsid w:val="00FA69C0"/>
    <w:rsid w:val="00FB02E6"/>
    <w:rsid w:val="00FB27D9"/>
    <w:rsid w:val="00FB3A84"/>
    <w:rsid w:val="00FB595E"/>
    <w:rsid w:val="00FB5D5B"/>
    <w:rsid w:val="00FB693E"/>
    <w:rsid w:val="00FC399E"/>
    <w:rsid w:val="00FC493D"/>
    <w:rsid w:val="00FD0303"/>
    <w:rsid w:val="00FD1DAF"/>
    <w:rsid w:val="00FD2D54"/>
    <w:rsid w:val="00FD3434"/>
    <w:rsid w:val="00FD599C"/>
    <w:rsid w:val="00FD6E2D"/>
    <w:rsid w:val="00FE288B"/>
    <w:rsid w:val="00FF1ADE"/>
    <w:rsid w:val="00FF3D00"/>
    <w:rsid w:val="00FF3E16"/>
    <w:rsid w:val="00FF439C"/>
    <w:rsid w:val="00FF4A5A"/>
    <w:rsid w:val="00FF5D7F"/>
    <w:rsid w:val="00FF6F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0F56"/>
    <w:rPr>
      <w:color w:val="000000"/>
    </w:rPr>
  </w:style>
  <w:style w:type="paragraph" w:styleId="Heading7">
    <w:name w:val="heading 7"/>
    <w:basedOn w:val="Normal"/>
    <w:next w:val="Normal"/>
    <w:link w:val="Heading7Char"/>
    <w:uiPriority w:val="9"/>
    <w:semiHidden/>
    <w:unhideWhenUsed/>
    <w:qFormat/>
    <w:rsid w:val="00772F9E"/>
    <w:pPr>
      <w:spacing w:before="240" w:after="60" w:line="276" w:lineRule="auto"/>
      <w:outlineLvl w:val="6"/>
    </w:pPr>
    <w:rPr>
      <w:rFonts w:asciiTheme="minorHAnsi" w:eastAsiaTheme="minorHAnsi" w:hAnsiTheme="minorHAnsi"/>
      <w:color w:val="auto"/>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E288B"/>
    <w:pPr>
      <w:spacing w:before="100" w:beforeAutospacing="1" w:after="100" w:afterAutospacing="1"/>
    </w:pPr>
    <w:rPr>
      <w:color w:val="auto"/>
      <w:sz w:val="24"/>
      <w:szCs w:val="24"/>
    </w:rPr>
  </w:style>
  <w:style w:type="paragraph" w:styleId="Header">
    <w:name w:val="header"/>
    <w:basedOn w:val="Normal"/>
    <w:rsid w:val="00A45EB1"/>
    <w:pPr>
      <w:tabs>
        <w:tab w:val="center" w:pos="4320"/>
        <w:tab w:val="right" w:pos="8640"/>
      </w:tabs>
    </w:pPr>
  </w:style>
  <w:style w:type="paragraph" w:styleId="Footer">
    <w:name w:val="footer"/>
    <w:basedOn w:val="Normal"/>
    <w:rsid w:val="00A45EB1"/>
    <w:pPr>
      <w:tabs>
        <w:tab w:val="center" w:pos="4320"/>
        <w:tab w:val="right" w:pos="8640"/>
      </w:tabs>
    </w:pPr>
  </w:style>
  <w:style w:type="paragraph" w:styleId="BalloonText">
    <w:name w:val="Balloon Text"/>
    <w:basedOn w:val="Normal"/>
    <w:semiHidden/>
    <w:rsid w:val="00BC09B2"/>
    <w:rPr>
      <w:rFonts w:ascii="Tahoma" w:hAnsi="Tahoma" w:cs="Tahoma"/>
      <w:sz w:val="16"/>
      <w:szCs w:val="16"/>
    </w:rPr>
  </w:style>
  <w:style w:type="paragraph" w:styleId="ListParagraph">
    <w:name w:val="List Paragraph"/>
    <w:basedOn w:val="Normal"/>
    <w:uiPriority w:val="34"/>
    <w:qFormat/>
    <w:rsid w:val="003C5A6D"/>
    <w:pPr>
      <w:ind w:left="720"/>
    </w:pPr>
    <w:rPr>
      <w:rFonts w:ascii="Calibri" w:eastAsiaTheme="minorHAnsi" w:hAnsi="Calibri"/>
      <w:color w:val="auto"/>
      <w:sz w:val="22"/>
      <w:szCs w:val="22"/>
    </w:rPr>
  </w:style>
  <w:style w:type="paragraph" w:styleId="FootnoteText">
    <w:name w:val="footnote text"/>
    <w:basedOn w:val="Normal"/>
    <w:link w:val="FootnoteTextChar"/>
    <w:uiPriority w:val="99"/>
    <w:rsid w:val="006B5C6D"/>
  </w:style>
  <w:style w:type="character" w:customStyle="1" w:styleId="FootnoteTextChar">
    <w:name w:val="Footnote Text Char"/>
    <w:basedOn w:val="DefaultParagraphFont"/>
    <w:link w:val="FootnoteText"/>
    <w:uiPriority w:val="99"/>
    <w:rsid w:val="006B5C6D"/>
    <w:rPr>
      <w:color w:val="000000"/>
    </w:rPr>
  </w:style>
  <w:style w:type="character" w:styleId="FootnoteReference">
    <w:name w:val="footnote reference"/>
    <w:basedOn w:val="DefaultParagraphFont"/>
    <w:uiPriority w:val="99"/>
    <w:rsid w:val="006B5C6D"/>
    <w:rPr>
      <w:vertAlign w:val="superscript"/>
    </w:rPr>
  </w:style>
  <w:style w:type="character" w:styleId="CommentReference">
    <w:name w:val="annotation reference"/>
    <w:basedOn w:val="DefaultParagraphFont"/>
    <w:uiPriority w:val="99"/>
    <w:unhideWhenUsed/>
    <w:rsid w:val="009D5636"/>
    <w:rPr>
      <w:sz w:val="16"/>
      <w:szCs w:val="16"/>
    </w:rPr>
  </w:style>
  <w:style w:type="paragraph" w:styleId="CommentText">
    <w:name w:val="annotation text"/>
    <w:basedOn w:val="Normal"/>
    <w:link w:val="CommentTextChar"/>
    <w:uiPriority w:val="99"/>
    <w:unhideWhenUsed/>
    <w:rsid w:val="009D5636"/>
    <w:rPr>
      <w:rFonts w:ascii="Calibri" w:eastAsiaTheme="minorHAnsi" w:hAnsi="Calibri" w:cs="Calibri"/>
      <w:color w:val="auto"/>
    </w:rPr>
  </w:style>
  <w:style w:type="character" w:customStyle="1" w:styleId="CommentTextChar">
    <w:name w:val="Comment Text Char"/>
    <w:basedOn w:val="DefaultParagraphFont"/>
    <w:link w:val="CommentText"/>
    <w:uiPriority w:val="99"/>
    <w:rsid w:val="009D5636"/>
    <w:rPr>
      <w:rFonts w:ascii="Calibri" w:eastAsiaTheme="minorHAnsi" w:hAnsi="Calibri" w:cs="Calibri"/>
    </w:rPr>
  </w:style>
  <w:style w:type="character" w:customStyle="1" w:styleId="s3">
    <w:name w:val="s3"/>
    <w:basedOn w:val="DefaultParagraphFont"/>
    <w:rsid w:val="007D094B"/>
  </w:style>
  <w:style w:type="paragraph" w:customStyle="1" w:styleId="s6">
    <w:name w:val="s6"/>
    <w:basedOn w:val="Normal"/>
    <w:rsid w:val="00116993"/>
    <w:pPr>
      <w:spacing w:before="100" w:beforeAutospacing="1" w:after="100" w:afterAutospacing="1"/>
    </w:pPr>
    <w:rPr>
      <w:rFonts w:eastAsiaTheme="minorHAnsi"/>
      <w:color w:val="auto"/>
      <w:sz w:val="24"/>
      <w:szCs w:val="24"/>
    </w:rPr>
  </w:style>
  <w:style w:type="character" w:styleId="Hyperlink">
    <w:name w:val="Hyperlink"/>
    <w:basedOn w:val="DefaultParagraphFont"/>
    <w:uiPriority w:val="99"/>
    <w:unhideWhenUsed/>
    <w:rsid w:val="00DA4801"/>
    <w:rPr>
      <w:color w:val="0000FF" w:themeColor="hyperlink"/>
      <w:u w:val="single"/>
    </w:rPr>
  </w:style>
  <w:style w:type="character" w:customStyle="1" w:styleId="Heading7Char">
    <w:name w:val="Heading 7 Char"/>
    <w:basedOn w:val="DefaultParagraphFont"/>
    <w:link w:val="Heading7"/>
    <w:uiPriority w:val="9"/>
    <w:semiHidden/>
    <w:rsid w:val="00772F9E"/>
    <w:rPr>
      <w:rFonts w:asciiTheme="minorHAnsi" w:eastAsiaTheme="minorHAnsi" w:hAnsiTheme="minorHAnsi"/>
      <w:sz w:val="24"/>
      <w:szCs w:val="24"/>
      <w:lang w:bidi="en-US"/>
    </w:rPr>
  </w:style>
  <w:style w:type="table" w:styleId="TableGrid">
    <w:name w:val="Table Grid"/>
    <w:basedOn w:val="TableNormal"/>
    <w:uiPriority w:val="59"/>
    <w:rsid w:val="00781EE7"/>
    <w:rPr>
      <w:rFonts w:asciiTheme="minorHAnsi" w:eastAsiaTheme="minorHAnsi" w:hAnsiTheme="minorHAnsi"/>
      <w:sz w:val="24"/>
      <w:szCs w:val="24"/>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1377684">
      <w:bodyDiv w:val="1"/>
      <w:marLeft w:val="0"/>
      <w:marRight w:val="0"/>
      <w:marTop w:val="0"/>
      <w:marBottom w:val="0"/>
      <w:divBdr>
        <w:top w:val="none" w:sz="0" w:space="0" w:color="auto"/>
        <w:left w:val="none" w:sz="0" w:space="0" w:color="auto"/>
        <w:bottom w:val="none" w:sz="0" w:space="0" w:color="auto"/>
        <w:right w:val="none" w:sz="0" w:space="0" w:color="auto"/>
      </w:divBdr>
    </w:div>
    <w:div w:id="244339349">
      <w:bodyDiv w:val="1"/>
      <w:marLeft w:val="0"/>
      <w:marRight w:val="0"/>
      <w:marTop w:val="0"/>
      <w:marBottom w:val="0"/>
      <w:divBdr>
        <w:top w:val="none" w:sz="0" w:space="0" w:color="auto"/>
        <w:left w:val="none" w:sz="0" w:space="0" w:color="auto"/>
        <w:bottom w:val="none" w:sz="0" w:space="0" w:color="auto"/>
        <w:right w:val="none" w:sz="0" w:space="0" w:color="auto"/>
      </w:divBdr>
    </w:div>
    <w:div w:id="476149464">
      <w:bodyDiv w:val="1"/>
      <w:marLeft w:val="0"/>
      <w:marRight w:val="0"/>
      <w:marTop w:val="0"/>
      <w:marBottom w:val="0"/>
      <w:divBdr>
        <w:top w:val="none" w:sz="0" w:space="0" w:color="auto"/>
        <w:left w:val="none" w:sz="0" w:space="0" w:color="auto"/>
        <w:bottom w:val="none" w:sz="0" w:space="0" w:color="auto"/>
        <w:right w:val="none" w:sz="0" w:space="0" w:color="auto"/>
      </w:divBdr>
      <w:divsChild>
        <w:div w:id="984627231">
          <w:marLeft w:val="0"/>
          <w:marRight w:val="0"/>
          <w:marTop w:val="0"/>
          <w:marBottom w:val="0"/>
          <w:divBdr>
            <w:top w:val="none" w:sz="0" w:space="0" w:color="auto"/>
            <w:left w:val="none" w:sz="0" w:space="0" w:color="auto"/>
            <w:bottom w:val="none" w:sz="0" w:space="0" w:color="auto"/>
            <w:right w:val="none" w:sz="0" w:space="0" w:color="auto"/>
          </w:divBdr>
          <w:divsChild>
            <w:div w:id="484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34846">
      <w:bodyDiv w:val="1"/>
      <w:marLeft w:val="0"/>
      <w:marRight w:val="0"/>
      <w:marTop w:val="0"/>
      <w:marBottom w:val="0"/>
      <w:divBdr>
        <w:top w:val="none" w:sz="0" w:space="0" w:color="auto"/>
        <w:left w:val="none" w:sz="0" w:space="0" w:color="auto"/>
        <w:bottom w:val="none" w:sz="0" w:space="0" w:color="auto"/>
        <w:right w:val="none" w:sz="0" w:space="0" w:color="auto"/>
      </w:divBdr>
    </w:div>
    <w:div w:id="685519523">
      <w:bodyDiv w:val="1"/>
      <w:marLeft w:val="0"/>
      <w:marRight w:val="0"/>
      <w:marTop w:val="0"/>
      <w:marBottom w:val="0"/>
      <w:divBdr>
        <w:top w:val="none" w:sz="0" w:space="0" w:color="auto"/>
        <w:left w:val="none" w:sz="0" w:space="0" w:color="auto"/>
        <w:bottom w:val="none" w:sz="0" w:space="0" w:color="auto"/>
        <w:right w:val="none" w:sz="0" w:space="0" w:color="auto"/>
      </w:divBdr>
    </w:div>
    <w:div w:id="719936622">
      <w:bodyDiv w:val="1"/>
      <w:marLeft w:val="0"/>
      <w:marRight w:val="0"/>
      <w:marTop w:val="0"/>
      <w:marBottom w:val="0"/>
      <w:divBdr>
        <w:top w:val="none" w:sz="0" w:space="0" w:color="auto"/>
        <w:left w:val="none" w:sz="0" w:space="0" w:color="auto"/>
        <w:bottom w:val="none" w:sz="0" w:space="0" w:color="auto"/>
        <w:right w:val="none" w:sz="0" w:space="0" w:color="auto"/>
      </w:divBdr>
    </w:div>
    <w:div w:id="805975129">
      <w:bodyDiv w:val="1"/>
      <w:marLeft w:val="0"/>
      <w:marRight w:val="0"/>
      <w:marTop w:val="0"/>
      <w:marBottom w:val="0"/>
      <w:divBdr>
        <w:top w:val="none" w:sz="0" w:space="0" w:color="auto"/>
        <w:left w:val="none" w:sz="0" w:space="0" w:color="auto"/>
        <w:bottom w:val="none" w:sz="0" w:space="0" w:color="auto"/>
        <w:right w:val="none" w:sz="0" w:space="0" w:color="auto"/>
      </w:divBdr>
      <w:divsChild>
        <w:div w:id="114831000">
          <w:marLeft w:val="0"/>
          <w:marRight w:val="0"/>
          <w:marTop w:val="0"/>
          <w:marBottom w:val="0"/>
          <w:divBdr>
            <w:top w:val="none" w:sz="0" w:space="0" w:color="auto"/>
            <w:left w:val="none" w:sz="0" w:space="0" w:color="auto"/>
            <w:bottom w:val="none" w:sz="0" w:space="0" w:color="auto"/>
            <w:right w:val="none" w:sz="0" w:space="0" w:color="auto"/>
          </w:divBdr>
        </w:div>
        <w:div w:id="129523602">
          <w:marLeft w:val="0"/>
          <w:marRight w:val="0"/>
          <w:marTop w:val="0"/>
          <w:marBottom w:val="0"/>
          <w:divBdr>
            <w:top w:val="none" w:sz="0" w:space="0" w:color="auto"/>
            <w:left w:val="none" w:sz="0" w:space="0" w:color="auto"/>
            <w:bottom w:val="none" w:sz="0" w:space="0" w:color="auto"/>
            <w:right w:val="none" w:sz="0" w:space="0" w:color="auto"/>
          </w:divBdr>
        </w:div>
        <w:div w:id="290600009">
          <w:marLeft w:val="0"/>
          <w:marRight w:val="0"/>
          <w:marTop w:val="0"/>
          <w:marBottom w:val="0"/>
          <w:divBdr>
            <w:top w:val="none" w:sz="0" w:space="0" w:color="auto"/>
            <w:left w:val="none" w:sz="0" w:space="0" w:color="auto"/>
            <w:bottom w:val="none" w:sz="0" w:space="0" w:color="auto"/>
            <w:right w:val="none" w:sz="0" w:space="0" w:color="auto"/>
          </w:divBdr>
        </w:div>
        <w:div w:id="554586145">
          <w:marLeft w:val="0"/>
          <w:marRight w:val="0"/>
          <w:marTop w:val="0"/>
          <w:marBottom w:val="0"/>
          <w:divBdr>
            <w:top w:val="none" w:sz="0" w:space="0" w:color="auto"/>
            <w:left w:val="none" w:sz="0" w:space="0" w:color="auto"/>
            <w:bottom w:val="none" w:sz="0" w:space="0" w:color="auto"/>
            <w:right w:val="none" w:sz="0" w:space="0" w:color="auto"/>
          </w:divBdr>
        </w:div>
        <w:div w:id="1861355361">
          <w:marLeft w:val="0"/>
          <w:marRight w:val="0"/>
          <w:marTop w:val="0"/>
          <w:marBottom w:val="0"/>
          <w:divBdr>
            <w:top w:val="none" w:sz="0" w:space="0" w:color="auto"/>
            <w:left w:val="none" w:sz="0" w:space="0" w:color="auto"/>
            <w:bottom w:val="none" w:sz="0" w:space="0" w:color="auto"/>
            <w:right w:val="none" w:sz="0" w:space="0" w:color="auto"/>
          </w:divBdr>
        </w:div>
      </w:divsChild>
    </w:div>
    <w:div w:id="910506073">
      <w:bodyDiv w:val="1"/>
      <w:marLeft w:val="0"/>
      <w:marRight w:val="0"/>
      <w:marTop w:val="0"/>
      <w:marBottom w:val="0"/>
      <w:divBdr>
        <w:top w:val="none" w:sz="0" w:space="0" w:color="auto"/>
        <w:left w:val="none" w:sz="0" w:space="0" w:color="auto"/>
        <w:bottom w:val="none" w:sz="0" w:space="0" w:color="auto"/>
        <w:right w:val="none" w:sz="0" w:space="0" w:color="auto"/>
      </w:divBdr>
    </w:div>
    <w:div w:id="955527673">
      <w:bodyDiv w:val="1"/>
      <w:marLeft w:val="0"/>
      <w:marRight w:val="0"/>
      <w:marTop w:val="0"/>
      <w:marBottom w:val="0"/>
      <w:divBdr>
        <w:top w:val="none" w:sz="0" w:space="0" w:color="auto"/>
        <w:left w:val="none" w:sz="0" w:space="0" w:color="auto"/>
        <w:bottom w:val="none" w:sz="0" w:space="0" w:color="auto"/>
        <w:right w:val="none" w:sz="0" w:space="0" w:color="auto"/>
      </w:divBdr>
    </w:div>
    <w:div w:id="1398744578">
      <w:bodyDiv w:val="1"/>
      <w:marLeft w:val="0"/>
      <w:marRight w:val="0"/>
      <w:marTop w:val="0"/>
      <w:marBottom w:val="0"/>
      <w:divBdr>
        <w:top w:val="none" w:sz="0" w:space="0" w:color="auto"/>
        <w:left w:val="none" w:sz="0" w:space="0" w:color="auto"/>
        <w:bottom w:val="none" w:sz="0" w:space="0" w:color="auto"/>
        <w:right w:val="none" w:sz="0" w:space="0" w:color="auto"/>
      </w:divBdr>
    </w:div>
    <w:div w:id="1560554559">
      <w:bodyDiv w:val="1"/>
      <w:marLeft w:val="0"/>
      <w:marRight w:val="0"/>
      <w:marTop w:val="0"/>
      <w:marBottom w:val="0"/>
      <w:divBdr>
        <w:top w:val="none" w:sz="0" w:space="0" w:color="auto"/>
        <w:left w:val="none" w:sz="0" w:space="0" w:color="auto"/>
        <w:bottom w:val="none" w:sz="0" w:space="0" w:color="auto"/>
        <w:right w:val="none" w:sz="0" w:space="0" w:color="auto"/>
      </w:divBdr>
    </w:div>
    <w:div w:id="1573196158">
      <w:bodyDiv w:val="1"/>
      <w:marLeft w:val="0"/>
      <w:marRight w:val="0"/>
      <w:marTop w:val="0"/>
      <w:marBottom w:val="0"/>
      <w:divBdr>
        <w:top w:val="none" w:sz="0" w:space="0" w:color="auto"/>
        <w:left w:val="none" w:sz="0" w:space="0" w:color="auto"/>
        <w:bottom w:val="none" w:sz="0" w:space="0" w:color="auto"/>
        <w:right w:val="none" w:sz="0" w:space="0" w:color="auto"/>
      </w:divBdr>
    </w:div>
    <w:div w:id="211389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urts.ca.gov/documents/ElDoradoSupCourt_CWData_2012Q4.pdf" TargetMode="External"/><Relationship Id="rId13" Type="http://schemas.openxmlformats.org/officeDocument/2006/relationships/hyperlink" Target="http://www.courts.ca.gov/documents/102607itemF.pdf" TargetMode="External"/><Relationship Id="rId18" Type="http://schemas.openxmlformats.org/officeDocument/2006/relationships/hyperlink" Target="http://www.courts.ca.gov/documents/102607itemF.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courts.ca.gov/documents/102607itemF.pdf" TargetMode="External"/><Relationship Id="rId17" Type="http://schemas.openxmlformats.org/officeDocument/2006/relationships/hyperlink" Target="http://www.courts.ca.gov/brc.htm" TargetMode="External"/><Relationship Id="rId2" Type="http://schemas.openxmlformats.org/officeDocument/2006/relationships/numbering" Target="numbering.xml"/><Relationship Id="rId16" Type="http://schemas.openxmlformats.org/officeDocument/2006/relationships/hyperlink" Target="http://cssr.berkeley.edu/CWSCMSreports/Pointintime/fostercare/childwel/grids/data/grid_sXr_jul2013_0.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urts.ca.gov/documents/102607itemF.pdf" TargetMode="External"/><Relationship Id="rId5" Type="http://schemas.openxmlformats.org/officeDocument/2006/relationships/webSettings" Target="webSettings.xml"/><Relationship Id="rId15" Type="http://schemas.openxmlformats.org/officeDocument/2006/relationships/hyperlink" Target="http://www.courts.ca.gov/documents/102607itemF.pdf" TargetMode="External"/><Relationship Id="rId23" Type="http://schemas.openxmlformats.org/officeDocument/2006/relationships/theme" Target="theme/theme1.xml"/><Relationship Id="rId10" Type="http://schemas.openxmlformats.org/officeDocument/2006/relationships/hyperlink" Target="http://www.courts.ca.gov/documents/102607itemF.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urts.ca.gov/publicrecords.htm" TargetMode="External"/><Relationship Id="rId14" Type="http://schemas.openxmlformats.org/officeDocument/2006/relationships/hyperlink" Target="http://www.courts.ca.gov/documents/102607itemF.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7E5F5-2D62-48B4-B3E4-BBB78E51C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11</Pages>
  <Words>4154</Words>
  <Characters>23062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The following are our questions regarding the RFP: </vt:lpstr>
    </vt:vector>
  </TitlesOfParts>
  <Company>Administrative Office of the Courts</Company>
  <LinksUpToDate>false</LinksUpToDate>
  <CharactersWithSpaces>27162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following are our questions regarding the RFP: </dc:title>
  <dc:subject/>
  <dc:creator>Administrative Office of the Courts</dc:creator>
  <cp:keywords/>
  <dc:description/>
  <cp:lastModifiedBy>Linda McBain</cp:lastModifiedBy>
  <cp:revision>34</cp:revision>
  <cp:lastPrinted>2013-11-23T00:12:00Z</cp:lastPrinted>
  <dcterms:created xsi:type="dcterms:W3CDTF">2012-08-10T20:45:00Z</dcterms:created>
  <dcterms:modified xsi:type="dcterms:W3CDTF">2013-11-23T00:13:00Z</dcterms:modified>
</cp:coreProperties>
</file>