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Layout w:type="fixed"/>
        <w:tblCellMar>
          <w:left w:w="115" w:type="dxa"/>
          <w:right w:w="115" w:type="dxa"/>
        </w:tblCellMar>
        <w:tblLook w:val="0000"/>
      </w:tblPr>
      <w:tblGrid>
        <w:gridCol w:w="2880"/>
        <w:gridCol w:w="270"/>
        <w:gridCol w:w="6570"/>
      </w:tblGrid>
      <w:tr w:rsidR="00C37FF7" w:rsidRPr="00583B6D" w:rsidTr="00887EFC">
        <w:trPr>
          <w:cantSplit/>
          <w:trHeight w:hRule="exact" w:val="4860"/>
        </w:trPr>
        <w:tc>
          <w:tcPr>
            <w:tcW w:w="2880" w:type="dxa"/>
            <w:vMerge w:val="restart"/>
            <w:tcMar>
              <w:left w:w="0" w:type="dxa"/>
              <w:right w:w="0" w:type="dxa"/>
            </w:tcMar>
          </w:tcPr>
          <w:p w:rsidR="00C37FF7" w:rsidRPr="00583B6D" w:rsidRDefault="00C37FF7" w:rsidP="00887EFC">
            <w:pPr>
              <w:rPr>
                <w:rFonts w:ascii="Arial" w:hAnsi="Arial" w:cs="Arial"/>
              </w:rPr>
            </w:pPr>
            <w:r w:rsidRPr="00583B6D">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583B6D" w:rsidRDefault="00C37FF7" w:rsidP="00887EFC">
            <w:pPr>
              <w:rPr>
                <w:rFonts w:ascii="Arial" w:hAnsi="Arial" w:cs="Arial"/>
              </w:rPr>
            </w:pPr>
          </w:p>
        </w:tc>
        <w:tc>
          <w:tcPr>
            <w:tcW w:w="6570" w:type="dxa"/>
            <w:tcBorders>
              <w:bottom w:val="single" w:sz="4" w:space="0" w:color="auto"/>
            </w:tcBorders>
            <w:tcMar>
              <w:left w:w="0" w:type="dxa"/>
              <w:right w:w="0" w:type="dxa"/>
            </w:tcMar>
            <w:vAlign w:val="bottom"/>
          </w:tcPr>
          <w:p w:rsidR="00C37FF7" w:rsidRPr="00583B6D" w:rsidRDefault="00C37FF7" w:rsidP="00887EFC">
            <w:pPr>
              <w:pStyle w:val="JCCReportCoverTitle"/>
              <w:rPr>
                <w:rFonts w:ascii="Arial" w:hAnsi="Arial" w:cs="Arial"/>
              </w:rPr>
            </w:pPr>
            <w:r w:rsidRPr="00583B6D">
              <w:rPr>
                <w:rFonts w:ascii="Arial" w:hAnsi="Arial" w:cs="Arial"/>
              </w:rPr>
              <w:t>REQUEST FOR PROPOSAL</w:t>
            </w:r>
            <w:r w:rsidR="004425FB" w:rsidRPr="00583B6D">
              <w:rPr>
                <w:rFonts w:ascii="Arial" w:hAnsi="Arial" w:cs="Arial"/>
              </w:rPr>
              <w:t>S</w:t>
            </w:r>
            <w:r w:rsidR="00F65845" w:rsidRPr="00583B6D">
              <w:rPr>
                <w:rFonts w:ascii="Arial" w:hAnsi="Arial" w:cs="Arial"/>
              </w:rPr>
              <w:t xml:space="preserve"> – </w:t>
            </w:r>
            <w:r w:rsidR="009056D8" w:rsidRPr="00583B6D">
              <w:rPr>
                <w:rFonts w:ascii="Arial" w:hAnsi="Arial" w:cs="Arial"/>
                <w:sz w:val="56"/>
                <w:szCs w:val="56"/>
              </w:rPr>
              <w:t>Questions &amp; Answers</w:t>
            </w:r>
          </w:p>
          <w:p w:rsidR="00C37FF7" w:rsidRPr="00583B6D" w:rsidRDefault="00C37FF7" w:rsidP="00887EFC">
            <w:pPr>
              <w:pStyle w:val="JCCReportCoverSpacer"/>
              <w:rPr>
                <w:rFonts w:ascii="Arial" w:hAnsi="Arial" w:cs="Arial"/>
              </w:rPr>
            </w:pPr>
            <w:r w:rsidRPr="00583B6D">
              <w:rPr>
                <w:rFonts w:ascii="Arial" w:hAnsi="Arial" w:cs="Arial"/>
              </w:rPr>
              <w:t xml:space="preserve"> </w:t>
            </w:r>
          </w:p>
        </w:tc>
      </w:tr>
      <w:tr w:rsidR="00C37FF7" w:rsidRPr="00583B6D" w:rsidTr="00887EFC">
        <w:trPr>
          <w:cantSplit/>
          <w:trHeight w:hRule="exact" w:val="6580"/>
        </w:trPr>
        <w:tc>
          <w:tcPr>
            <w:tcW w:w="2880" w:type="dxa"/>
            <w:vMerge/>
            <w:tcMar>
              <w:left w:w="0" w:type="dxa"/>
              <w:right w:w="0" w:type="dxa"/>
            </w:tcMar>
          </w:tcPr>
          <w:p w:rsidR="00C37FF7" w:rsidRPr="00583B6D" w:rsidRDefault="00C37FF7" w:rsidP="00887EFC">
            <w:pPr>
              <w:rPr>
                <w:rFonts w:ascii="Arial" w:hAnsi="Arial" w:cs="Arial"/>
              </w:rPr>
            </w:pPr>
          </w:p>
        </w:tc>
        <w:tc>
          <w:tcPr>
            <w:tcW w:w="270" w:type="dxa"/>
            <w:vMerge/>
            <w:tcMar>
              <w:left w:w="0" w:type="dxa"/>
              <w:right w:w="0" w:type="dxa"/>
            </w:tcMar>
          </w:tcPr>
          <w:p w:rsidR="00C37FF7" w:rsidRPr="00583B6D" w:rsidRDefault="00C37FF7" w:rsidP="00887EFC">
            <w:pPr>
              <w:rPr>
                <w:rFonts w:ascii="Arial" w:hAnsi="Arial" w:cs="Arial"/>
                <w:b/>
                <w:caps/>
                <w:spacing w:val="20"/>
                <w:sz w:val="28"/>
              </w:rPr>
            </w:pPr>
          </w:p>
        </w:tc>
        <w:tc>
          <w:tcPr>
            <w:tcW w:w="6570" w:type="dxa"/>
            <w:tcBorders>
              <w:top w:val="single" w:sz="4" w:space="0" w:color="auto"/>
            </w:tcBorders>
            <w:tcMar>
              <w:left w:w="0" w:type="dxa"/>
              <w:right w:w="0" w:type="dxa"/>
            </w:tcMar>
          </w:tcPr>
          <w:p w:rsidR="00C37FF7" w:rsidRPr="00583B6D" w:rsidRDefault="00C37FF7" w:rsidP="00887EFC">
            <w:pPr>
              <w:pStyle w:val="JCCReportCoverSubhead"/>
              <w:rPr>
                <w:rFonts w:ascii="Arial" w:hAnsi="Arial" w:cs="Arial"/>
                <w:b/>
                <w:szCs w:val="28"/>
              </w:rPr>
            </w:pPr>
            <w:r w:rsidRPr="00583B6D">
              <w:rPr>
                <w:rFonts w:ascii="Arial" w:hAnsi="Arial" w:cs="Arial"/>
                <w:b/>
                <w:szCs w:val="28"/>
              </w:rPr>
              <w:t>AdministRative Office of the Courts (AOC)</w:t>
            </w:r>
          </w:p>
          <w:p w:rsidR="00F82EEF" w:rsidRPr="00583B6D" w:rsidRDefault="00F82EEF" w:rsidP="00887EFC">
            <w:pPr>
              <w:pStyle w:val="JCCReportCoverSubhead"/>
              <w:rPr>
                <w:rFonts w:ascii="Arial" w:hAnsi="Arial" w:cs="Arial"/>
                <w:i/>
                <w:caps w:val="0"/>
                <w:szCs w:val="28"/>
              </w:rPr>
            </w:pPr>
          </w:p>
          <w:p w:rsidR="00F65845" w:rsidRPr="00583B6D" w:rsidRDefault="00F65845" w:rsidP="00887EFC">
            <w:pPr>
              <w:pStyle w:val="JCCReportCoverSubhead"/>
              <w:rPr>
                <w:rFonts w:ascii="Arial" w:hAnsi="Arial" w:cs="Arial"/>
                <w:caps w:val="0"/>
                <w:szCs w:val="28"/>
              </w:rPr>
            </w:pPr>
            <w:r w:rsidRPr="00583B6D">
              <w:rPr>
                <w:rFonts w:ascii="Arial" w:hAnsi="Arial" w:cs="Arial"/>
                <w:caps w:val="0"/>
                <w:szCs w:val="28"/>
              </w:rPr>
              <w:t xml:space="preserve">RFP Title: </w:t>
            </w:r>
          </w:p>
          <w:p w:rsidR="009056D8" w:rsidRPr="00583B6D" w:rsidRDefault="009056D8" w:rsidP="009056D8">
            <w:pPr>
              <w:pStyle w:val="Header"/>
              <w:rPr>
                <w:rFonts w:ascii="Arial" w:hAnsi="Arial" w:cs="Arial"/>
                <w:b/>
                <w:caps/>
              </w:rPr>
            </w:pPr>
            <w:r w:rsidRPr="00583B6D">
              <w:rPr>
                <w:rFonts w:ascii="Arial" w:hAnsi="Arial" w:cs="Arial"/>
                <w:b/>
                <w:spacing w:val="20"/>
              </w:rPr>
              <w:t>EVALUATION OF PILOT PROJECTS UNDER THE SARGENT SHRIVER CIVIL COUNSEL ACT</w:t>
            </w:r>
            <w:r w:rsidRPr="00583B6D">
              <w:rPr>
                <w:rFonts w:ascii="Arial" w:hAnsi="Arial" w:cs="Arial"/>
                <w:b/>
                <w:caps/>
              </w:rPr>
              <w:t xml:space="preserve"> </w:t>
            </w:r>
          </w:p>
          <w:p w:rsidR="009056D8" w:rsidRPr="00583B6D" w:rsidRDefault="009056D8" w:rsidP="00887EFC">
            <w:pPr>
              <w:pStyle w:val="JCCReportCoverSubhead"/>
              <w:rPr>
                <w:rFonts w:ascii="Arial" w:hAnsi="Arial" w:cs="Arial"/>
                <w:caps w:val="0"/>
                <w:szCs w:val="28"/>
              </w:rPr>
            </w:pPr>
          </w:p>
          <w:p w:rsidR="00F65845" w:rsidRPr="00583B6D" w:rsidRDefault="00F65845" w:rsidP="00887EFC">
            <w:pPr>
              <w:pStyle w:val="JCCReportCoverSubhead"/>
              <w:rPr>
                <w:rFonts w:ascii="Arial" w:hAnsi="Arial" w:cs="Arial"/>
                <w:caps w:val="0"/>
                <w:szCs w:val="28"/>
              </w:rPr>
            </w:pPr>
            <w:r w:rsidRPr="00583B6D">
              <w:rPr>
                <w:rFonts w:ascii="Arial" w:hAnsi="Arial" w:cs="Arial"/>
                <w:caps w:val="0"/>
                <w:szCs w:val="28"/>
              </w:rPr>
              <w:t>RFP Number:</w:t>
            </w:r>
          </w:p>
          <w:p w:rsidR="009056D8" w:rsidRPr="00583B6D" w:rsidRDefault="009056D8" w:rsidP="009056D8">
            <w:pPr>
              <w:pStyle w:val="Header"/>
              <w:rPr>
                <w:rFonts w:ascii="Arial" w:hAnsi="Arial" w:cs="Arial"/>
                <w:b/>
                <w:caps/>
                <w:szCs w:val="28"/>
              </w:rPr>
            </w:pPr>
            <w:r w:rsidRPr="00583B6D">
              <w:rPr>
                <w:rFonts w:ascii="Arial" w:hAnsi="Arial" w:cs="Arial"/>
                <w:b/>
                <w:caps/>
                <w:szCs w:val="28"/>
              </w:rPr>
              <w:t>CFCC 10-11-LM</w:t>
            </w:r>
          </w:p>
          <w:p w:rsidR="009056D8" w:rsidRPr="00583B6D" w:rsidRDefault="009056D8" w:rsidP="00887EFC">
            <w:pPr>
              <w:pStyle w:val="JCCReportCoverSubhead"/>
              <w:rPr>
                <w:rFonts w:ascii="Arial" w:hAnsi="Arial" w:cs="Arial"/>
                <w:caps w:val="0"/>
                <w:szCs w:val="28"/>
              </w:rPr>
            </w:pPr>
          </w:p>
          <w:p w:rsidR="00C37FF7" w:rsidRPr="00583B6D" w:rsidRDefault="00C37FF7" w:rsidP="00887EFC">
            <w:pPr>
              <w:pStyle w:val="Header"/>
              <w:tabs>
                <w:tab w:val="clear" w:pos="4320"/>
                <w:tab w:val="clear" w:pos="8640"/>
              </w:tabs>
              <w:autoSpaceDE w:val="0"/>
              <w:autoSpaceDN w:val="0"/>
              <w:adjustRightInd w:val="0"/>
              <w:rPr>
                <w:rFonts w:ascii="Arial" w:hAnsi="Arial" w:cs="Arial"/>
                <w:bCs/>
                <w:smallCaps/>
                <w:sz w:val="28"/>
                <w:szCs w:val="20"/>
              </w:rPr>
            </w:pPr>
            <w:r w:rsidRPr="00583B6D">
              <w:rPr>
                <w:rFonts w:ascii="Arial" w:hAnsi="Arial" w:cs="Arial"/>
                <w:bCs/>
                <w:smallCaps/>
                <w:sz w:val="28"/>
                <w:szCs w:val="20"/>
              </w:rPr>
              <w:t xml:space="preserve">PROPOSALS DUE:  </w:t>
            </w:r>
          </w:p>
          <w:p w:rsidR="009056D8" w:rsidRPr="00583B6D" w:rsidRDefault="009056D8" w:rsidP="009056D8">
            <w:pPr>
              <w:pStyle w:val="Header"/>
              <w:tabs>
                <w:tab w:val="clear" w:pos="4320"/>
                <w:tab w:val="clear" w:pos="8640"/>
              </w:tabs>
              <w:autoSpaceDE w:val="0"/>
              <w:autoSpaceDN w:val="0"/>
              <w:adjustRightInd w:val="0"/>
              <w:rPr>
                <w:rFonts w:ascii="Arial" w:hAnsi="Arial" w:cs="Arial"/>
                <w:b/>
                <w:bCs/>
                <w:smallCaps/>
                <w:sz w:val="28"/>
                <w:szCs w:val="28"/>
              </w:rPr>
            </w:pPr>
            <w:r w:rsidRPr="00583B6D">
              <w:rPr>
                <w:rFonts w:ascii="Arial" w:hAnsi="Arial" w:cs="Arial"/>
                <w:b/>
                <w:caps/>
                <w:szCs w:val="28"/>
              </w:rPr>
              <w:t>February 24, 2012, at close OF BUSINESS (PST</w:t>
            </w:r>
            <w:r w:rsidRPr="00583B6D">
              <w:rPr>
                <w:rFonts w:ascii="Arial" w:hAnsi="Arial" w:cs="Arial"/>
                <w:b/>
                <w:bCs/>
                <w:smallCaps/>
              </w:rPr>
              <w:t>).</w:t>
            </w:r>
          </w:p>
          <w:p w:rsidR="00F82EEF" w:rsidRPr="00583B6D" w:rsidRDefault="00F82EEF" w:rsidP="00887EFC">
            <w:pPr>
              <w:pStyle w:val="Header"/>
              <w:tabs>
                <w:tab w:val="clear" w:pos="4320"/>
                <w:tab w:val="clear" w:pos="8640"/>
              </w:tabs>
              <w:autoSpaceDE w:val="0"/>
              <w:autoSpaceDN w:val="0"/>
              <w:adjustRightInd w:val="0"/>
              <w:rPr>
                <w:rFonts w:ascii="Arial" w:hAnsi="Arial" w:cs="Arial"/>
                <w:i/>
                <w:sz w:val="28"/>
                <w:szCs w:val="28"/>
              </w:rPr>
            </w:pPr>
          </w:p>
          <w:p w:rsidR="00C37FF7" w:rsidRPr="00583B6D" w:rsidRDefault="00C37FF7" w:rsidP="009056D8">
            <w:pPr>
              <w:pStyle w:val="Header"/>
              <w:tabs>
                <w:tab w:val="clear" w:pos="4320"/>
                <w:tab w:val="clear" w:pos="8640"/>
              </w:tabs>
              <w:autoSpaceDE w:val="0"/>
              <w:autoSpaceDN w:val="0"/>
              <w:adjustRightInd w:val="0"/>
              <w:rPr>
                <w:rFonts w:ascii="Arial" w:hAnsi="Arial" w:cs="Arial"/>
                <w:b/>
                <w:bCs/>
                <w:sz w:val="36"/>
              </w:rPr>
            </w:pPr>
          </w:p>
        </w:tc>
      </w:tr>
    </w:tbl>
    <w:p w:rsidR="00930FAC" w:rsidRPr="00583B6D" w:rsidRDefault="00C37FF7" w:rsidP="00C37FF7">
      <w:pPr>
        <w:pStyle w:val="Header"/>
        <w:tabs>
          <w:tab w:val="clear" w:pos="4320"/>
          <w:tab w:val="clear" w:pos="8640"/>
          <w:tab w:val="left" w:pos="2220"/>
        </w:tabs>
        <w:autoSpaceDE w:val="0"/>
        <w:autoSpaceDN w:val="0"/>
        <w:adjustRightInd w:val="0"/>
        <w:rPr>
          <w:rFonts w:ascii="Arial" w:hAnsi="Arial" w:cs="Arial"/>
        </w:rPr>
      </w:pPr>
      <w:r w:rsidRPr="00583B6D">
        <w:rPr>
          <w:rFonts w:ascii="Arial" w:hAnsi="Arial" w:cs="Arial"/>
        </w:rPr>
        <w:br/>
      </w:r>
      <w:r w:rsidRPr="00583B6D">
        <w:rPr>
          <w:rFonts w:ascii="Arial" w:hAnsi="Arial" w:cs="Arial"/>
        </w:rPr>
        <w:tab/>
      </w:r>
    </w:p>
    <w:p w:rsidR="00757BE5" w:rsidRPr="00583B6D" w:rsidRDefault="00757BE5">
      <w:pPr>
        <w:spacing w:line="276" w:lineRule="auto"/>
        <w:rPr>
          <w:rFonts w:ascii="Arial" w:hAnsi="Arial" w:cs="Arial"/>
        </w:rPr>
        <w:sectPr w:rsidR="00757BE5" w:rsidRPr="00583B6D" w:rsidSect="0011632E">
          <w:footerReference w:type="default" r:id="rId9"/>
          <w:pgSz w:w="12240" w:h="15840" w:code="1"/>
          <w:pgMar w:top="720" w:right="1008" w:bottom="720" w:left="1008" w:header="720" w:footer="720" w:gutter="0"/>
          <w:cols w:space="720"/>
          <w:docGrid w:linePitch="360"/>
        </w:sectPr>
      </w:pPr>
    </w:p>
    <w:p w:rsidR="009056D8" w:rsidRPr="00583B6D" w:rsidRDefault="009056D8" w:rsidP="009056D8">
      <w:pPr>
        <w:spacing w:line="276" w:lineRule="auto"/>
      </w:pPr>
      <w:r w:rsidRPr="00583B6D">
        <w:lastRenderedPageBreak/>
        <w:t>RFP:  Evaluation of Pilot Projects under the Sargent Shriver Civil Counsel Act (CFCC 10-11-LM)</w:t>
      </w:r>
    </w:p>
    <w:p w:rsidR="009056D8" w:rsidRPr="00583B6D" w:rsidRDefault="009056D8" w:rsidP="009056D8">
      <w:pPr>
        <w:pStyle w:val="Header"/>
        <w:jc w:val="center"/>
      </w:pPr>
    </w:p>
    <w:p w:rsidR="009056D8" w:rsidRPr="00583B6D" w:rsidRDefault="009056D8" w:rsidP="009056D8">
      <w:pPr>
        <w:pStyle w:val="Header"/>
        <w:jc w:val="center"/>
      </w:pPr>
    </w:p>
    <w:p w:rsidR="009056D8" w:rsidRPr="00583B6D" w:rsidRDefault="009056D8" w:rsidP="009056D8">
      <w:pPr>
        <w:pStyle w:val="Header"/>
        <w:jc w:val="center"/>
        <w:rPr>
          <w:b/>
        </w:rPr>
      </w:pPr>
      <w:r w:rsidRPr="00583B6D">
        <w:rPr>
          <w:b/>
        </w:rPr>
        <w:t xml:space="preserve">CONSOLIDATED QUESTIONS AND ANSWERS </w:t>
      </w:r>
    </w:p>
    <w:p w:rsidR="009056D8" w:rsidRPr="00583B6D" w:rsidRDefault="009056D8" w:rsidP="009056D8">
      <w:pPr>
        <w:pStyle w:val="Header"/>
        <w:tabs>
          <w:tab w:val="right" w:pos="9720"/>
        </w:tabs>
        <w:ind w:right="-360"/>
        <w:jc w:val="center"/>
        <w:rPr>
          <w:b/>
        </w:rPr>
      </w:pPr>
      <w:r w:rsidRPr="00583B6D">
        <w:rPr>
          <w:b/>
        </w:rPr>
        <w:t xml:space="preserve">(QUESTIONS SUBMITTED DURING PRE-PROPOSAL DIAL-IN CONFERENCE OF      JANUARY 25, 2012 AND QUESTIONS SUBMITTED TO SOLICITATIONS’ MAILBOX </w:t>
      </w:r>
    </w:p>
    <w:p w:rsidR="009056D8" w:rsidRPr="00583B6D" w:rsidRDefault="009056D8" w:rsidP="00757BE5">
      <w:pPr>
        <w:pStyle w:val="Header"/>
        <w:tabs>
          <w:tab w:val="left" w:pos="1170"/>
          <w:tab w:val="right" w:pos="9720"/>
        </w:tabs>
        <w:ind w:right="-360"/>
        <w:jc w:val="center"/>
        <w:rPr>
          <w:b/>
        </w:rPr>
      </w:pPr>
      <w:r w:rsidRPr="00583B6D">
        <w:rPr>
          <w:b/>
        </w:rPr>
        <w:t>BY JANUARY 2</w:t>
      </w:r>
      <w:r w:rsidR="009C71E1" w:rsidRPr="00583B6D">
        <w:rPr>
          <w:b/>
        </w:rPr>
        <w:t>7</w:t>
      </w:r>
      <w:r w:rsidRPr="00583B6D">
        <w:rPr>
          <w:b/>
        </w:rPr>
        <w:t>, 2012)</w:t>
      </w:r>
    </w:p>
    <w:p w:rsidR="009056D8" w:rsidRPr="00583B6D" w:rsidRDefault="009056D8" w:rsidP="00C37FF7">
      <w:pPr>
        <w:keepNext/>
      </w:pPr>
    </w:p>
    <w:p w:rsidR="009056D8" w:rsidRPr="00583B6D" w:rsidRDefault="009056D8" w:rsidP="00C37FF7">
      <w:pPr>
        <w:keepNext/>
      </w:pPr>
    </w:p>
    <w:p w:rsidR="009056D8" w:rsidRPr="00583B6D" w:rsidRDefault="00125826" w:rsidP="009056D8">
      <w:pPr>
        <w:pStyle w:val="ListParagraph"/>
        <w:numPr>
          <w:ilvl w:val="0"/>
          <w:numId w:val="17"/>
        </w:numPr>
        <w:spacing w:line="276" w:lineRule="auto"/>
        <w:ind w:left="1890" w:hanging="1890"/>
        <w:contextualSpacing/>
      </w:pPr>
      <w:r w:rsidRPr="00583B6D">
        <w:t>When submitting the cost proposal in the sealed envelope, should we identify ourselves (applicant) on the outside of the envelope or leave that information only on the documents inside the envelope</w:t>
      </w:r>
      <w:r w:rsidR="009056D8" w:rsidRPr="00583B6D">
        <w:t>?</w:t>
      </w:r>
    </w:p>
    <w:p w:rsidR="009056D8" w:rsidRPr="00583B6D" w:rsidRDefault="00125826" w:rsidP="009056D8">
      <w:pPr>
        <w:pStyle w:val="ListParagraph"/>
        <w:numPr>
          <w:ilvl w:val="0"/>
          <w:numId w:val="18"/>
        </w:numPr>
        <w:spacing w:line="276" w:lineRule="auto"/>
        <w:ind w:left="1890" w:hanging="1530"/>
        <w:contextualSpacing/>
      </w:pPr>
      <w:r w:rsidRPr="00583B6D">
        <w:t>You are welcome to identify yourself on the outside of the envelope</w:t>
      </w:r>
      <w:r w:rsidR="009056D8" w:rsidRPr="00583B6D">
        <w:t>.</w:t>
      </w:r>
    </w:p>
    <w:p w:rsidR="009056D8" w:rsidRPr="00583B6D" w:rsidRDefault="009056D8" w:rsidP="009056D8">
      <w:pPr>
        <w:ind w:left="360"/>
      </w:pPr>
    </w:p>
    <w:p w:rsidR="009056D8" w:rsidRPr="00583B6D" w:rsidRDefault="00125826" w:rsidP="009056D8">
      <w:pPr>
        <w:pStyle w:val="ListParagraph"/>
        <w:numPr>
          <w:ilvl w:val="0"/>
          <w:numId w:val="17"/>
        </w:numPr>
        <w:spacing w:line="276" w:lineRule="auto"/>
        <w:ind w:left="1890" w:hanging="1890"/>
        <w:contextualSpacing/>
      </w:pPr>
      <w:r w:rsidRPr="00583B6D">
        <w:t xml:space="preserve">Does the technical proposal </w:t>
      </w:r>
      <w:r w:rsidR="00013F0B" w:rsidRPr="00583B6D">
        <w:t>need</w:t>
      </w:r>
      <w:r w:rsidRPr="00583B6D">
        <w:t xml:space="preserve"> to go into a sealed envelope too? Should that envelope be labeled with our (applicant’s) name</w:t>
      </w:r>
      <w:r w:rsidR="009056D8" w:rsidRPr="00583B6D">
        <w:t>?</w:t>
      </w:r>
    </w:p>
    <w:p w:rsidR="009056D8" w:rsidRPr="00583B6D" w:rsidRDefault="0011632E" w:rsidP="009056D8">
      <w:pPr>
        <w:pStyle w:val="ListParagraph"/>
        <w:numPr>
          <w:ilvl w:val="0"/>
          <w:numId w:val="18"/>
        </w:numPr>
        <w:spacing w:line="276" w:lineRule="auto"/>
        <w:ind w:left="1890" w:hanging="1530"/>
        <w:contextualSpacing/>
      </w:pPr>
      <w:r w:rsidRPr="00583B6D">
        <w:t>No, the technical proposal does not need to be in a sealed envelope</w:t>
      </w:r>
      <w:r w:rsidR="009056D8" w:rsidRPr="00583B6D">
        <w:t>.</w:t>
      </w:r>
    </w:p>
    <w:p w:rsidR="009056D8" w:rsidRPr="00583B6D" w:rsidRDefault="009056D8" w:rsidP="009056D8">
      <w:pPr>
        <w:ind w:left="360"/>
      </w:pPr>
    </w:p>
    <w:p w:rsidR="009056D8" w:rsidRPr="00583B6D" w:rsidRDefault="0011632E" w:rsidP="009056D8">
      <w:pPr>
        <w:pStyle w:val="ListParagraph"/>
        <w:numPr>
          <w:ilvl w:val="0"/>
          <w:numId w:val="17"/>
        </w:numPr>
        <w:spacing w:line="276" w:lineRule="auto"/>
        <w:ind w:left="1890" w:hanging="1890"/>
        <w:contextualSpacing/>
      </w:pPr>
      <w:r w:rsidRPr="00583B6D">
        <w:t>Does the CD need to be outside of the two envelopes? Should the CD include the entire proposal, meaning both the technical and cost sections</w:t>
      </w:r>
      <w:r w:rsidR="009056D8" w:rsidRPr="00583B6D">
        <w:t>?</w:t>
      </w:r>
    </w:p>
    <w:p w:rsidR="009056D8" w:rsidRPr="00583B6D" w:rsidRDefault="0011632E" w:rsidP="009056D8">
      <w:pPr>
        <w:pStyle w:val="ListParagraph"/>
        <w:numPr>
          <w:ilvl w:val="0"/>
          <w:numId w:val="18"/>
        </w:numPr>
        <w:spacing w:line="276" w:lineRule="auto"/>
        <w:ind w:left="1890" w:hanging="1530"/>
        <w:contextualSpacing/>
      </w:pPr>
      <w:r w:rsidRPr="00583B6D">
        <w:t>The CD does not need to be outside of the two envelopes. It should include the entire proposal</w:t>
      </w:r>
      <w:r w:rsidR="009056D8" w:rsidRPr="00583B6D">
        <w:t>.</w:t>
      </w:r>
    </w:p>
    <w:p w:rsidR="009056D8" w:rsidRPr="00583B6D" w:rsidRDefault="009056D8" w:rsidP="009056D8"/>
    <w:p w:rsidR="009056D8" w:rsidRPr="00583B6D" w:rsidRDefault="0011632E" w:rsidP="009056D8">
      <w:pPr>
        <w:pStyle w:val="ListParagraph"/>
        <w:numPr>
          <w:ilvl w:val="0"/>
          <w:numId w:val="17"/>
        </w:numPr>
        <w:spacing w:line="276" w:lineRule="auto"/>
        <w:ind w:left="1890" w:hanging="1890"/>
        <w:contextualSpacing/>
      </w:pPr>
      <w:r w:rsidRPr="00583B6D">
        <w:rPr>
          <w:shd w:val="clear" w:color="auto" w:fill="FFFFFF" w:themeFill="background1"/>
        </w:rPr>
        <w:t>Does the funder really want us to send resumes for the clients who are serving as our references</w:t>
      </w:r>
      <w:r w:rsidR="009056D8" w:rsidRPr="00583B6D">
        <w:t>?</w:t>
      </w:r>
    </w:p>
    <w:p w:rsidR="009056D8" w:rsidRPr="00583B6D" w:rsidRDefault="0011632E" w:rsidP="009056D8">
      <w:pPr>
        <w:pStyle w:val="ListParagraph"/>
        <w:numPr>
          <w:ilvl w:val="0"/>
          <w:numId w:val="18"/>
        </w:numPr>
        <w:spacing w:line="276" w:lineRule="auto"/>
        <w:ind w:left="1890" w:hanging="1530"/>
        <w:contextualSpacing/>
      </w:pPr>
      <w:r w:rsidRPr="00583B6D">
        <w:t>Yes, resumes must be provided.</w:t>
      </w:r>
    </w:p>
    <w:p w:rsidR="009056D8" w:rsidRPr="00583B6D" w:rsidRDefault="009056D8" w:rsidP="009056D8">
      <w:pPr>
        <w:ind w:left="360"/>
      </w:pPr>
    </w:p>
    <w:p w:rsidR="009056D8" w:rsidRPr="00583B6D" w:rsidRDefault="0011632E" w:rsidP="0011632E">
      <w:pPr>
        <w:pStyle w:val="ListParagraph"/>
        <w:numPr>
          <w:ilvl w:val="0"/>
          <w:numId w:val="17"/>
        </w:numPr>
        <w:shd w:val="clear" w:color="auto" w:fill="FFFFFF" w:themeFill="background1"/>
        <w:spacing w:line="276" w:lineRule="auto"/>
        <w:ind w:left="1890" w:hanging="1890"/>
        <w:contextualSpacing/>
      </w:pPr>
      <w:r w:rsidRPr="00583B6D">
        <w:t>Will any additional information be made available on the pilot programs and the number of people they serve?</w:t>
      </w:r>
    </w:p>
    <w:p w:rsidR="009056D8" w:rsidRPr="00583B6D" w:rsidRDefault="0011632E" w:rsidP="009056D8">
      <w:pPr>
        <w:pStyle w:val="ListParagraph"/>
        <w:numPr>
          <w:ilvl w:val="0"/>
          <w:numId w:val="18"/>
        </w:numPr>
        <w:spacing w:line="276" w:lineRule="auto"/>
        <w:ind w:left="1890" w:hanging="1530"/>
        <w:contextualSpacing/>
      </w:pPr>
      <w:r w:rsidRPr="00583B6D">
        <w:t>The necessary information needed for a proposal for CFCC 10-11-LM has been provided</w:t>
      </w:r>
      <w:r w:rsidR="009056D8" w:rsidRPr="00583B6D">
        <w:t>.</w:t>
      </w:r>
    </w:p>
    <w:p w:rsidR="009056D8" w:rsidRPr="00583B6D" w:rsidRDefault="009056D8" w:rsidP="009056D8"/>
    <w:p w:rsidR="009056D8" w:rsidRPr="00583B6D" w:rsidRDefault="0011632E" w:rsidP="009056D8">
      <w:pPr>
        <w:pStyle w:val="ListParagraph"/>
        <w:numPr>
          <w:ilvl w:val="0"/>
          <w:numId w:val="17"/>
        </w:numPr>
        <w:spacing w:line="276" w:lineRule="auto"/>
        <w:ind w:left="1890" w:hanging="1890"/>
        <w:contextualSpacing/>
      </w:pPr>
      <w:r w:rsidRPr="00583B6D">
        <w:t>The RFP refers to an ongoing process to establish outcome measures: where does that stand, when will it be completed, will we have access to those outcome measures before we submit proposals</w:t>
      </w:r>
      <w:r w:rsidR="009056D8" w:rsidRPr="00583B6D">
        <w:t>?</w:t>
      </w:r>
    </w:p>
    <w:p w:rsidR="009056D8" w:rsidRPr="00583B6D" w:rsidRDefault="0011632E" w:rsidP="009056D8">
      <w:pPr>
        <w:pStyle w:val="ListParagraph"/>
        <w:numPr>
          <w:ilvl w:val="0"/>
          <w:numId w:val="18"/>
        </w:numPr>
        <w:spacing w:line="276" w:lineRule="auto"/>
        <w:ind w:left="1890" w:hanging="1530"/>
        <w:contextualSpacing/>
      </w:pPr>
      <w:r w:rsidRPr="00583B6D">
        <w:t>The topic areas for outcome measures in Attachment 2, page 2 of 11 section 2.1.2 is all that we will make available for bidders beforehand</w:t>
      </w:r>
      <w:r w:rsidR="009056D8" w:rsidRPr="00583B6D">
        <w:t>.</w:t>
      </w:r>
    </w:p>
    <w:p w:rsidR="009056D8" w:rsidRPr="00583B6D" w:rsidRDefault="009056D8" w:rsidP="009056D8">
      <w:pPr>
        <w:ind w:left="360"/>
      </w:pPr>
    </w:p>
    <w:p w:rsidR="009056D8" w:rsidRPr="00583B6D" w:rsidRDefault="0011632E" w:rsidP="009056D8">
      <w:pPr>
        <w:pStyle w:val="ListParagraph"/>
        <w:numPr>
          <w:ilvl w:val="0"/>
          <w:numId w:val="17"/>
        </w:numPr>
        <w:spacing w:line="276" w:lineRule="auto"/>
        <w:ind w:left="1890" w:hanging="1890"/>
        <w:contextualSpacing/>
      </w:pPr>
      <w:r w:rsidRPr="00583B6D">
        <w:t>Has baseline data been gathered before the pilot projects began</w:t>
      </w:r>
      <w:r w:rsidR="009056D8" w:rsidRPr="00583B6D">
        <w:t>?</w:t>
      </w:r>
    </w:p>
    <w:p w:rsidR="009056D8" w:rsidRPr="00583B6D" w:rsidRDefault="0011632E" w:rsidP="009056D8">
      <w:pPr>
        <w:pStyle w:val="ListParagraph"/>
        <w:numPr>
          <w:ilvl w:val="0"/>
          <w:numId w:val="18"/>
        </w:numPr>
        <w:spacing w:line="276" w:lineRule="auto"/>
        <w:ind w:left="1890" w:hanging="1530"/>
        <w:contextualSpacing/>
      </w:pPr>
      <w:r w:rsidRPr="00583B6D">
        <w:t>No, it has not been gathered before the pilot projects began</w:t>
      </w:r>
      <w:r w:rsidR="009056D8" w:rsidRPr="00583B6D">
        <w:t>.</w:t>
      </w:r>
    </w:p>
    <w:p w:rsidR="009056D8" w:rsidRPr="00583B6D" w:rsidRDefault="009056D8" w:rsidP="009056D8"/>
    <w:p w:rsidR="009056D8" w:rsidRPr="00583B6D" w:rsidRDefault="0011632E" w:rsidP="009056D8">
      <w:pPr>
        <w:pStyle w:val="ListParagraph"/>
        <w:numPr>
          <w:ilvl w:val="0"/>
          <w:numId w:val="17"/>
        </w:numPr>
        <w:spacing w:line="276" w:lineRule="auto"/>
        <w:ind w:left="1890" w:hanging="1890"/>
        <w:contextualSpacing/>
      </w:pPr>
      <w:r w:rsidRPr="00583B6D">
        <w:lastRenderedPageBreak/>
        <w:t xml:space="preserve">The deliverables and the timeframes list one report required at the end of the second term.  </w:t>
      </w:r>
      <w:r w:rsidR="00013F0B" w:rsidRPr="00583B6D">
        <w:t>Otherwise,</w:t>
      </w:r>
      <w:r w:rsidRPr="00583B6D">
        <w:t xml:space="preserve"> the evaluator is expected to submit data regularly during the project but not any report or analysis of that data.</w:t>
      </w:r>
    </w:p>
    <w:p w:rsidR="0011632E" w:rsidRPr="00583B6D" w:rsidRDefault="0011632E" w:rsidP="0011632E">
      <w:pPr>
        <w:spacing w:line="276" w:lineRule="auto"/>
        <w:contextualSpacing/>
      </w:pPr>
    </w:p>
    <w:p w:rsidR="0011632E" w:rsidRPr="00583B6D" w:rsidRDefault="0011632E" w:rsidP="0011632E">
      <w:pPr>
        <w:spacing w:line="276" w:lineRule="auto"/>
        <w:contextualSpacing/>
      </w:pPr>
    </w:p>
    <w:p w:rsidR="009056D8" w:rsidRPr="00583B6D" w:rsidRDefault="007B586D" w:rsidP="009056D8">
      <w:pPr>
        <w:pStyle w:val="ListParagraph"/>
        <w:numPr>
          <w:ilvl w:val="0"/>
          <w:numId w:val="18"/>
        </w:numPr>
        <w:spacing w:line="276" w:lineRule="auto"/>
        <w:ind w:left="1890" w:hanging="1530"/>
        <w:contextualSpacing/>
      </w:pPr>
      <w:r w:rsidRPr="00583B6D">
        <w:t xml:space="preserve">The </w:t>
      </w:r>
      <w:r w:rsidR="00075512" w:rsidRPr="00583B6D">
        <w:t xml:space="preserve">criteria and </w:t>
      </w:r>
      <w:r w:rsidR="00013F0B" w:rsidRPr="00583B6D">
        <w:t xml:space="preserve">deliverables </w:t>
      </w:r>
      <w:r w:rsidR="00075512" w:rsidRPr="00583B6D">
        <w:t>are set forth in the RFP.</w:t>
      </w:r>
    </w:p>
    <w:p w:rsidR="009056D8" w:rsidRPr="00583B6D" w:rsidRDefault="009056D8" w:rsidP="009056D8"/>
    <w:p w:rsidR="009056D8" w:rsidRPr="00583B6D" w:rsidRDefault="00013F0B" w:rsidP="007B586D">
      <w:pPr>
        <w:pStyle w:val="ListParagraph"/>
        <w:numPr>
          <w:ilvl w:val="0"/>
          <w:numId w:val="17"/>
        </w:numPr>
        <w:spacing w:line="276" w:lineRule="auto"/>
        <w:ind w:left="1890" w:right="-126" w:hanging="1890"/>
        <w:contextualSpacing/>
      </w:pPr>
      <w:r w:rsidRPr="00583B6D">
        <w:t>The period for the experimental design period, with 9 months of data collection, appears to be too short to collect enough data to analyze and report by December 2013.</w:t>
      </w:r>
    </w:p>
    <w:p w:rsidR="009056D8" w:rsidRPr="00583B6D" w:rsidRDefault="007B586D" w:rsidP="009056D8">
      <w:pPr>
        <w:pStyle w:val="ListParagraph"/>
        <w:numPr>
          <w:ilvl w:val="0"/>
          <w:numId w:val="18"/>
        </w:numPr>
        <w:spacing w:line="276" w:lineRule="auto"/>
        <w:ind w:left="1890" w:hanging="1530"/>
        <w:contextualSpacing/>
      </w:pPr>
      <w:r w:rsidRPr="00583B6D">
        <w:t xml:space="preserve">The experimental design study data collection should begin February 2013. Several preliminary analyses of comparative study data are asked for during the period between February and November 2013. The final deliverable for December 31, 2013 </w:t>
      </w:r>
      <w:r w:rsidR="00013F0B" w:rsidRPr="00583B6D">
        <w:t>reads,</w:t>
      </w:r>
      <w:r w:rsidRPr="00583B6D">
        <w:t xml:space="preserve"> “Provide final report on comparative study data collection”. Proposals should focus on work to be accomplished in 2012 and 2013. In no sense will acceptance of a proposal that projects collecting data in calendar year 2013 imply that the AOC intends to fund efforts beyond Dec. 31, 2013</w:t>
      </w:r>
      <w:r w:rsidR="009056D8" w:rsidRPr="00583B6D">
        <w:t>.</w:t>
      </w:r>
    </w:p>
    <w:p w:rsidR="009056D8" w:rsidRPr="00583B6D" w:rsidRDefault="009056D8" w:rsidP="009056D8"/>
    <w:p w:rsidR="009056D8" w:rsidRPr="00583B6D" w:rsidRDefault="007B586D" w:rsidP="009056D8">
      <w:pPr>
        <w:pStyle w:val="ListParagraph"/>
        <w:numPr>
          <w:ilvl w:val="0"/>
          <w:numId w:val="17"/>
        </w:numPr>
        <w:spacing w:line="276" w:lineRule="auto"/>
        <w:ind w:left="1890" w:hanging="1890"/>
        <w:contextualSpacing/>
      </w:pPr>
      <w:r w:rsidRPr="00583B6D">
        <w:t>Is it the AOC’s intent that the same contractor will be asked to conduct both terms of the evaluation, or are you going to be issuing a separate RFP for term two</w:t>
      </w:r>
      <w:r w:rsidR="009056D8" w:rsidRPr="00583B6D">
        <w:t>?</w:t>
      </w:r>
    </w:p>
    <w:p w:rsidR="009056D8" w:rsidRPr="00583B6D" w:rsidRDefault="00075512" w:rsidP="009056D8">
      <w:pPr>
        <w:pStyle w:val="ListParagraph"/>
        <w:numPr>
          <w:ilvl w:val="0"/>
          <w:numId w:val="18"/>
        </w:numPr>
        <w:spacing w:line="276" w:lineRule="auto"/>
        <w:ind w:left="1890" w:hanging="1530"/>
        <w:contextualSpacing/>
      </w:pPr>
      <w:r w:rsidRPr="00583B6D">
        <w:t>There will be one award for both terms</w:t>
      </w:r>
      <w:r w:rsidR="009056D8" w:rsidRPr="00583B6D">
        <w:t>.</w:t>
      </w:r>
    </w:p>
    <w:p w:rsidR="009056D8" w:rsidRPr="00583B6D" w:rsidRDefault="009056D8" w:rsidP="009056D8">
      <w:pPr>
        <w:pStyle w:val="ListParagraph"/>
        <w:ind w:left="1890"/>
      </w:pPr>
    </w:p>
    <w:p w:rsidR="009056D8" w:rsidRPr="00583B6D" w:rsidRDefault="007B586D" w:rsidP="009056D8">
      <w:pPr>
        <w:pStyle w:val="ListParagraph"/>
        <w:numPr>
          <w:ilvl w:val="0"/>
          <w:numId w:val="17"/>
        </w:numPr>
        <w:spacing w:line="276" w:lineRule="auto"/>
        <w:ind w:left="1890" w:hanging="1890"/>
        <w:contextualSpacing/>
      </w:pPr>
      <w:r w:rsidRPr="00583B6D">
        <w:t>Should the proposal contain an assessment of continuing unmet legal need</w:t>
      </w:r>
      <w:r w:rsidR="009056D8" w:rsidRPr="00583B6D">
        <w:t>?</w:t>
      </w:r>
    </w:p>
    <w:p w:rsidR="009056D8" w:rsidRPr="00583B6D" w:rsidRDefault="007B586D" w:rsidP="009056D8">
      <w:pPr>
        <w:pStyle w:val="ListParagraph"/>
        <w:numPr>
          <w:ilvl w:val="0"/>
          <w:numId w:val="18"/>
        </w:numPr>
        <w:spacing w:line="276" w:lineRule="auto"/>
        <w:ind w:left="1890" w:hanging="1530"/>
        <w:contextualSpacing/>
      </w:pPr>
      <w:r w:rsidRPr="00583B6D">
        <w:t>No, that is not in the scope of this RFP</w:t>
      </w:r>
      <w:r w:rsidR="009056D8" w:rsidRPr="00583B6D">
        <w:t xml:space="preserve">. </w:t>
      </w:r>
    </w:p>
    <w:p w:rsidR="009056D8" w:rsidRPr="00583B6D" w:rsidRDefault="009056D8" w:rsidP="009056D8"/>
    <w:p w:rsidR="009056D8" w:rsidRPr="00583B6D" w:rsidRDefault="007B586D" w:rsidP="009056D8">
      <w:pPr>
        <w:pStyle w:val="ListParagraph"/>
        <w:numPr>
          <w:ilvl w:val="0"/>
          <w:numId w:val="17"/>
        </w:numPr>
        <w:spacing w:line="276" w:lineRule="auto"/>
        <w:ind w:left="1890" w:hanging="1890"/>
        <w:contextualSpacing/>
      </w:pPr>
      <w:r w:rsidRPr="00583B6D">
        <w:t xml:space="preserve">Who </w:t>
      </w:r>
      <w:r w:rsidR="00013F0B" w:rsidRPr="00583B6D">
        <w:t>is</w:t>
      </w:r>
      <w:r w:rsidRPr="00583B6D">
        <w:t xml:space="preserve"> responsible for determining the selection criteria and making the selection of the pilot programs that will eventually be in the experimental design</w:t>
      </w:r>
      <w:r w:rsidR="009056D8" w:rsidRPr="00583B6D">
        <w:t>?</w:t>
      </w:r>
    </w:p>
    <w:p w:rsidR="009056D8" w:rsidRPr="00583B6D" w:rsidRDefault="007B586D" w:rsidP="009056D8">
      <w:pPr>
        <w:pStyle w:val="ListParagraph"/>
        <w:numPr>
          <w:ilvl w:val="0"/>
          <w:numId w:val="18"/>
        </w:numPr>
        <w:spacing w:line="276" w:lineRule="auto"/>
        <w:ind w:left="1890" w:hanging="1530"/>
        <w:contextualSpacing/>
      </w:pPr>
      <w:r w:rsidRPr="00583B6D">
        <w:t>The evaluat</w:t>
      </w:r>
      <w:r w:rsidR="00075512" w:rsidRPr="00583B6D">
        <w:t>i</w:t>
      </w:r>
      <w:r w:rsidRPr="00583B6D">
        <w:t>o</w:t>
      </w:r>
      <w:r w:rsidR="00075512" w:rsidRPr="00583B6D">
        <w:t>n</w:t>
      </w:r>
      <w:r w:rsidRPr="00583B6D">
        <w:t xml:space="preserve"> </w:t>
      </w:r>
      <w:r w:rsidR="00075512" w:rsidRPr="00583B6D">
        <w:t>will be provided by the AOC staff only.</w:t>
      </w:r>
    </w:p>
    <w:p w:rsidR="009056D8" w:rsidRPr="00583B6D" w:rsidRDefault="009056D8" w:rsidP="009056D8">
      <w:pPr>
        <w:ind w:left="360"/>
      </w:pPr>
    </w:p>
    <w:p w:rsidR="009056D8" w:rsidRPr="00583B6D" w:rsidRDefault="007B586D" w:rsidP="009056D8">
      <w:pPr>
        <w:pStyle w:val="ListParagraph"/>
        <w:numPr>
          <w:ilvl w:val="0"/>
          <w:numId w:val="17"/>
        </w:numPr>
        <w:spacing w:line="276" w:lineRule="auto"/>
        <w:ind w:left="1890" w:hanging="1890"/>
        <w:contextualSpacing/>
      </w:pPr>
      <w:r w:rsidRPr="00583B6D">
        <w:t>Please describe the standardized data collection tools that will be provided to the 9 programs. Is the AOC providing them or the programs developing them</w:t>
      </w:r>
      <w:r w:rsidR="009056D8" w:rsidRPr="00583B6D">
        <w:t>?</w:t>
      </w:r>
    </w:p>
    <w:p w:rsidR="009056D8" w:rsidRPr="00583B6D" w:rsidRDefault="007B586D" w:rsidP="009056D8">
      <w:pPr>
        <w:pStyle w:val="ListParagraph"/>
        <w:numPr>
          <w:ilvl w:val="0"/>
          <w:numId w:val="18"/>
        </w:numPr>
        <w:spacing w:line="276" w:lineRule="auto"/>
        <w:ind w:left="1890" w:hanging="1530"/>
        <w:contextualSpacing/>
      </w:pPr>
      <w:r w:rsidRPr="00583B6D">
        <w:t>Please refer to Exhibit C</w:t>
      </w:r>
      <w:r w:rsidR="00075512" w:rsidRPr="00583B6D">
        <w:t>,</w:t>
      </w:r>
      <w:r w:rsidRPr="00583B6D">
        <w:t xml:space="preserve"> Work to be performed, Scope of Services 2.1.1</w:t>
      </w:r>
      <w:r w:rsidR="00013F0B" w:rsidRPr="00583B6D">
        <w:t>.</w:t>
      </w:r>
    </w:p>
    <w:p w:rsidR="009056D8" w:rsidRPr="00583B6D" w:rsidRDefault="009056D8" w:rsidP="009056D8">
      <w:pPr>
        <w:ind w:left="360"/>
      </w:pPr>
    </w:p>
    <w:p w:rsidR="009056D8" w:rsidRPr="00583B6D" w:rsidRDefault="007B586D" w:rsidP="009056D8">
      <w:pPr>
        <w:pStyle w:val="ListParagraph"/>
        <w:numPr>
          <w:ilvl w:val="0"/>
          <w:numId w:val="17"/>
        </w:numPr>
        <w:spacing w:line="276" w:lineRule="auto"/>
        <w:ind w:left="1890" w:hanging="1890"/>
        <w:contextualSpacing/>
      </w:pPr>
      <w:r w:rsidRPr="00583B6D">
        <w:t>Are additional terms of work contemplated beyond 2013, and is the proposer expected to carry funds beyond 2013 to conduct that work</w:t>
      </w:r>
      <w:r w:rsidR="009056D8" w:rsidRPr="00583B6D">
        <w:t>?</w:t>
      </w:r>
    </w:p>
    <w:p w:rsidR="009056D8" w:rsidRPr="00583B6D" w:rsidRDefault="007B586D" w:rsidP="009056D8">
      <w:pPr>
        <w:pStyle w:val="ListParagraph"/>
        <w:numPr>
          <w:ilvl w:val="0"/>
          <w:numId w:val="18"/>
        </w:numPr>
        <w:spacing w:line="276" w:lineRule="auto"/>
        <w:ind w:left="1890" w:hanging="1530"/>
        <w:contextualSpacing/>
      </w:pPr>
      <w:r w:rsidRPr="00583B6D">
        <w:t>No. Any work conducted after Dec. 31, 2013 will be based on a new solicitation process and new contracts. All funds budgeted for this RFP must be encumbered by December 31, 2013 and expended by the liquidation deadline</w:t>
      </w:r>
      <w:r w:rsidR="009056D8" w:rsidRPr="00583B6D">
        <w:t>.</w:t>
      </w:r>
    </w:p>
    <w:p w:rsidR="009056D8" w:rsidRPr="00583B6D" w:rsidRDefault="009056D8" w:rsidP="009056D8"/>
    <w:p w:rsidR="009056D8" w:rsidRPr="00583B6D" w:rsidRDefault="007B586D" w:rsidP="009056D8">
      <w:pPr>
        <w:pStyle w:val="ListParagraph"/>
        <w:numPr>
          <w:ilvl w:val="0"/>
          <w:numId w:val="17"/>
        </w:numPr>
        <w:spacing w:line="276" w:lineRule="auto"/>
        <w:ind w:left="1890" w:hanging="1890"/>
        <w:contextualSpacing/>
      </w:pPr>
      <w:r w:rsidRPr="00583B6D">
        <w:t>In the RFP under section 2.2.2 there is a link to a document that does not work.</w:t>
      </w:r>
    </w:p>
    <w:p w:rsidR="009056D8" w:rsidRPr="00583B6D" w:rsidRDefault="007B586D" w:rsidP="009056D8">
      <w:pPr>
        <w:pStyle w:val="ListParagraph"/>
        <w:numPr>
          <w:ilvl w:val="0"/>
          <w:numId w:val="18"/>
        </w:numPr>
        <w:spacing w:line="276" w:lineRule="auto"/>
        <w:ind w:left="1890" w:hanging="1530"/>
        <w:contextualSpacing/>
      </w:pPr>
      <w:r w:rsidRPr="00583B6D">
        <w:t>Links on this website are dynamic and sometimes unstable</w:t>
      </w:r>
      <w:r w:rsidR="000D0484" w:rsidRPr="00583B6D">
        <w:t xml:space="preserve">.   An alternative way to access this document is at </w:t>
      </w:r>
      <w:hyperlink r:id="rId10" w:history="1">
        <w:r w:rsidR="000D0484" w:rsidRPr="00583B6D">
          <w:rPr>
            <w:rStyle w:val="Hyperlink"/>
            <w:color w:val="auto"/>
          </w:rPr>
          <w:t>www.leginfo.ca.gov</w:t>
        </w:r>
      </w:hyperlink>
      <w:r w:rsidR="000D0484" w:rsidRPr="00583B6D">
        <w:t xml:space="preserve"> by searching for Assembly Bill 590 (AB 590-Feuer) in the 2009-2010 Assembly session.       </w:t>
      </w:r>
    </w:p>
    <w:p w:rsidR="009056D8" w:rsidRPr="00583B6D" w:rsidRDefault="009056D8" w:rsidP="009056D8">
      <w:pPr>
        <w:ind w:left="360"/>
      </w:pPr>
    </w:p>
    <w:p w:rsidR="000D0484" w:rsidRPr="00583B6D" w:rsidRDefault="000D0484" w:rsidP="009056D8">
      <w:pPr>
        <w:ind w:left="360"/>
      </w:pPr>
    </w:p>
    <w:p w:rsidR="000D0484" w:rsidRPr="00583B6D" w:rsidRDefault="000D0484" w:rsidP="009056D8">
      <w:pPr>
        <w:ind w:left="360"/>
      </w:pPr>
    </w:p>
    <w:p w:rsidR="009056D8" w:rsidRPr="00583B6D" w:rsidRDefault="000D0484" w:rsidP="009056D8">
      <w:pPr>
        <w:pStyle w:val="ListParagraph"/>
        <w:numPr>
          <w:ilvl w:val="0"/>
          <w:numId w:val="17"/>
        </w:numPr>
        <w:spacing w:line="276" w:lineRule="auto"/>
        <w:ind w:left="1890" w:hanging="1890"/>
        <w:contextualSpacing/>
      </w:pPr>
      <w:r w:rsidRPr="00583B6D">
        <w:t>Are there page limits or format requirements for the proposal</w:t>
      </w:r>
      <w:r w:rsidR="009056D8" w:rsidRPr="00583B6D">
        <w:t>?</w:t>
      </w:r>
    </w:p>
    <w:p w:rsidR="009056D8" w:rsidRPr="00583B6D" w:rsidRDefault="000D0484" w:rsidP="009056D8">
      <w:pPr>
        <w:pStyle w:val="ListParagraph"/>
        <w:numPr>
          <w:ilvl w:val="0"/>
          <w:numId w:val="18"/>
        </w:numPr>
        <w:spacing w:line="276" w:lineRule="auto"/>
        <w:ind w:left="1890" w:hanging="1530"/>
        <w:contextualSpacing/>
      </w:pPr>
      <w:r w:rsidRPr="00583B6D">
        <w:t>No page limits</w:t>
      </w:r>
      <w:r w:rsidR="009056D8" w:rsidRPr="00583B6D">
        <w:t>.</w:t>
      </w:r>
    </w:p>
    <w:p w:rsidR="009056D8" w:rsidRPr="00583B6D" w:rsidRDefault="009056D8" w:rsidP="009056D8"/>
    <w:p w:rsidR="000D0484" w:rsidRPr="00583B6D" w:rsidRDefault="000D0484" w:rsidP="000D0484">
      <w:pPr>
        <w:pStyle w:val="ListParagraph"/>
        <w:numPr>
          <w:ilvl w:val="0"/>
          <w:numId w:val="17"/>
        </w:numPr>
        <w:spacing w:line="276" w:lineRule="auto"/>
        <w:ind w:left="1890" w:hanging="1890"/>
        <w:contextualSpacing/>
      </w:pPr>
      <w:r w:rsidRPr="00583B6D">
        <w:t>Our group desires to include on its proposed team for this evaluation an academic with extensive experience in designing and conducting experimental studies of legal services.  As a condition of participating in the evaluation, this individual will require acknowledgement of her or his right to publish in appropriate academic journals an article or articles on the evaluation and its results.  S/he is willing to agree to postpone publication for a reasonable amount of time to allow for an official report to be written and published in advance of the publication of her/his article and, of course, to disclaim to be representing any point of view or opinion other than her or his own.  Is there any standard contract condition that would be included in the contract for this evaluation that would preclude our group, as the contractor, from giving this academic such an acknowledgement?  If the answer is yes, what alternative course of action would the AOC suggest to make possible the involvement of this academic and her/his extensive experience and expertise in the evaluation and recognize her/his academic freedom subsequently to write an article about the evaluation</w:t>
      </w:r>
      <w:r w:rsidR="009056D8" w:rsidRPr="00583B6D">
        <w:t>?</w:t>
      </w:r>
      <w:r w:rsidRPr="00583B6D">
        <w:rPr>
          <w:rFonts w:ascii="Calibri" w:hAnsi="Calibri"/>
          <w:highlight w:val="yellow"/>
        </w:rPr>
        <w:t xml:space="preserve"> </w:t>
      </w:r>
    </w:p>
    <w:p w:rsidR="000D0484" w:rsidRPr="00583B6D" w:rsidRDefault="000D0484" w:rsidP="000D0484">
      <w:pPr>
        <w:pStyle w:val="PlainText"/>
        <w:ind w:left="720"/>
        <w:rPr>
          <w:rFonts w:ascii="Calibri" w:hAnsi="Calibri"/>
          <w:highlight w:val="yellow"/>
        </w:rPr>
      </w:pPr>
    </w:p>
    <w:p w:rsidR="009056D8" w:rsidRPr="00583B6D" w:rsidRDefault="00630DAC" w:rsidP="000D0484">
      <w:pPr>
        <w:pStyle w:val="ListParagraph"/>
        <w:numPr>
          <w:ilvl w:val="0"/>
          <w:numId w:val="18"/>
        </w:numPr>
        <w:spacing w:line="276" w:lineRule="auto"/>
        <w:ind w:left="1890" w:hanging="1530"/>
        <w:contextualSpacing/>
      </w:pPr>
      <w:r w:rsidRPr="00583B6D">
        <w:t>T</w:t>
      </w:r>
      <w:r w:rsidR="000D0484" w:rsidRPr="00583B6D">
        <w:t xml:space="preserve">he RFP contains required minimum contract terms and conditions (posted at </w:t>
      </w:r>
      <w:hyperlink r:id="rId11" w:history="1">
        <w:r w:rsidR="000D0484" w:rsidRPr="00583B6D">
          <w:t>http://www.courts.ca.gov/documents/CFCC-10-11-LM-Exhibit-A-Terms-Conditions.docx</w:t>
        </w:r>
      </w:hyperlink>
      <w:r w:rsidR="000D0484" w:rsidRPr="00583B6D">
        <w:t>).   Exhibit A, section 27, subsections A and B, states that the Contractor, for itself and any of its personnel, shall assign all right, title and interest to Data and Materials resulting from the project to the State (AOC). Subsection C of section 27 requires that “The Contractor shall not publish or reproduce such Data in whole, or part, or any manner or form, or authorize others to do so without the written consent of the State.” Unfortunately, prior to any contract award resulting from the RFP, the AOC cannot give a prospective respondent any indication whether such consent, if sought, would be granted.</w:t>
      </w:r>
    </w:p>
    <w:p w:rsidR="009056D8" w:rsidRPr="00583B6D" w:rsidRDefault="009056D8" w:rsidP="009056D8">
      <w:pPr>
        <w:ind w:left="360"/>
      </w:pPr>
    </w:p>
    <w:p w:rsidR="000D0484" w:rsidRPr="00583B6D" w:rsidRDefault="000D0484" w:rsidP="009056D8">
      <w:pPr>
        <w:ind w:left="360"/>
      </w:pPr>
    </w:p>
    <w:p w:rsidR="000D0484" w:rsidRPr="00583B6D" w:rsidRDefault="000D0484" w:rsidP="000D0484">
      <w:pPr>
        <w:ind w:left="360"/>
        <w:jc w:val="center"/>
        <w:rPr>
          <w:i/>
        </w:rPr>
      </w:pPr>
      <w:r w:rsidRPr="00583B6D">
        <w:rPr>
          <w:i/>
        </w:rPr>
        <w:t xml:space="preserve">END OF </w:t>
      </w:r>
      <w:r w:rsidR="00013F0B" w:rsidRPr="00583B6D">
        <w:rPr>
          <w:i/>
        </w:rPr>
        <w:t>DOCUMENT</w:t>
      </w:r>
    </w:p>
    <w:sectPr w:rsidR="000D0484" w:rsidRPr="00583B6D" w:rsidSect="006836DB">
      <w:headerReference w:type="default" r:id="rId12"/>
      <w:footerReference w:type="default" r:id="rId13"/>
      <w:pgSz w:w="12240" w:h="15840" w:code="1"/>
      <w:pgMar w:top="720" w:right="1008" w:bottom="72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BE5" w:rsidRDefault="00757BE5" w:rsidP="00C37FF7">
      <w:r>
        <w:separator/>
      </w:r>
    </w:p>
  </w:endnote>
  <w:endnote w:type="continuationSeparator" w:id="0">
    <w:p w:rsidR="00757BE5" w:rsidRDefault="00757BE5"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6DB" w:rsidRDefault="006836DB" w:rsidP="006836DB">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6DB" w:rsidRPr="00A342A0" w:rsidRDefault="006836DB" w:rsidP="006836DB">
    <w:pPr>
      <w:pStyle w:val="Footer"/>
      <w:jc w:val="right"/>
    </w:pPr>
    <w:r w:rsidRPr="00A342A0">
      <w:t xml:space="preserve">Page </w:t>
    </w:r>
    <w:fldSimple w:instr=" PAGE ">
      <w:r w:rsidR="00583B6D">
        <w:rPr>
          <w:noProof/>
        </w:rPr>
        <w:t>3</w:t>
      </w:r>
    </w:fldSimple>
    <w:r w:rsidRPr="00A342A0">
      <w:t xml:space="preserve"> of </w:t>
    </w:r>
    <w:fldSimple w:instr=" SECTIONPAGES   \* MERGEFORMAT ">
      <w:r w:rsidR="00583B6D">
        <w:rPr>
          <w:noProof/>
        </w:rPr>
        <w:t>3</w:t>
      </w:r>
    </w:fldSimple>
  </w:p>
  <w:p w:rsidR="00757BE5" w:rsidRPr="00757BE5" w:rsidRDefault="00757BE5" w:rsidP="009056D8">
    <w:pPr>
      <w:pStyle w:val="Footer"/>
      <w:jc w:val="right"/>
    </w:pPr>
  </w:p>
  <w:p w:rsidR="00757BE5" w:rsidRPr="009056D8" w:rsidRDefault="00757BE5" w:rsidP="009056D8">
    <w:pPr>
      <w:pStyle w:val="Foote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BE5" w:rsidRDefault="00757BE5" w:rsidP="00C37FF7">
      <w:r>
        <w:separator/>
      </w:r>
    </w:p>
  </w:footnote>
  <w:footnote w:type="continuationSeparator" w:id="0">
    <w:p w:rsidR="00757BE5" w:rsidRDefault="00757BE5"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6DB" w:rsidRDefault="006836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656EFE"/>
    <w:multiLevelType w:val="hybridMultilevel"/>
    <w:tmpl w:val="DEE0E83E"/>
    <w:lvl w:ilvl="0" w:tplc="1E3EAB6A">
      <w:start w:val="1"/>
      <w:numFmt w:val="decimal"/>
      <w:lvlText w:val="Question #%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ABC030F"/>
    <w:multiLevelType w:val="hybridMultilevel"/>
    <w:tmpl w:val="F5BAA698"/>
    <w:lvl w:ilvl="0" w:tplc="28DE42BA">
      <w:start w:val="1"/>
      <w:numFmt w:val="decimal"/>
      <w:lvlText w:val="Answer #%1."/>
      <w:lvlJc w:val="left"/>
      <w:pPr>
        <w:ind w:left="36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73A02BA"/>
    <w:multiLevelType w:val="hybridMultilevel"/>
    <w:tmpl w:val="B1966C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4">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5">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0"/>
  </w:num>
  <w:num w:numId="3">
    <w:abstractNumId w:val="9"/>
  </w:num>
  <w:num w:numId="4">
    <w:abstractNumId w:val="12"/>
  </w:num>
  <w:num w:numId="5">
    <w:abstractNumId w:val="0"/>
  </w:num>
  <w:num w:numId="6">
    <w:abstractNumId w:val="13"/>
  </w:num>
  <w:num w:numId="7">
    <w:abstractNumId w:val="8"/>
  </w:num>
  <w:num w:numId="8">
    <w:abstractNumId w:val="4"/>
  </w:num>
  <w:num w:numId="9">
    <w:abstractNumId w:val="17"/>
  </w:num>
  <w:num w:numId="10">
    <w:abstractNumId w:val="7"/>
  </w:num>
  <w:num w:numId="11">
    <w:abstractNumId w:val="16"/>
  </w:num>
  <w:num w:numId="12">
    <w:abstractNumId w:val="15"/>
  </w:num>
  <w:num w:numId="13">
    <w:abstractNumId w:val="1"/>
  </w:num>
  <w:num w:numId="14">
    <w:abstractNumId w:val="2"/>
  </w:num>
  <w:num w:numId="15">
    <w:abstractNumId w:val="5"/>
  </w:num>
  <w:num w:numId="16">
    <w:abstractNumId w:val="11"/>
  </w:num>
  <w:num w:numId="17">
    <w:abstractNumId w:val="3"/>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20"/>
  <w:characterSpacingControl w:val="doNotCompress"/>
  <w:hdrShapeDefaults>
    <o:shapedefaults v:ext="edit" spidmax="90113"/>
  </w:hdrShapeDefaults>
  <w:footnotePr>
    <w:footnote w:id="-1"/>
    <w:footnote w:id="0"/>
  </w:footnotePr>
  <w:endnotePr>
    <w:endnote w:id="-1"/>
    <w:endnote w:id="0"/>
  </w:endnotePr>
  <w:compat/>
  <w:rsids>
    <w:rsidRoot w:val="00C37FF7"/>
    <w:rsid w:val="00004485"/>
    <w:rsid w:val="00013F0B"/>
    <w:rsid w:val="00022B15"/>
    <w:rsid w:val="0002344F"/>
    <w:rsid w:val="00023B38"/>
    <w:rsid w:val="00026B6F"/>
    <w:rsid w:val="00027E85"/>
    <w:rsid w:val="000356BE"/>
    <w:rsid w:val="00053778"/>
    <w:rsid w:val="00070FCA"/>
    <w:rsid w:val="00071914"/>
    <w:rsid w:val="00075512"/>
    <w:rsid w:val="00080391"/>
    <w:rsid w:val="00082230"/>
    <w:rsid w:val="000B0813"/>
    <w:rsid w:val="000D0484"/>
    <w:rsid w:val="000D43CC"/>
    <w:rsid w:val="000D4C75"/>
    <w:rsid w:val="000D5FD6"/>
    <w:rsid w:val="000D6483"/>
    <w:rsid w:val="000E7644"/>
    <w:rsid w:val="00100C80"/>
    <w:rsid w:val="00101C48"/>
    <w:rsid w:val="0011632E"/>
    <w:rsid w:val="00125826"/>
    <w:rsid w:val="0012621F"/>
    <w:rsid w:val="001303B1"/>
    <w:rsid w:val="00133F5A"/>
    <w:rsid w:val="00142C87"/>
    <w:rsid w:val="00151D65"/>
    <w:rsid w:val="00166197"/>
    <w:rsid w:val="00181FDA"/>
    <w:rsid w:val="001B5E90"/>
    <w:rsid w:val="001C1E56"/>
    <w:rsid w:val="001E612A"/>
    <w:rsid w:val="0020192C"/>
    <w:rsid w:val="00204B2E"/>
    <w:rsid w:val="002102F5"/>
    <w:rsid w:val="00221FE9"/>
    <w:rsid w:val="00233D32"/>
    <w:rsid w:val="002431B3"/>
    <w:rsid w:val="00246470"/>
    <w:rsid w:val="00251877"/>
    <w:rsid w:val="00251CC8"/>
    <w:rsid w:val="00253633"/>
    <w:rsid w:val="00255CED"/>
    <w:rsid w:val="002622C4"/>
    <w:rsid w:val="00262320"/>
    <w:rsid w:val="00285905"/>
    <w:rsid w:val="00292053"/>
    <w:rsid w:val="002929E9"/>
    <w:rsid w:val="002945D7"/>
    <w:rsid w:val="002C64BD"/>
    <w:rsid w:val="002D07F1"/>
    <w:rsid w:val="002D65A8"/>
    <w:rsid w:val="002E3965"/>
    <w:rsid w:val="002E7965"/>
    <w:rsid w:val="002F409D"/>
    <w:rsid w:val="003020A2"/>
    <w:rsid w:val="0031272D"/>
    <w:rsid w:val="00327099"/>
    <w:rsid w:val="0032785B"/>
    <w:rsid w:val="00333A7A"/>
    <w:rsid w:val="003364C3"/>
    <w:rsid w:val="00352D01"/>
    <w:rsid w:val="0036121D"/>
    <w:rsid w:val="00376819"/>
    <w:rsid w:val="00395B94"/>
    <w:rsid w:val="003A4D99"/>
    <w:rsid w:val="003B77E5"/>
    <w:rsid w:val="003B7F13"/>
    <w:rsid w:val="003C14B3"/>
    <w:rsid w:val="003C7436"/>
    <w:rsid w:val="003D5784"/>
    <w:rsid w:val="003E3614"/>
    <w:rsid w:val="003E46FF"/>
    <w:rsid w:val="003E4FB6"/>
    <w:rsid w:val="003E5035"/>
    <w:rsid w:val="003E76C5"/>
    <w:rsid w:val="00400CA2"/>
    <w:rsid w:val="004041F0"/>
    <w:rsid w:val="004134B4"/>
    <w:rsid w:val="004170E8"/>
    <w:rsid w:val="0044047E"/>
    <w:rsid w:val="004425FB"/>
    <w:rsid w:val="00446009"/>
    <w:rsid w:val="004A337A"/>
    <w:rsid w:val="004B38F7"/>
    <w:rsid w:val="004E669D"/>
    <w:rsid w:val="00501FF0"/>
    <w:rsid w:val="00510171"/>
    <w:rsid w:val="00532899"/>
    <w:rsid w:val="00550F9B"/>
    <w:rsid w:val="00557794"/>
    <w:rsid w:val="005609CD"/>
    <w:rsid w:val="00571656"/>
    <w:rsid w:val="00574253"/>
    <w:rsid w:val="00583B6D"/>
    <w:rsid w:val="005927A5"/>
    <w:rsid w:val="005946B6"/>
    <w:rsid w:val="00595811"/>
    <w:rsid w:val="00595822"/>
    <w:rsid w:val="005A072D"/>
    <w:rsid w:val="005A747B"/>
    <w:rsid w:val="005B04DF"/>
    <w:rsid w:val="005B761B"/>
    <w:rsid w:val="005C0AAF"/>
    <w:rsid w:val="005D4A5B"/>
    <w:rsid w:val="005F3F8D"/>
    <w:rsid w:val="005F597D"/>
    <w:rsid w:val="005F5C25"/>
    <w:rsid w:val="005F6E88"/>
    <w:rsid w:val="00602D4A"/>
    <w:rsid w:val="0060304D"/>
    <w:rsid w:val="00624AEA"/>
    <w:rsid w:val="00626B27"/>
    <w:rsid w:val="00630DAC"/>
    <w:rsid w:val="00636DB8"/>
    <w:rsid w:val="00640DD7"/>
    <w:rsid w:val="00646261"/>
    <w:rsid w:val="00650CA9"/>
    <w:rsid w:val="006513D0"/>
    <w:rsid w:val="00652F20"/>
    <w:rsid w:val="006537F3"/>
    <w:rsid w:val="006562BF"/>
    <w:rsid w:val="00675C38"/>
    <w:rsid w:val="006827CE"/>
    <w:rsid w:val="0068288F"/>
    <w:rsid w:val="006836DB"/>
    <w:rsid w:val="006A7E63"/>
    <w:rsid w:val="006B572B"/>
    <w:rsid w:val="006D02BE"/>
    <w:rsid w:val="006D6F0B"/>
    <w:rsid w:val="006E1F73"/>
    <w:rsid w:val="006E24D0"/>
    <w:rsid w:val="006E449D"/>
    <w:rsid w:val="006F0B7C"/>
    <w:rsid w:val="006F6D6E"/>
    <w:rsid w:val="006F6D81"/>
    <w:rsid w:val="00704619"/>
    <w:rsid w:val="00713FAA"/>
    <w:rsid w:val="00726BE2"/>
    <w:rsid w:val="007511AD"/>
    <w:rsid w:val="0075335D"/>
    <w:rsid w:val="00753F60"/>
    <w:rsid w:val="00757BE5"/>
    <w:rsid w:val="00762829"/>
    <w:rsid w:val="007758AC"/>
    <w:rsid w:val="007A0851"/>
    <w:rsid w:val="007A3BFB"/>
    <w:rsid w:val="007A4AA2"/>
    <w:rsid w:val="007B0E96"/>
    <w:rsid w:val="007B586D"/>
    <w:rsid w:val="007B5C23"/>
    <w:rsid w:val="007B7AC8"/>
    <w:rsid w:val="007C4712"/>
    <w:rsid w:val="007D2C73"/>
    <w:rsid w:val="007E6CEB"/>
    <w:rsid w:val="007F72F1"/>
    <w:rsid w:val="0080611E"/>
    <w:rsid w:val="00806692"/>
    <w:rsid w:val="00825BC4"/>
    <w:rsid w:val="00830A0C"/>
    <w:rsid w:val="00842D60"/>
    <w:rsid w:val="008465EC"/>
    <w:rsid w:val="00851400"/>
    <w:rsid w:val="0088206E"/>
    <w:rsid w:val="00887EFC"/>
    <w:rsid w:val="00893C52"/>
    <w:rsid w:val="008B3420"/>
    <w:rsid w:val="008B58EE"/>
    <w:rsid w:val="008C1C56"/>
    <w:rsid w:val="008D7DAB"/>
    <w:rsid w:val="00902769"/>
    <w:rsid w:val="009056D8"/>
    <w:rsid w:val="00914A4E"/>
    <w:rsid w:val="009165E6"/>
    <w:rsid w:val="009211B9"/>
    <w:rsid w:val="00930FAC"/>
    <w:rsid w:val="0093651C"/>
    <w:rsid w:val="00945B36"/>
    <w:rsid w:val="00947F28"/>
    <w:rsid w:val="00967812"/>
    <w:rsid w:val="00967E54"/>
    <w:rsid w:val="009706E1"/>
    <w:rsid w:val="0098211F"/>
    <w:rsid w:val="0099080C"/>
    <w:rsid w:val="009A6CD0"/>
    <w:rsid w:val="009B7587"/>
    <w:rsid w:val="009C08D0"/>
    <w:rsid w:val="009C38A6"/>
    <w:rsid w:val="009C71E1"/>
    <w:rsid w:val="009E0951"/>
    <w:rsid w:val="009E47C1"/>
    <w:rsid w:val="009E6B6B"/>
    <w:rsid w:val="009F6FA6"/>
    <w:rsid w:val="00A02FEB"/>
    <w:rsid w:val="00A10751"/>
    <w:rsid w:val="00A355F9"/>
    <w:rsid w:val="00A42DC6"/>
    <w:rsid w:val="00A50B42"/>
    <w:rsid w:val="00A55A9B"/>
    <w:rsid w:val="00A66B5A"/>
    <w:rsid w:val="00A74DB8"/>
    <w:rsid w:val="00A9408B"/>
    <w:rsid w:val="00AA07A8"/>
    <w:rsid w:val="00AA1D1A"/>
    <w:rsid w:val="00AB2FC2"/>
    <w:rsid w:val="00AB5BA4"/>
    <w:rsid w:val="00AC44D4"/>
    <w:rsid w:val="00AD59DB"/>
    <w:rsid w:val="00B0197D"/>
    <w:rsid w:val="00B23242"/>
    <w:rsid w:val="00B255A8"/>
    <w:rsid w:val="00B407B5"/>
    <w:rsid w:val="00B41390"/>
    <w:rsid w:val="00B56734"/>
    <w:rsid w:val="00B60F34"/>
    <w:rsid w:val="00B8213C"/>
    <w:rsid w:val="00B90602"/>
    <w:rsid w:val="00B94738"/>
    <w:rsid w:val="00BA17D7"/>
    <w:rsid w:val="00BA48F1"/>
    <w:rsid w:val="00BB0779"/>
    <w:rsid w:val="00BB3660"/>
    <w:rsid w:val="00BB6590"/>
    <w:rsid w:val="00BC4C51"/>
    <w:rsid w:val="00BD0D2D"/>
    <w:rsid w:val="00BD3DD2"/>
    <w:rsid w:val="00BD65B9"/>
    <w:rsid w:val="00BE1290"/>
    <w:rsid w:val="00BE64DE"/>
    <w:rsid w:val="00BF12E9"/>
    <w:rsid w:val="00C02295"/>
    <w:rsid w:val="00C041EE"/>
    <w:rsid w:val="00C05278"/>
    <w:rsid w:val="00C10B54"/>
    <w:rsid w:val="00C37FF7"/>
    <w:rsid w:val="00C6169D"/>
    <w:rsid w:val="00C662D1"/>
    <w:rsid w:val="00C67597"/>
    <w:rsid w:val="00C738C0"/>
    <w:rsid w:val="00CB4253"/>
    <w:rsid w:val="00CC43CA"/>
    <w:rsid w:val="00CF70E4"/>
    <w:rsid w:val="00D1041F"/>
    <w:rsid w:val="00D1108F"/>
    <w:rsid w:val="00D205D6"/>
    <w:rsid w:val="00D22A15"/>
    <w:rsid w:val="00D44364"/>
    <w:rsid w:val="00D4710E"/>
    <w:rsid w:val="00D523F5"/>
    <w:rsid w:val="00D70833"/>
    <w:rsid w:val="00D7152A"/>
    <w:rsid w:val="00DD70AF"/>
    <w:rsid w:val="00DE3BF2"/>
    <w:rsid w:val="00E00E57"/>
    <w:rsid w:val="00E02D10"/>
    <w:rsid w:val="00E07049"/>
    <w:rsid w:val="00E1339D"/>
    <w:rsid w:val="00E1524D"/>
    <w:rsid w:val="00E159C7"/>
    <w:rsid w:val="00E30011"/>
    <w:rsid w:val="00E3041A"/>
    <w:rsid w:val="00E72BA3"/>
    <w:rsid w:val="00E86131"/>
    <w:rsid w:val="00E91A91"/>
    <w:rsid w:val="00E93684"/>
    <w:rsid w:val="00EA2384"/>
    <w:rsid w:val="00EA31A4"/>
    <w:rsid w:val="00EB713B"/>
    <w:rsid w:val="00EC4775"/>
    <w:rsid w:val="00EE4622"/>
    <w:rsid w:val="00EE688C"/>
    <w:rsid w:val="00F0059D"/>
    <w:rsid w:val="00F0385D"/>
    <w:rsid w:val="00F23DD4"/>
    <w:rsid w:val="00F30230"/>
    <w:rsid w:val="00F34996"/>
    <w:rsid w:val="00F65845"/>
    <w:rsid w:val="00F70A06"/>
    <w:rsid w:val="00F73B08"/>
    <w:rsid w:val="00F82EEF"/>
    <w:rsid w:val="00F83A2F"/>
    <w:rsid w:val="00F85DDD"/>
    <w:rsid w:val="00F861B1"/>
    <w:rsid w:val="00F95688"/>
    <w:rsid w:val="00FA6747"/>
    <w:rsid w:val="00FB31AC"/>
    <w:rsid w:val="00FC04EB"/>
    <w:rsid w:val="00FC2632"/>
    <w:rsid w:val="00FC4A81"/>
    <w:rsid w:val="00FD3DAD"/>
    <w:rsid w:val="00FE1A69"/>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 w:type="paragraph" w:styleId="PlainText">
    <w:name w:val="Plain Text"/>
    <w:basedOn w:val="Normal"/>
    <w:link w:val="PlainTextChar"/>
    <w:uiPriority w:val="99"/>
    <w:semiHidden/>
    <w:unhideWhenUsed/>
    <w:rsid w:val="000D0484"/>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0D0484"/>
    <w:rPr>
      <w:rFonts w:ascii="Consolas" w:hAnsi="Consolas"/>
      <w:sz w:val="21"/>
      <w:szCs w:val="21"/>
      <w:lang w:bidi="ar-SA"/>
    </w:rPr>
  </w:style>
</w:styles>
</file>

<file path=word/webSettings.xml><?xml version="1.0" encoding="utf-8"?>
<w:webSettings xmlns:r="http://schemas.openxmlformats.org/officeDocument/2006/relationships" xmlns:w="http://schemas.openxmlformats.org/wordprocessingml/2006/main">
  <w:divs>
    <w:div w:id="693769533">
      <w:bodyDiv w:val="1"/>
      <w:marLeft w:val="0"/>
      <w:marRight w:val="0"/>
      <w:marTop w:val="0"/>
      <w:marBottom w:val="0"/>
      <w:divBdr>
        <w:top w:val="none" w:sz="0" w:space="0" w:color="auto"/>
        <w:left w:val="none" w:sz="0" w:space="0" w:color="auto"/>
        <w:bottom w:val="none" w:sz="0" w:space="0" w:color="auto"/>
        <w:right w:val="none" w:sz="0" w:space="0" w:color="auto"/>
      </w:divBdr>
    </w:div>
    <w:div w:id="1039627801">
      <w:bodyDiv w:val="1"/>
      <w:marLeft w:val="0"/>
      <w:marRight w:val="0"/>
      <w:marTop w:val="0"/>
      <w:marBottom w:val="0"/>
      <w:divBdr>
        <w:top w:val="none" w:sz="0" w:space="0" w:color="auto"/>
        <w:left w:val="none" w:sz="0" w:space="0" w:color="auto"/>
        <w:bottom w:val="none" w:sz="0" w:space="0" w:color="auto"/>
        <w:right w:val="none" w:sz="0" w:space="0" w:color="auto"/>
      </w:divBdr>
    </w:div>
    <w:div w:id="1728213865">
      <w:bodyDiv w:val="1"/>
      <w:marLeft w:val="0"/>
      <w:marRight w:val="0"/>
      <w:marTop w:val="0"/>
      <w:marBottom w:val="0"/>
      <w:divBdr>
        <w:top w:val="none" w:sz="0" w:space="0" w:color="auto"/>
        <w:left w:val="none" w:sz="0" w:space="0" w:color="auto"/>
        <w:bottom w:val="none" w:sz="0" w:space="0" w:color="auto"/>
        <w:right w:val="none" w:sz="0" w:space="0" w:color="auto"/>
      </w:divBdr>
    </w:div>
    <w:div w:id="18467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documents/CFCC-10-11-LM-Exhibit-A-Terms-Conditions.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nfo.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FFC76-7F32-428B-B5DC-DFDEC5883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Linda McBain</cp:lastModifiedBy>
  <cp:revision>3</cp:revision>
  <cp:lastPrinted>2012-02-10T20:09:00Z</cp:lastPrinted>
  <dcterms:created xsi:type="dcterms:W3CDTF">2012-02-10T21:56:00Z</dcterms:created>
  <dcterms:modified xsi:type="dcterms:W3CDTF">2012-02-10T21:59:00Z</dcterms:modified>
</cp:coreProperties>
</file>