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70" w:type="dxa"/>
        <w:tblLayout w:type="fixed"/>
        <w:tblCellMar>
          <w:left w:w="115" w:type="dxa"/>
          <w:right w:w="115" w:type="dxa"/>
        </w:tblCellMar>
        <w:tblLook w:val="0000"/>
      </w:tblPr>
      <w:tblGrid>
        <w:gridCol w:w="2880"/>
        <w:gridCol w:w="270"/>
        <w:gridCol w:w="7020"/>
      </w:tblGrid>
      <w:tr w:rsidR="00C37FF7" w:rsidRPr="00610ED2" w:rsidTr="00DC08A1">
        <w:trPr>
          <w:cantSplit/>
          <w:trHeight w:hRule="exact" w:val="4860"/>
        </w:trPr>
        <w:tc>
          <w:tcPr>
            <w:tcW w:w="2880" w:type="dxa"/>
            <w:vMerge w:val="restart"/>
            <w:tcMar>
              <w:left w:w="0" w:type="dxa"/>
              <w:right w:w="0" w:type="dxa"/>
            </w:tcMar>
          </w:tcPr>
          <w:p w:rsidR="00C37FF7" w:rsidRPr="00610ED2" w:rsidRDefault="00C37FF7" w:rsidP="004D570E">
            <w:pPr>
              <w:rPr>
                <w:rFonts w:ascii="Arial" w:hAnsi="Arial" w:cs="Arial"/>
              </w:rPr>
            </w:pPr>
            <w:r w:rsidRPr="00610ED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610ED2" w:rsidRDefault="00C37FF7" w:rsidP="004D570E">
            <w:pPr>
              <w:rPr>
                <w:rFonts w:ascii="Arial" w:hAnsi="Arial" w:cs="Arial"/>
              </w:rPr>
            </w:pPr>
          </w:p>
        </w:tc>
        <w:tc>
          <w:tcPr>
            <w:tcW w:w="7020" w:type="dxa"/>
            <w:tcBorders>
              <w:bottom w:val="single" w:sz="4" w:space="0" w:color="auto"/>
            </w:tcBorders>
            <w:tcMar>
              <w:left w:w="0" w:type="dxa"/>
              <w:right w:w="0" w:type="dxa"/>
            </w:tcMar>
            <w:vAlign w:val="bottom"/>
          </w:tcPr>
          <w:p w:rsidR="00C37FF7" w:rsidRPr="00610ED2" w:rsidRDefault="00C37FF7" w:rsidP="004D570E">
            <w:pPr>
              <w:pStyle w:val="JCCReportCoverTitle"/>
              <w:rPr>
                <w:rFonts w:ascii="Arial" w:hAnsi="Arial" w:cs="Arial"/>
              </w:rPr>
            </w:pPr>
            <w:r w:rsidRPr="00610ED2">
              <w:rPr>
                <w:rFonts w:ascii="Arial" w:hAnsi="Arial" w:cs="Arial"/>
              </w:rPr>
              <w:t>REQUEST FOR PROPOSAL</w:t>
            </w:r>
            <w:r w:rsidR="004425FB" w:rsidRPr="00610ED2">
              <w:rPr>
                <w:rFonts w:ascii="Arial" w:hAnsi="Arial" w:cs="Arial"/>
              </w:rPr>
              <w:t>S</w:t>
            </w:r>
          </w:p>
          <w:p w:rsidR="00C37FF7" w:rsidRPr="00610ED2" w:rsidRDefault="00C37FF7" w:rsidP="004D570E">
            <w:pPr>
              <w:pStyle w:val="JCCReportCoverSpacer"/>
              <w:rPr>
                <w:rFonts w:ascii="Arial" w:hAnsi="Arial" w:cs="Arial"/>
              </w:rPr>
            </w:pPr>
            <w:r w:rsidRPr="00610ED2">
              <w:rPr>
                <w:rFonts w:ascii="Arial" w:hAnsi="Arial" w:cs="Arial"/>
              </w:rPr>
              <w:t xml:space="preserve"> </w:t>
            </w:r>
          </w:p>
        </w:tc>
      </w:tr>
      <w:tr w:rsidR="00C37FF7" w:rsidRPr="00610ED2" w:rsidTr="00DC08A1">
        <w:trPr>
          <w:cantSplit/>
          <w:trHeight w:hRule="exact" w:val="6580"/>
        </w:trPr>
        <w:tc>
          <w:tcPr>
            <w:tcW w:w="2880" w:type="dxa"/>
            <w:vMerge/>
            <w:tcMar>
              <w:left w:w="0" w:type="dxa"/>
              <w:right w:w="0" w:type="dxa"/>
            </w:tcMar>
          </w:tcPr>
          <w:p w:rsidR="00C37FF7" w:rsidRPr="00610ED2" w:rsidRDefault="00C37FF7" w:rsidP="004D570E">
            <w:pPr>
              <w:rPr>
                <w:rFonts w:ascii="Arial" w:hAnsi="Arial" w:cs="Arial"/>
              </w:rPr>
            </w:pPr>
          </w:p>
        </w:tc>
        <w:tc>
          <w:tcPr>
            <w:tcW w:w="270" w:type="dxa"/>
            <w:vMerge/>
            <w:tcMar>
              <w:left w:w="0" w:type="dxa"/>
              <w:right w:w="0" w:type="dxa"/>
            </w:tcMar>
          </w:tcPr>
          <w:p w:rsidR="00C37FF7" w:rsidRPr="00610ED2" w:rsidRDefault="00C37FF7" w:rsidP="004D570E">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610ED2" w:rsidRDefault="00C37FF7" w:rsidP="004D570E">
            <w:pPr>
              <w:pStyle w:val="JCCReportCoverSubhead"/>
              <w:rPr>
                <w:rFonts w:ascii="Arial" w:hAnsi="Arial" w:cs="Arial"/>
                <w:b/>
                <w:szCs w:val="28"/>
              </w:rPr>
            </w:pPr>
            <w:r w:rsidRPr="00610ED2">
              <w:rPr>
                <w:rFonts w:ascii="Arial" w:hAnsi="Arial" w:cs="Arial"/>
                <w:b/>
                <w:szCs w:val="28"/>
              </w:rPr>
              <w:t xml:space="preserve">AdministRative Office of the Courts </w:t>
            </w:r>
          </w:p>
          <w:p w:rsidR="00DC08A1" w:rsidRPr="00610ED2" w:rsidRDefault="00DC08A1" w:rsidP="004D570E">
            <w:pPr>
              <w:pStyle w:val="JCCReportCoverSubhead"/>
              <w:rPr>
                <w:rFonts w:ascii="Arial" w:hAnsi="Arial" w:cs="Arial"/>
                <w:b/>
                <w:szCs w:val="28"/>
              </w:rPr>
            </w:pPr>
          </w:p>
          <w:p w:rsidR="00C37FF7" w:rsidRPr="00610ED2" w:rsidRDefault="00C37FF7" w:rsidP="004D570E">
            <w:pPr>
              <w:pStyle w:val="JCCReportCoverSubhead"/>
              <w:rPr>
                <w:rFonts w:ascii="Arial" w:hAnsi="Arial" w:cs="Arial"/>
                <w:b/>
                <w:szCs w:val="28"/>
              </w:rPr>
            </w:pPr>
          </w:p>
          <w:p w:rsidR="001C1E56" w:rsidRPr="00330F73" w:rsidRDefault="00C37FF7" w:rsidP="009316E4">
            <w:pPr>
              <w:pStyle w:val="JCCReportCoverSubhead"/>
              <w:ind w:right="-180"/>
              <w:rPr>
                <w:rFonts w:ascii="Arial" w:hAnsi="Arial" w:cs="Arial"/>
                <w:caps w:val="0"/>
                <w:szCs w:val="28"/>
              </w:rPr>
            </w:pPr>
            <w:r w:rsidRPr="00610ED2">
              <w:rPr>
                <w:rFonts w:ascii="Arial" w:hAnsi="Arial" w:cs="Arial"/>
                <w:b/>
                <w:szCs w:val="28"/>
              </w:rPr>
              <w:t>Regarding:</w:t>
            </w:r>
            <w:r w:rsidR="00FA39C6" w:rsidRPr="00610ED2">
              <w:rPr>
                <w:rFonts w:ascii="Arial" w:hAnsi="Arial" w:cs="Arial"/>
                <w:b/>
                <w:szCs w:val="28"/>
              </w:rPr>
              <w:t xml:space="preserve"> </w:t>
            </w:r>
            <w:r w:rsidRPr="00610ED2">
              <w:rPr>
                <w:rFonts w:ascii="Arial" w:hAnsi="Arial" w:cs="Arial"/>
                <w:b/>
                <w:szCs w:val="28"/>
              </w:rPr>
              <w:br/>
            </w:r>
            <w:r w:rsidR="00330F73" w:rsidRPr="00330F73">
              <w:rPr>
                <w:rFonts w:ascii="Arial" w:hAnsi="Arial" w:cs="Arial"/>
                <w:b/>
                <w:caps w:val="0"/>
                <w:szCs w:val="28"/>
              </w:rPr>
              <w:t>TECHNICAL ASSISTANCE IN SHARING INFORMATION IN JUVENILE DEPENDENCY CASES</w:t>
            </w:r>
            <w:r w:rsidR="00330F73" w:rsidRPr="00B60146">
              <w:rPr>
                <w:rFonts w:ascii="Arial" w:hAnsi="Arial" w:cs="Arial"/>
                <w:b/>
                <w:i/>
                <w:caps w:val="0"/>
                <w:color w:val="000000" w:themeColor="text1"/>
                <w:szCs w:val="28"/>
              </w:rPr>
              <w:t xml:space="preserve">  </w:t>
            </w:r>
          </w:p>
          <w:p w:rsidR="00B33C18" w:rsidRPr="00610ED2" w:rsidRDefault="00B33C18" w:rsidP="004D570E">
            <w:pPr>
              <w:pStyle w:val="JCCReportCoverSubhead"/>
              <w:rPr>
                <w:rFonts w:ascii="Arial" w:hAnsi="Arial" w:cs="Arial"/>
                <w:b/>
                <w:caps w:val="0"/>
                <w:szCs w:val="28"/>
              </w:rPr>
            </w:pPr>
          </w:p>
          <w:p w:rsidR="00020CAC" w:rsidRPr="00610ED2" w:rsidRDefault="00020CAC" w:rsidP="004D570E">
            <w:pPr>
              <w:pStyle w:val="JCCReportCoverSubhead"/>
              <w:rPr>
                <w:rFonts w:ascii="Arial" w:hAnsi="Arial" w:cs="Arial"/>
                <w:b/>
                <w:szCs w:val="28"/>
              </w:rPr>
            </w:pPr>
            <w:r w:rsidRPr="00610ED2">
              <w:rPr>
                <w:rFonts w:ascii="Arial" w:hAnsi="Arial" w:cs="Arial"/>
                <w:b/>
                <w:caps w:val="0"/>
                <w:szCs w:val="28"/>
              </w:rPr>
              <w:t>RFP #</w:t>
            </w:r>
            <w:r w:rsidR="009316E4" w:rsidRPr="00610ED2">
              <w:rPr>
                <w:sz w:val="22"/>
                <w:szCs w:val="22"/>
              </w:rPr>
              <w:t xml:space="preserve"> </w:t>
            </w:r>
            <w:r w:rsidR="00330F73">
              <w:rPr>
                <w:rFonts w:ascii="Arial" w:hAnsi="Arial" w:cs="Arial"/>
                <w:b/>
                <w:caps w:val="0"/>
                <w:szCs w:val="28"/>
              </w:rPr>
              <w:t>CFCC 03-12</w:t>
            </w:r>
            <w:r w:rsidR="009316E4" w:rsidRPr="00610ED2">
              <w:rPr>
                <w:rFonts w:ascii="Arial" w:hAnsi="Arial" w:cs="Arial"/>
                <w:b/>
                <w:caps w:val="0"/>
                <w:szCs w:val="28"/>
              </w:rPr>
              <w:t>-LM</w:t>
            </w:r>
            <w:r w:rsidR="00DC08A1" w:rsidRPr="00610ED2">
              <w:rPr>
                <w:rFonts w:ascii="Arial" w:hAnsi="Arial" w:cs="Arial"/>
                <w:i/>
                <w:szCs w:val="28"/>
              </w:rPr>
              <w:t xml:space="preserve"> </w:t>
            </w: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251614" w:rsidRDefault="00C37FF7" w:rsidP="004D570E">
            <w:pPr>
              <w:pStyle w:val="Header"/>
              <w:tabs>
                <w:tab w:val="clear" w:pos="4320"/>
                <w:tab w:val="clear" w:pos="8640"/>
              </w:tabs>
              <w:autoSpaceDE w:val="0"/>
              <w:autoSpaceDN w:val="0"/>
              <w:adjustRightInd w:val="0"/>
              <w:rPr>
                <w:rFonts w:ascii="Arial" w:hAnsi="Arial" w:cs="Arial"/>
                <w:b/>
                <w:bCs/>
                <w:smallCaps/>
                <w:sz w:val="28"/>
                <w:szCs w:val="20"/>
              </w:rPr>
            </w:pPr>
            <w:r w:rsidRPr="00251614">
              <w:rPr>
                <w:rFonts w:ascii="Arial" w:hAnsi="Arial" w:cs="Arial"/>
                <w:b/>
                <w:bCs/>
                <w:smallCaps/>
                <w:sz w:val="28"/>
                <w:szCs w:val="20"/>
              </w:rPr>
              <w:t xml:space="preserve">PROPOSALS DUE:  </w:t>
            </w:r>
          </w:p>
          <w:p w:rsidR="001F0918" w:rsidRPr="00251614" w:rsidRDefault="004B52A6" w:rsidP="00565246">
            <w:pPr>
              <w:autoSpaceDE w:val="0"/>
              <w:autoSpaceDN w:val="0"/>
              <w:adjustRightInd w:val="0"/>
              <w:rPr>
                <w:rFonts w:ascii="Arial" w:hAnsi="Arial" w:cs="Arial"/>
                <w:b/>
                <w:bCs/>
                <w:smallCaps/>
                <w:sz w:val="28"/>
                <w:szCs w:val="20"/>
              </w:rPr>
            </w:pPr>
            <w:r w:rsidRPr="00251614">
              <w:rPr>
                <w:rFonts w:ascii="Arial" w:hAnsi="Arial" w:cs="Arial"/>
                <w:b/>
                <w:sz w:val="28"/>
                <w:szCs w:val="28"/>
              </w:rPr>
              <w:t xml:space="preserve">May </w:t>
            </w:r>
            <w:r w:rsidR="00330F73" w:rsidRPr="00251614">
              <w:rPr>
                <w:rFonts w:ascii="Arial" w:hAnsi="Arial" w:cs="Arial"/>
                <w:b/>
                <w:sz w:val="28"/>
                <w:szCs w:val="28"/>
              </w:rPr>
              <w:t>7</w:t>
            </w:r>
            <w:r w:rsidR="00565246" w:rsidRPr="00251614">
              <w:rPr>
                <w:rFonts w:ascii="Arial" w:hAnsi="Arial" w:cs="Arial"/>
                <w:b/>
                <w:sz w:val="28"/>
                <w:szCs w:val="28"/>
              </w:rPr>
              <w:t xml:space="preserve">, 2012 </w:t>
            </w:r>
            <w:r w:rsidR="00565246" w:rsidRPr="00251614">
              <w:rPr>
                <w:rFonts w:ascii="Arial" w:hAnsi="Arial" w:cs="Arial"/>
                <w:b/>
                <w:bCs/>
                <w:smallCaps/>
                <w:sz w:val="28"/>
                <w:szCs w:val="28"/>
              </w:rPr>
              <w:t xml:space="preserve">no later than </w:t>
            </w:r>
            <w:r w:rsidR="00C0030A" w:rsidRPr="00251614">
              <w:rPr>
                <w:rFonts w:ascii="Arial" w:hAnsi="Arial" w:cs="Arial"/>
                <w:b/>
                <w:bCs/>
                <w:smallCaps/>
                <w:sz w:val="28"/>
                <w:szCs w:val="28"/>
              </w:rPr>
              <w:t>2</w:t>
            </w:r>
            <w:r w:rsidR="00565246" w:rsidRPr="00251614">
              <w:rPr>
                <w:rFonts w:ascii="Arial" w:hAnsi="Arial" w:cs="Arial"/>
                <w:b/>
                <w:sz w:val="28"/>
                <w:szCs w:val="28"/>
              </w:rPr>
              <w:t xml:space="preserve">:00 </w:t>
            </w:r>
            <w:r w:rsidR="00565246" w:rsidRPr="00251614">
              <w:rPr>
                <w:rFonts w:ascii="Arial" w:hAnsi="Arial" w:cs="Arial"/>
                <w:b/>
                <w:caps/>
                <w:sz w:val="22"/>
                <w:szCs w:val="28"/>
              </w:rPr>
              <w:t xml:space="preserve"> </w:t>
            </w:r>
            <w:r w:rsidR="00565246" w:rsidRPr="00251614">
              <w:rPr>
                <w:rFonts w:ascii="Arial" w:hAnsi="Arial" w:cs="Arial"/>
                <w:b/>
                <w:bCs/>
                <w:smallCaps/>
                <w:sz w:val="28"/>
                <w:szCs w:val="20"/>
              </w:rPr>
              <w:t xml:space="preserve">p.m. Pacific time </w:t>
            </w:r>
          </w:p>
          <w:p w:rsidR="001F0918" w:rsidRPr="00251614" w:rsidRDefault="001F0918" w:rsidP="004D570E">
            <w:pPr>
              <w:pStyle w:val="Header"/>
              <w:tabs>
                <w:tab w:val="clear" w:pos="4320"/>
                <w:tab w:val="clear" w:pos="8640"/>
              </w:tabs>
              <w:autoSpaceDE w:val="0"/>
              <w:autoSpaceDN w:val="0"/>
              <w:adjustRightInd w:val="0"/>
              <w:rPr>
                <w:rFonts w:ascii="Arial" w:hAnsi="Arial" w:cs="Arial"/>
                <w:b/>
                <w:bCs/>
                <w:smallCaps/>
                <w:sz w:val="28"/>
                <w:szCs w:val="20"/>
              </w:rPr>
            </w:pPr>
          </w:p>
          <w:p w:rsidR="00C37FF7" w:rsidRPr="00610ED2" w:rsidRDefault="00C37FF7" w:rsidP="004D570E">
            <w:pPr>
              <w:pStyle w:val="Header"/>
              <w:tabs>
                <w:tab w:val="clear" w:pos="4320"/>
                <w:tab w:val="clear" w:pos="8640"/>
              </w:tabs>
              <w:autoSpaceDE w:val="0"/>
              <w:autoSpaceDN w:val="0"/>
              <w:adjustRightInd w:val="0"/>
              <w:rPr>
                <w:rFonts w:ascii="Arial" w:hAnsi="Arial" w:cs="Arial"/>
                <w:b/>
                <w:bCs/>
                <w:sz w:val="36"/>
              </w:rPr>
            </w:pPr>
          </w:p>
        </w:tc>
      </w:tr>
    </w:tbl>
    <w:p w:rsidR="00930FAC" w:rsidRPr="00610ED2" w:rsidRDefault="00C37FF7" w:rsidP="00C37FF7">
      <w:pPr>
        <w:pStyle w:val="Header"/>
        <w:tabs>
          <w:tab w:val="clear" w:pos="4320"/>
          <w:tab w:val="clear" w:pos="8640"/>
          <w:tab w:val="left" w:pos="2220"/>
        </w:tabs>
        <w:autoSpaceDE w:val="0"/>
        <w:autoSpaceDN w:val="0"/>
        <w:adjustRightInd w:val="0"/>
        <w:rPr>
          <w:rFonts w:ascii="Arial" w:hAnsi="Arial" w:cs="Arial"/>
        </w:rPr>
      </w:pPr>
      <w:r w:rsidRPr="00610ED2">
        <w:rPr>
          <w:rFonts w:ascii="Arial" w:hAnsi="Arial" w:cs="Arial"/>
        </w:rPr>
        <w:br/>
      </w:r>
      <w:r w:rsidRPr="00610ED2">
        <w:rPr>
          <w:rFonts w:ascii="Arial" w:hAnsi="Arial" w:cs="Arial"/>
        </w:rPr>
        <w:tab/>
      </w:r>
    </w:p>
    <w:p w:rsidR="00B16A5A" w:rsidRPr="00610ED2" w:rsidRDefault="00930FAC">
      <w:pPr>
        <w:spacing w:line="276" w:lineRule="auto"/>
        <w:rPr>
          <w:rFonts w:ascii="Arial" w:hAnsi="Arial" w:cs="Arial"/>
        </w:rPr>
        <w:sectPr w:rsidR="00B16A5A" w:rsidRPr="00610ED2" w:rsidSect="0067317F">
          <w:footerReference w:type="default" r:id="rId9"/>
          <w:pgSz w:w="12240" w:h="15840"/>
          <w:pgMar w:top="1440" w:right="1008" w:bottom="720" w:left="1008" w:header="720" w:footer="720" w:gutter="0"/>
          <w:cols w:space="720"/>
          <w:docGrid w:linePitch="360"/>
        </w:sectPr>
      </w:pPr>
      <w:r w:rsidRPr="00610ED2">
        <w:rPr>
          <w:rFonts w:ascii="Arial" w:hAnsi="Arial" w:cs="Arial"/>
        </w:rPr>
        <w:br w:type="page"/>
      </w:r>
    </w:p>
    <w:p w:rsidR="00B16A5A" w:rsidRPr="00251614" w:rsidRDefault="00B16A5A" w:rsidP="00B16A5A">
      <w:pPr>
        <w:jc w:val="center"/>
        <w:rPr>
          <w:b/>
          <w:bCs/>
          <w:sz w:val="26"/>
          <w:szCs w:val="26"/>
        </w:rPr>
      </w:pPr>
      <w:r w:rsidRPr="00251614">
        <w:rPr>
          <w:b/>
          <w:bCs/>
          <w:sz w:val="26"/>
          <w:szCs w:val="26"/>
        </w:rPr>
        <w:lastRenderedPageBreak/>
        <w:t>GENERAL INFORMATION</w:t>
      </w:r>
    </w:p>
    <w:p w:rsidR="00B16A5A" w:rsidRPr="00251614" w:rsidRDefault="00B16A5A" w:rsidP="0067317F">
      <w:pPr>
        <w:jc w:val="both"/>
        <w:rPr>
          <w:b/>
          <w:bCs/>
          <w:sz w:val="26"/>
          <w:szCs w:val="26"/>
        </w:rPr>
      </w:pPr>
    </w:p>
    <w:p w:rsidR="00565246" w:rsidRPr="00251614" w:rsidRDefault="00565246" w:rsidP="00565246">
      <w:pPr>
        <w:keepNext/>
        <w:outlineLvl w:val="0"/>
        <w:rPr>
          <w:b/>
          <w:bCs/>
        </w:rPr>
      </w:pPr>
      <w:r w:rsidRPr="00251614">
        <w:rPr>
          <w:b/>
          <w:bCs/>
        </w:rPr>
        <w:t xml:space="preserve">INTRODUCTION </w:t>
      </w:r>
    </w:p>
    <w:p w:rsidR="00565246" w:rsidRPr="00251614" w:rsidRDefault="00565246" w:rsidP="00565246">
      <w:pPr>
        <w:keepNext/>
        <w:rPr>
          <w:bCs/>
        </w:rPr>
      </w:pPr>
    </w:p>
    <w:p w:rsidR="00330F73" w:rsidRPr="00251614" w:rsidRDefault="00565246" w:rsidP="00163BF0">
      <w:pPr>
        <w:keepNext/>
        <w:jc w:val="both"/>
        <w:rPr>
          <w:bCs/>
        </w:rPr>
      </w:pPr>
      <w:r w:rsidRPr="00251614">
        <w:rPr>
          <w:bCs/>
        </w:rPr>
        <w:t>The purpose of this Request for Proposals (</w:t>
      </w:r>
      <w:r w:rsidRPr="00251614">
        <w:rPr>
          <w:b/>
          <w:bCs/>
        </w:rPr>
        <w:t>RFP</w:t>
      </w:r>
      <w:r w:rsidRPr="00251614">
        <w:rPr>
          <w:bCs/>
        </w:rPr>
        <w:t>) is to</w:t>
      </w:r>
      <w:r w:rsidR="00330F73" w:rsidRPr="00251614">
        <w:rPr>
          <w:bCs/>
        </w:rPr>
        <w:t xml:space="preserve"> </w:t>
      </w:r>
      <w:r w:rsidR="00330F73" w:rsidRPr="00251614">
        <w:t>facilitate the appropriate sharing of information among the court, the child welfare agency, education agencies and others. This solicitation is for services to continue efforts in this area. These services include educating judicial officers, attorneys, social workers, county counsel and school administrators on the legal framework for sharing information; consulting with courts in their efforts to establish memoranda of understanding and other agreements to share information in their counties; and conducting research and writing reports on sharing information on families with cases that touch both family and juvenile court, and on understanding Welfare and Institutions Code section 827.</w:t>
      </w:r>
      <w:r w:rsidR="00330F73" w:rsidRPr="00251614">
        <w:rPr>
          <w:bCs/>
        </w:rPr>
        <w:t xml:space="preserve"> </w:t>
      </w:r>
      <w:r w:rsidRPr="00251614">
        <w:rPr>
          <w:bCs/>
        </w:rPr>
        <w:t xml:space="preserve"> </w:t>
      </w:r>
    </w:p>
    <w:p w:rsidR="00330F73" w:rsidRPr="00251614" w:rsidRDefault="00330F73" w:rsidP="00163BF0">
      <w:pPr>
        <w:keepNext/>
        <w:jc w:val="both"/>
        <w:rPr>
          <w:bCs/>
        </w:rPr>
      </w:pPr>
    </w:p>
    <w:p w:rsidR="00565246" w:rsidRPr="00251614" w:rsidRDefault="00565246" w:rsidP="00565246">
      <w:pPr>
        <w:keepNext/>
        <w:jc w:val="both"/>
        <w:rPr>
          <w:bCs/>
        </w:rPr>
      </w:pPr>
      <w:r w:rsidRPr="00251614">
        <w:rPr>
          <w:bCs/>
        </w:rPr>
        <w:t xml:space="preserve">Additional information about and documents pertaining to this solicitation, including electronic copies of the solicitation documents can be found on the California Courts Website, at </w:t>
      </w:r>
      <w:hyperlink r:id="rId10" w:history="1">
        <w:r w:rsidRPr="00251614">
          <w:rPr>
            <w:rStyle w:val="Hyperlink"/>
            <w:bCs/>
            <w:color w:val="auto"/>
          </w:rPr>
          <w:t>www.courts.ca.gov/rfps.htm</w:t>
        </w:r>
      </w:hyperlink>
      <w:r w:rsidRPr="00251614">
        <w:rPr>
          <w:bCs/>
        </w:rPr>
        <w:t xml:space="preserve"> (</w:t>
      </w:r>
      <w:r w:rsidRPr="00251614">
        <w:rPr>
          <w:b/>
          <w:bCs/>
        </w:rPr>
        <w:t>Court’s Website</w:t>
      </w:r>
      <w:r w:rsidRPr="00251614">
        <w:rPr>
          <w:bCs/>
        </w:rPr>
        <w:t xml:space="preserve">). </w:t>
      </w:r>
    </w:p>
    <w:p w:rsidR="007A6178" w:rsidRPr="00251614" w:rsidRDefault="007A6178" w:rsidP="00565246">
      <w:pPr>
        <w:keepNext/>
        <w:jc w:val="both"/>
        <w:rPr>
          <w:bCs/>
        </w:rPr>
      </w:pPr>
    </w:p>
    <w:p w:rsidR="00C37FF7" w:rsidRPr="00251614" w:rsidRDefault="00C37FF7" w:rsidP="0067317F">
      <w:pPr>
        <w:keepNext/>
        <w:ind w:left="720" w:hanging="720"/>
        <w:jc w:val="both"/>
        <w:rPr>
          <w:b/>
          <w:bCs/>
        </w:rPr>
      </w:pPr>
      <w:r w:rsidRPr="00251614">
        <w:rPr>
          <w:b/>
          <w:bCs/>
        </w:rPr>
        <w:t>1.0</w:t>
      </w:r>
      <w:r w:rsidRPr="00251614">
        <w:rPr>
          <w:b/>
          <w:bCs/>
        </w:rPr>
        <w:tab/>
        <w:t>BACKGROUND INFORMATION</w:t>
      </w:r>
      <w:r w:rsidR="001F2FB9" w:rsidRPr="00251614">
        <w:rPr>
          <w:b/>
          <w:bCs/>
        </w:rPr>
        <w:t xml:space="preserve">  </w:t>
      </w:r>
    </w:p>
    <w:p w:rsidR="00C37FF7" w:rsidRPr="00251614" w:rsidRDefault="00C37FF7" w:rsidP="0067317F">
      <w:pPr>
        <w:keepNext/>
        <w:jc w:val="both"/>
      </w:pPr>
    </w:p>
    <w:p w:rsidR="00C37FF7" w:rsidRPr="00251614" w:rsidRDefault="00C37FF7" w:rsidP="009541D4">
      <w:pPr>
        <w:widowControl w:val="0"/>
        <w:ind w:left="1440" w:hanging="720"/>
        <w:jc w:val="both"/>
      </w:pPr>
      <w:r w:rsidRPr="00251614">
        <w:t>1.1</w:t>
      </w:r>
      <w:r w:rsidRPr="00251614">
        <w:tab/>
      </w:r>
      <w:r w:rsidR="00B16A5A" w:rsidRPr="00251614">
        <w:t>The Judicial Council of California (</w:t>
      </w:r>
      <w:r w:rsidR="00B16A5A" w:rsidRPr="00251614">
        <w:rPr>
          <w:b/>
        </w:rPr>
        <w:t>Judicial Council</w:t>
      </w:r>
      <w:r w:rsidR="00B16A5A" w:rsidRPr="00251614">
        <w:t xml:space="preserve">),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Administrative Office of the Courts is the staff agency for the </w:t>
      </w:r>
      <w:proofErr w:type="gramStart"/>
      <w:r w:rsidR="00B16A5A" w:rsidRPr="00251614">
        <w:t>Council and assists both the Council and its chair in performing their duties</w:t>
      </w:r>
      <w:proofErr w:type="gramEnd"/>
      <w:r w:rsidR="00B16A5A" w:rsidRPr="00251614">
        <w:t xml:space="preserve"> and is a Judicial Branch Entity (</w:t>
      </w:r>
      <w:r w:rsidR="00163BF0" w:rsidRPr="00251614">
        <w:rPr>
          <w:b/>
        </w:rPr>
        <w:t>AOC</w:t>
      </w:r>
      <w:r w:rsidR="00B16A5A" w:rsidRPr="00251614">
        <w:t>).</w:t>
      </w:r>
    </w:p>
    <w:p w:rsidR="00C37FF7" w:rsidRPr="00251614" w:rsidRDefault="00C37FF7" w:rsidP="009541D4">
      <w:pPr>
        <w:widowControl w:val="0"/>
        <w:ind w:left="1440"/>
        <w:jc w:val="both"/>
      </w:pPr>
    </w:p>
    <w:p w:rsidR="00330F73" w:rsidRPr="00251614" w:rsidRDefault="00FA39C6" w:rsidP="009541D4">
      <w:pPr>
        <w:keepNext/>
        <w:ind w:left="1440" w:hanging="720"/>
        <w:jc w:val="both"/>
        <w:rPr>
          <w:i/>
        </w:rPr>
      </w:pPr>
      <w:r w:rsidRPr="00251614">
        <w:t>1.2</w:t>
      </w:r>
      <w:r w:rsidRPr="00251614">
        <w:tab/>
      </w:r>
      <w:r w:rsidR="00330F73" w:rsidRPr="00251614">
        <w:t xml:space="preserve">Administrative Office of the Courts (AOC) briefings on sharing information about children in foster care are at this link: </w:t>
      </w:r>
      <w:r w:rsidR="00330F73" w:rsidRPr="00251614">
        <w:rPr>
          <w:i/>
        </w:rPr>
        <w:tab/>
      </w:r>
      <w:hyperlink r:id="rId11" w:anchor="acc12610" w:history="1">
        <w:r w:rsidR="00330F73" w:rsidRPr="00251614">
          <w:rPr>
            <w:rStyle w:val="Hyperlink"/>
            <w:i/>
            <w:color w:val="auto"/>
          </w:rPr>
          <w:t>http://www.courts.ca.gov/cfcc-publications.htm#acc12610</w:t>
        </w:r>
      </w:hyperlink>
    </w:p>
    <w:p w:rsidR="007A6178" w:rsidRPr="00251614" w:rsidRDefault="007A6178" w:rsidP="009541D4">
      <w:pPr>
        <w:widowControl w:val="0"/>
        <w:ind w:left="1440" w:hanging="720"/>
        <w:jc w:val="both"/>
      </w:pPr>
    </w:p>
    <w:p w:rsidR="00C37FF7" w:rsidRPr="00251614" w:rsidRDefault="00C37FF7" w:rsidP="009541D4">
      <w:pPr>
        <w:widowControl w:val="0"/>
        <w:ind w:left="720" w:hanging="720"/>
        <w:jc w:val="both"/>
        <w:rPr>
          <w:b/>
          <w:bCs/>
        </w:rPr>
      </w:pPr>
      <w:r w:rsidRPr="00251614">
        <w:rPr>
          <w:b/>
          <w:bCs/>
        </w:rPr>
        <w:t>2.0</w:t>
      </w:r>
      <w:r w:rsidRPr="00251614">
        <w:rPr>
          <w:b/>
          <w:bCs/>
        </w:rPr>
        <w:tab/>
      </w:r>
      <w:r w:rsidR="00FC4A81" w:rsidRPr="00251614">
        <w:rPr>
          <w:b/>
          <w:bCs/>
        </w:rPr>
        <w:t xml:space="preserve">DESCRIPTION OF </w:t>
      </w:r>
      <w:r w:rsidR="009C38A6" w:rsidRPr="00251614">
        <w:rPr>
          <w:b/>
          <w:bCs/>
        </w:rPr>
        <w:t xml:space="preserve">SERVICES </w:t>
      </w:r>
    </w:p>
    <w:p w:rsidR="00FC4A81" w:rsidRPr="00251614" w:rsidRDefault="00FC4A81" w:rsidP="009541D4">
      <w:pPr>
        <w:widowControl w:val="0"/>
        <w:ind w:left="720" w:hanging="720"/>
        <w:jc w:val="both"/>
        <w:rPr>
          <w:sz w:val="16"/>
          <w:szCs w:val="16"/>
        </w:rPr>
      </w:pPr>
    </w:p>
    <w:p w:rsidR="00FA39C6" w:rsidRPr="00251614" w:rsidRDefault="00FA39C6" w:rsidP="009541D4">
      <w:pPr>
        <w:pStyle w:val="BodyTextIndent2"/>
        <w:spacing w:after="0" w:line="240" w:lineRule="auto"/>
        <w:ind w:left="1440" w:right="54" w:hanging="720"/>
        <w:jc w:val="both"/>
      </w:pPr>
      <w:proofErr w:type="gramStart"/>
      <w:r w:rsidRPr="00251614">
        <w:t>2.1</w:t>
      </w:r>
      <w:r w:rsidRPr="00251614">
        <w:tab/>
      </w:r>
      <w:r w:rsidRPr="00251614">
        <w:rPr>
          <w:u w:val="single"/>
        </w:rPr>
        <w:t>Introduction</w:t>
      </w:r>
      <w:r w:rsidRPr="00251614">
        <w:t>.</w:t>
      </w:r>
      <w:proofErr w:type="gramEnd"/>
      <w:r w:rsidRPr="00251614">
        <w:t xml:space="preserve"> </w:t>
      </w:r>
      <w:r w:rsidR="009541D4" w:rsidRPr="00251614">
        <w:t xml:space="preserve">The AOC seeks the services of a person or entity with expertise in legal analysis of statutes, regulations, rules of court and case law regarding sharing information on children in juvenile dependency among court, child welfare, health, mental health, substance abuse services, and education stakeholders. Consultant should have expertise in providing advanced education on this topic to both legally sophisticated audiences including judges, dependency attorneys and county counsel, and non-attorneys including social workers and school administrators. Consultant should also have expertise in the issues raised by information exchange among computerized case management systems and the ability to evaluate the exchange of information. </w:t>
      </w:r>
      <w:r w:rsidRPr="00251614">
        <w:t xml:space="preserve"> </w:t>
      </w:r>
      <w:r w:rsidR="009541D4" w:rsidRPr="00251614">
        <w:tab/>
      </w:r>
      <w:r w:rsidR="007A6178" w:rsidRPr="00251614">
        <w:t xml:space="preserve">The monetary range of the Project is </w:t>
      </w:r>
      <w:r w:rsidR="007A6178" w:rsidRPr="00251614">
        <w:rPr>
          <w:b/>
        </w:rPr>
        <w:t>$</w:t>
      </w:r>
      <w:r w:rsidR="009541D4" w:rsidRPr="00251614">
        <w:rPr>
          <w:b/>
        </w:rPr>
        <w:t>9</w:t>
      </w:r>
      <w:r w:rsidR="007A6178" w:rsidRPr="00251614">
        <w:rPr>
          <w:b/>
        </w:rPr>
        <w:t xml:space="preserve">5,000.00 </w:t>
      </w:r>
      <w:r w:rsidR="007A6178" w:rsidRPr="00251614">
        <w:t xml:space="preserve">to </w:t>
      </w:r>
      <w:r w:rsidR="007A6178" w:rsidRPr="00251614">
        <w:rPr>
          <w:b/>
        </w:rPr>
        <w:t>$</w:t>
      </w:r>
      <w:r w:rsidR="009541D4" w:rsidRPr="00251614">
        <w:rPr>
          <w:b/>
        </w:rPr>
        <w:t>105</w:t>
      </w:r>
      <w:r w:rsidR="007A6178" w:rsidRPr="00251614">
        <w:rPr>
          <w:b/>
        </w:rPr>
        <w:t>,000.00</w:t>
      </w:r>
      <w:r w:rsidR="007A6178" w:rsidRPr="00251614">
        <w:t xml:space="preserve">.  </w:t>
      </w:r>
      <w:r w:rsidRPr="00251614">
        <w:t xml:space="preserve">If a contract </w:t>
      </w:r>
      <w:proofErr w:type="gramStart"/>
      <w:r w:rsidRPr="00251614">
        <w:t>is awarded</w:t>
      </w:r>
      <w:proofErr w:type="gramEnd"/>
      <w:r w:rsidRPr="00251614">
        <w:t xml:space="preserve">, the work is expected to begin </w:t>
      </w:r>
      <w:r w:rsidR="007A6178" w:rsidRPr="00251614">
        <w:t>on</w:t>
      </w:r>
      <w:r w:rsidRPr="00251614">
        <w:t xml:space="preserve"> </w:t>
      </w:r>
      <w:r w:rsidRPr="00251614">
        <w:rPr>
          <w:b/>
        </w:rPr>
        <w:t xml:space="preserve">June </w:t>
      </w:r>
      <w:r w:rsidR="00163BF0" w:rsidRPr="00251614">
        <w:rPr>
          <w:b/>
        </w:rPr>
        <w:t>29</w:t>
      </w:r>
      <w:r w:rsidRPr="00251614">
        <w:rPr>
          <w:b/>
        </w:rPr>
        <w:t>, 2012</w:t>
      </w:r>
      <w:r w:rsidRPr="00251614">
        <w:t xml:space="preserve"> and to be completed by </w:t>
      </w:r>
      <w:r w:rsidR="00311FBE" w:rsidRPr="00251614">
        <w:rPr>
          <w:b/>
        </w:rPr>
        <w:t>September 28</w:t>
      </w:r>
      <w:r w:rsidRPr="00251614">
        <w:rPr>
          <w:b/>
        </w:rPr>
        <w:t>, 201</w:t>
      </w:r>
      <w:r w:rsidR="009541D4" w:rsidRPr="00251614">
        <w:rPr>
          <w:b/>
        </w:rPr>
        <w:t>2</w:t>
      </w:r>
      <w:r w:rsidRPr="00251614">
        <w:t>.</w:t>
      </w:r>
    </w:p>
    <w:p w:rsidR="00FA39C6" w:rsidRPr="00251614" w:rsidRDefault="00FA39C6" w:rsidP="00163BF0">
      <w:pPr>
        <w:widowControl w:val="0"/>
        <w:ind w:left="1440" w:hanging="720"/>
      </w:pPr>
    </w:p>
    <w:p w:rsidR="00A3785C" w:rsidRPr="00251614" w:rsidRDefault="00A3785C" w:rsidP="00163BF0">
      <w:pPr>
        <w:widowControl w:val="0"/>
        <w:ind w:left="1440" w:hanging="720"/>
      </w:pPr>
    </w:p>
    <w:p w:rsidR="009541D4" w:rsidRPr="00251614" w:rsidRDefault="00FA39C6" w:rsidP="009541D4">
      <w:pPr>
        <w:pStyle w:val="BodyTextIndent2"/>
        <w:spacing w:after="0" w:line="240" w:lineRule="auto"/>
        <w:ind w:left="720"/>
      </w:pPr>
      <w:proofErr w:type="gramStart"/>
      <w:r w:rsidRPr="00251614">
        <w:lastRenderedPageBreak/>
        <w:t>2.2</w:t>
      </w:r>
      <w:r w:rsidRPr="00251614">
        <w:tab/>
      </w:r>
      <w:r w:rsidRPr="00251614">
        <w:rPr>
          <w:u w:val="single"/>
        </w:rPr>
        <w:t>General requirements</w:t>
      </w:r>
      <w:r w:rsidRPr="00251614">
        <w:t>.</w:t>
      </w:r>
      <w:proofErr w:type="gramEnd"/>
      <w:r w:rsidRPr="00251614">
        <w:t xml:space="preserve"> </w:t>
      </w:r>
      <w:r w:rsidR="009541D4" w:rsidRPr="00251614">
        <w:t xml:space="preserve"> The Consultant will conduct the following specific tasks:</w:t>
      </w:r>
    </w:p>
    <w:p w:rsidR="009541D4" w:rsidRPr="00251614" w:rsidRDefault="009541D4" w:rsidP="009541D4">
      <w:pPr>
        <w:pStyle w:val="BodyTextIndent2"/>
        <w:numPr>
          <w:ilvl w:val="0"/>
          <w:numId w:val="18"/>
        </w:numPr>
        <w:spacing w:after="60" w:line="240" w:lineRule="auto"/>
        <w:ind w:left="1987" w:hanging="547"/>
        <w:jc w:val="both"/>
        <w:rPr>
          <w:i/>
        </w:rPr>
      </w:pPr>
      <w:r w:rsidRPr="00251614">
        <w:t>Provide half-day or day long trainings in information sharing at 10 locations around the state</w:t>
      </w:r>
      <w:r w:rsidR="00CE56DF" w:rsidRPr="00251614">
        <w:t xml:space="preserve"> </w:t>
      </w:r>
      <w:r w:rsidR="005A6016" w:rsidRPr="00251614">
        <w:t xml:space="preserve">including three counties in the Sacramento area, three counties in the San Francisco Bay Area and four counties in the Los Angeles/San Bernardino area. </w:t>
      </w:r>
      <w:r w:rsidRPr="00251614">
        <w:t xml:space="preserve">Training must include a standard </w:t>
      </w:r>
      <w:r w:rsidR="00147BCD" w:rsidRPr="00251614">
        <w:t>curriculum, which</w:t>
      </w:r>
      <w:r w:rsidRPr="00251614">
        <w:t xml:space="preserve"> addresses the federal Health Insurance Portability and Accountability Act, the California Confidentiality of Medical Information Act, the federal Family Educational Rights and Privacy Act, California Welfare and Institutions Code section 827.1, and other relevant statutes, regulations, rules and case law.</w:t>
      </w:r>
    </w:p>
    <w:p w:rsidR="009541D4" w:rsidRPr="00251614" w:rsidRDefault="009541D4" w:rsidP="009541D4">
      <w:pPr>
        <w:pStyle w:val="BodyTextIndent2"/>
        <w:numPr>
          <w:ilvl w:val="0"/>
          <w:numId w:val="18"/>
        </w:numPr>
        <w:spacing w:after="60" w:line="240" w:lineRule="auto"/>
        <w:ind w:left="1987" w:hanging="547"/>
        <w:jc w:val="both"/>
        <w:rPr>
          <w:i/>
        </w:rPr>
      </w:pPr>
      <w:r w:rsidRPr="00251614">
        <w:t>Record the curriculum in a series of webinars for distribution by the AOC.</w:t>
      </w:r>
    </w:p>
    <w:p w:rsidR="009541D4" w:rsidRPr="00251614" w:rsidRDefault="009541D4" w:rsidP="009541D4">
      <w:pPr>
        <w:pStyle w:val="BodyTextIndent2"/>
        <w:numPr>
          <w:ilvl w:val="0"/>
          <w:numId w:val="18"/>
        </w:numPr>
        <w:spacing w:after="60" w:line="240" w:lineRule="auto"/>
        <w:ind w:left="1987" w:hanging="547"/>
        <w:jc w:val="both"/>
      </w:pPr>
      <w:r w:rsidRPr="00251614">
        <w:t xml:space="preserve">Provide consultation or technical assistance </w:t>
      </w:r>
      <w:r w:rsidR="005A6016" w:rsidRPr="00251614">
        <w:t xml:space="preserve">by conference call </w:t>
      </w:r>
      <w:r w:rsidRPr="00251614">
        <w:t xml:space="preserve">to approximately </w:t>
      </w:r>
      <w:proofErr w:type="gramStart"/>
      <w:r w:rsidR="00DD5E6F" w:rsidRPr="00251614">
        <w:t>5</w:t>
      </w:r>
      <w:proofErr w:type="gramEnd"/>
      <w:r w:rsidRPr="00251614">
        <w:t xml:space="preserve"> local trial courts who are engaged in drafting or reviewing memoranda of understanding and other agreements on information sharing with local child welfare, health, education and other agencies.</w:t>
      </w:r>
    </w:p>
    <w:p w:rsidR="009541D4" w:rsidRPr="00251614" w:rsidRDefault="009541D4" w:rsidP="009541D4">
      <w:pPr>
        <w:pStyle w:val="BodyTextIndent2"/>
        <w:numPr>
          <w:ilvl w:val="0"/>
          <w:numId w:val="18"/>
        </w:numPr>
        <w:spacing w:after="60" w:line="240" w:lineRule="auto"/>
        <w:ind w:left="1987" w:hanging="547"/>
        <w:jc w:val="both"/>
      </w:pPr>
      <w:r w:rsidRPr="00251614">
        <w:t>Develop a curriculum for family law professionals on information sharing in family law cases with juvenile court involvement.</w:t>
      </w:r>
    </w:p>
    <w:p w:rsidR="009541D4" w:rsidRPr="00251614" w:rsidRDefault="009541D4" w:rsidP="009541D4">
      <w:pPr>
        <w:pStyle w:val="BodyTextIndent2"/>
        <w:numPr>
          <w:ilvl w:val="0"/>
          <w:numId w:val="18"/>
        </w:numPr>
        <w:spacing w:after="60" w:line="240" w:lineRule="auto"/>
        <w:ind w:left="1987" w:hanging="547"/>
        <w:jc w:val="both"/>
      </w:pPr>
      <w:r w:rsidRPr="00251614">
        <w:t xml:space="preserve">Provide family law training at </w:t>
      </w:r>
      <w:proofErr w:type="gramStart"/>
      <w:r w:rsidRPr="00251614">
        <w:t>5</w:t>
      </w:r>
      <w:proofErr w:type="gramEnd"/>
      <w:r w:rsidRPr="00251614">
        <w:t xml:space="preserve"> regional trainings for family court services mediators and other professionals</w:t>
      </w:r>
      <w:r w:rsidR="00CE56DF" w:rsidRPr="00251614">
        <w:t xml:space="preserve"> </w:t>
      </w:r>
      <w:r w:rsidR="005A6016" w:rsidRPr="00251614">
        <w:t>including one county in the Sacramento area, two counties in the San Francisco Bay Area and two counties in the Los Angeles/San Bernardino area</w:t>
      </w:r>
      <w:r w:rsidRPr="00251614">
        <w:t>, and record webinar for distribution by the AOC.</w:t>
      </w:r>
    </w:p>
    <w:p w:rsidR="009541D4" w:rsidRPr="00251614" w:rsidRDefault="009541D4" w:rsidP="009541D4">
      <w:pPr>
        <w:pStyle w:val="BodyTextIndent2"/>
        <w:numPr>
          <w:ilvl w:val="0"/>
          <w:numId w:val="18"/>
        </w:numPr>
        <w:spacing w:after="0" w:line="240" w:lineRule="auto"/>
        <w:ind w:left="1980" w:hanging="540"/>
        <w:jc w:val="both"/>
      </w:pPr>
      <w:r w:rsidRPr="00251614">
        <w:t>Prepare a written guide for understanding Welfare and Institutions Code section 827.</w:t>
      </w:r>
    </w:p>
    <w:p w:rsidR="009541D4" w:rsidRPr="00251614" w:rsidRDefault="009541D4" w:rsidP="009541D4">
      <w:pPr>
        <w:pStyle w:val="BodyTextIndent2"/>
        <w:spacing w:after="0" w:line="240" w:lineRule="auto"/>
        <w:jc w:val="both"/>
      </w:pPr>
    </w:p>
    <w:p w:rsidR="00A50B42" w:rsidRPr="00251614" w:rsidRDefault="00AB2FC2" w:rsidP="0067317F">
      <w:pPr>
        <w:widowControl w:val="0"/>
        <w:jc w:val="both"/>
        <w:rPr>
          <w:b/>
          <w:bCs/>
        </w:rPr>
      </w:pPr>
      <w:r w:rsidRPr="00251614">
        <w:rPr>
          <w:b/>
          <w:bCs/>
        </w:rPr>
        <w:t>3.0</w:t>
      </w:r>
      <w:r w:rsidRPr="00251614">
        <w:rPr>
          <w:b/>
          <w:bCs/>
        </w:rPr>
        <w:tab/>
      </w:r>
      <w:r w:rsidR="00A50B42" w:rsidRPr="00251614">
        <w:rPr>
          <w:b/>
          <w:bCs/>
        </w:rPr>
        <w:t>TIMELINE FOR THIS RFP</w:t>
      </w:r>
    </w:p>
    <w:p w:rsidR="007A3FA2" w:rsidRPr="00251614" w:rsidRDefault="007A3FA2" w:rsidP="0067317F">
      <w:pPr>
        <w:widowControl w:val="0"/>
        <w:jc w:val="both"/>
        <w:rPr>
          <w:bCs/>
        </w:rPr>
      </w:pPr>
    </w:p>
    <w:p w:rsidR="00A50B42" w:rsidRPr="00251614" w:rsidRDefault="00A50B42" w:rsidP="0067317F">
      <w:pPr>
        <w:widowControl w:val="0"/>
        <w:ind w:left="720"/>
        <w:jc w:val="both"/>
        <w:rPr>
          <w:bCs/>
        </w:rPr>
      </w:pPr>
      <w:r w:rsidRPr="00251614">
        <w:rPr>
          <w:bCs/>
        </w:rPr>
        <w:t xml:space="preserve">The </w:t>
      </w:r>
      <w:r w:rsidR="00163BF0" w:rsidRPr="00251614">
        <w:rPr>
          <w:bCs/>
        </w:rPr>
        <w:t>AOC</w:t>
      </w:r>
      <w:r w:rsidRPr="00251614">
        <w:rPr>
          <w:bCs/>
        </w:rPr>
        <w:t xml:space="preserve"> has developed the following list of key events </w:t>
      </w:r>
      <w:r w:rsidR="00FC4A81" w:rsidRPr="00251614">
        <w:rPr>
          <w:bCs/>
        </w:rPr>
        <w:t>related to this RFP</w:t>
      </w:r>
      <w:r w:rsidRPr="00251614">
        <w:rPr>
          <w:bCs/>
        </w:rPr>
        <w:t xml:space="preserve">.  All dates are subject to change at the discretion of the </w:t>
      </w:r>
      <w:r w:rsidR="00163BF0" w:rsidRPr="00251614">
        <w:rPr>
          <w:bCs/>
        </w:rPr>
        <w:t>AOC</w:t>
      </w:r>
      <w:r w:rsidRPr="00251614">
        <w:rPr>
          <w:bCs/>
        </w:rPr>
        <w:t>.</w:t>
      </w:r>
      <w:r w:rsidR="000B2276" w:rsidRPr="00251614">
        <w:rPr>
          <w:bCs/>
        </w:rPr>
        <w:t xml:space="preserve"> </w:t>
      </w:r>
      <w:r w:rsidR="002D0CF1" w:rsidRPr="00251614">
        <w:rPr>
          <w:bCs/>
        </w:rPr>
        <w:t xml:space="preserve"> </w:t>
      </w:r>
    </w:p>
    <w:p w:rsidR="0075051E" w:rsidRPr="00251614" w:rsidRDefault="0075051E" w:rsidP="00B51506">
      <w:pPr>
        <w:widowControl w:val="0"/>
        <w:ind w:left="1440"/>
        <w:jc w:val="center"/>
        <w:rPr>
          <w:bCs/>
          <w:i/>
        </w:rPr>
      </w:pPr>
    </w:p>
    <w:tbl>
      <w:tblPr>
        <w:tblpPr w:leftFromText="187" w:rightFromText="187"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030"/>
      </w:tblGrid>
      <w:tr w:rsidR="0075051E" w:rsidRPr="00251614" w:rsidTr="00607ACF">
        <w:trPr>
          <w:trHeight w:val="485"/>
          <w:tblHeader/>
        </w:trPr>
        <w:tc>
          <w:tcPr>
            <w:tcW w:w="5148" w:type="dxa"/>
            <w:shd w:val="clear" w:color="auto" w:fill="E6E6E6"/>
            <w:vAlign w:val="center"/>
          </w:tcPr>
          <w:p w:rsidR="0075051E" w:rsidRPr="00251614" w:rsidRDefault="0075051E" w:rsidP="0075051E">
            <w:pPr>
              <w:widowControl w:val="0"/>
              <w:tabs>
                <w:tab w:val="left" w:pos="6354"/>
              </w:tabs>
              <w:ind w:right="-18"/>
              <w:jc w:val="center"/>
              <w:rPr>
                <w:b/>
                <w:bCs/>
                <w:sz w:val="22"/>
                <w:szCs w:val="22"/>
              </w:rPr>
            </w:pPr>
            <w:r w:rsidRPr="00251614">
              <w:rPr>
                <w:b/>
                <w:bCs/>
                <w:sz w:val="22"/>
                <w:szCs w:val="22"/>
              </w:rPr>
              <w:t>EVENT</w:t>
            </w:r>
          </w:p>
        </w:tc>
        <w:tc>
          <w:tcPr>
            <w:tcW w:w="3030" w:type="dxa"/>
            <w:shd w:val="clear" w:color="auto" w:fill="E6E6E6"/>
            <w:vAlign w:val="center"/>
          </w:tcPr>
          <w:p w:rsidR="0075051E" w:rsidRPr="00251614" w:rsidRDefault="0075051E" w:rsidP="0075051E">
            <w:pPr>
              <w:widowControl w:val="0"/>
              <w:ind w:left="-108" w:right="-108"/>
              <w:jc w:val="center"/>
              <w:rPr>
                <w:b/>
                <w:bCs/>
                <w:sz w:val="22"/>
                <w:szCs w:val="22"/>
              </w:rPr>
            </w:pPr>
            <w:r w:rsidRPr="00251614">
              <w:rPr>
                <w:b/>
                <w:bCs/>
                <w:sz w:val="22"/>
                <w:szCs w:val="22"/>
              </w:rPr>
              <w:t>DATE</w:t>
            </w:r>
          </w:p>
        </w:tc>
      </w:tr>
      <w:tr w:rsidR="004B52A6" w:rsidRPr="00251614" w:rsidTr="00CA43E2">
        <w:trPr>
          <w:trHeight w:val="298"/>
        </w:trPr>
        <w:tc>
          <w:tcPr>
            <w:tcW w:w="5148" w:type="dxa"/>
            <w:vAlign w:val="center"/>
          </w:tcPr>
          <w:p w:rsidR="004B52A6" w:rsidRPr="00251614" w:rsidRDefault="004B52A6" w:rsidP="004B52A6">
            <w:pPr>
              <w:widowControl w:val="0"/>
              <w:rPr>
                <w:bCs/>
                <w:sz w:val="22"/>
                <w:szCs w:val="22"/>
              </w:rPr>
            </w:pPr>
            <w:r w:rsidRPr="00251614">
              <w:rPr>
                <w:bCs/>
                <w:sz w:val="22"/>
                <w:szCs w:val="22"/>
              </w:rPr>
              <w:t>RFP issued</w:t>
            </w:r>
          </w:p>
        </w:tc>
        <w:tc>
          <w:tcPr>
            <w:tcW w:w="3030" w:type="dxa"/>
            <w:vAlign w:val="center"/>
          </w:tcPr>
          <w:p w:rsidR="004B52A6" w:rsidRPr="00251614" w:rsidRDefault="004B52A6" w:rsidP="00A3785C">
            <w:pPr>
              <w:spacing w:line="276" w:lineRule="auto"/>
              <w:jc w:val="center"/>
              <w:rPr>
                <w:rFonts w:eastAsiaTheme="minorHAnsi"/>
                <w:sz w:val="22"/>
                <w:szCs w:val="22"/>
              </w:rPr>
            </w:pPr>
            <w:r w:rsidRPr="00251614">
              <w:rPr>
                <w:sz w:val="22"/>
                <w:szCs w:val="22"/>
              </w:rPr>
              <w:t xml:space="preserve">April </w:t>
            </w:r>
            <w:r w:rsidR="002C5D55" w:rsidRPr="00251614">
              <w:rPr>
                <w:sz w:val="22"/>
                <w:szCs w:val="22"/>
              </w:rPr>
              <w:t>2</w:t>
            </w:r>
            <w:r w:rsidR="00A3785C" w:rsidRPr="00251614">
              <w:rPr>
                <w:sz w:val="22"/>
                <w:szCs w:val="22"/>
              </w:rPr>
              <w:t>4</w:t>
            </w:r>
            <w:r w:rsidRPr="00251614">
              <w:rPr>
                <w:sz w:val="22"/>
                <w:szCs w:val="22"/>
              </w:rPr>
              <w:t>, 2012</w:t>
            </w:r>
          </w:p>
        </w:tc>
      </w:tr>
      <w:tr w:rsidR="004B52A6" w:rsidRPr="00251614" w:rsidTr="00CA43E2">
        <w:trPr>
          <w:trHeight w:val="369"/>
        </w:trPr>
        <w:tc>
          <w:tcPr>
            <w:tcW w:w="5148" w:type="dxa"/>
            <w:vAlign w:val="center"/>
          </w:tcPr>
          <w:p w:rsidR="004B52A6" w:rsidRPr="00251614" w:rsidRDefault="004B52A6" w:rsidP="004B52A6">
            <w:pPr>
              <w:widowControl w:val="0"/>
              <w:rPr>
                <w:bCs/>
                <w:sz w:val="22"/>
                <w:szCs w:val="22"/>
              </w:rPr>
            </w:pPr>
            <w:r w:rsidRPr="00251614">
              <w:rPr>
                <w:bCs/>
                <w:sz w:val="22"/>
                <w:szCs w:val="22"/>
              </w:rPr>
              <w:t xml:space="preserve">Deadline for questions to </w:t>
            </w:r>
            <w:hyperlink r:id="rId12" w:history="1">
              <w:r w:rsidRPr="00251614">
                <w:t>Solicitations@jud.ca.gov</w:t>
              </w:r>
            </w:hyperlink>
          </w:p>
        </w:tc>
        <w:tc>
          <w:tcPr>
            <w:tcW w:w="3030" w:type="dxa"/>
            <w:vAlign w:val="center"/>
          </w:tcPr>
          <w:p w:rsidR="004B52A6" w:rsidRPr="00251614" w:rsidRDefault="004B52A6" w:rsidP="00056AED">
            <w:pPr>
              <w:spacing w:line="276" w:lineRule="auto"/>
              <w:jc w:val="center"/>
              <w:rPr>
                <w:rFonts w:eastAsiaTheme="minorHAnsi"/>
                <w:sz w:val="22"/>
                <w:szCs w:val="22"/>
              </w:rPr>
            </w:pPr>
            <w:r w:rsidRPr="00251614">
              <w:rPr>
                <w:sz w:val="22"/>
                <w:szCs w:val="22"/>
              </w:rPr>
              <w:t xml:space="preserve">April </w:t>
            </w:r>
            <w:r w:rsidR="002C5D55" w:rsidRPr="00251614">
              <w:rPr>
                <w:sz w:val="22"/>
                <w:szCs w:val="22"/>
              </w:rPr>
              <w:t>30</w:t>
            </w:r>
            <w:r w:rsidRPr="00251614">
              <w:rPr>
                <w:sz w:val="22"/>
                <w:szCs w:val="22"/>
              </w:rPr>
              <w:t xml:space="preserve">, 2012, </w:t>
            </w:r>
            <w:r w:rsidR="00056AED" w:rsidRPr="00251614">
              <w:rPr>
                <w:sz w:val="22"/>
                <w:szCs w:val="22"/>
              </w:rPr>
              <w:t>at 2:00 P.M.</w:t>
            </w:r>
          </w:p>
        </w:tc>
      </w:tr>
      <w:tr w:rsidR="004B52A6" w:rsidRPr="00251614" w:rsidTr="00CA43E2">
        <w:trPr>
          <w:trHeight w:val="352"/>
        </w:trPr>
        <w:tc>
          <w:tcPr>
            <w:tcW w:w="5148" w:type="dxa"/>
            <w:vAlign w:val="center"/>
          </w:tcPr>
          <w:p w:rsidR="004B52A6" w:rsidRPr="00251614" w:rsidRDefault="004B52A6" w:rsidP="004B52A6">
            <w:pPr>
              <w:widowControl w:val="0"/>
              <w:rPr>
                <w:bCs/>
                <w:sz w:val="22"/>
                <w:szCs w:val="22"/>
              </w:rPr>
            </w:pPr>
            <w:r w:rsidRPr="00251614">
              <w:rPr>
                <w:bCs/>
                <w:sz w:val="22"/>
                <w:szCs w:val="22"/>
              </w:rPr>
              <w:t>Questions and answers posted (estimate only)</w:t>
            </w:r>
          </w:p>
        </w:tc>
        <w:tc>
          <w:tcPr>
            <w:tcW w:w="3030" w:type="dxa"/>
            <w:vAlign w:val="center"/>
          </w:tcPr>
          <w:p w:rsidR="004B52A6" w:rsidRPr="00251614" w:rsidRDefault="002C5D55" w:rsidP="004B52A6">
            <w:pPr>
              <w:spacing w:line="276" w:lineRule="auto"/>
              <w:jc w:val="center"/>
              <w:rPr>
                <w:rFonts w:eastAsiaTheme="minorHAnsi"/>
                <w:sz w:val="22"/>
                <w:szCs w:val="22"/>
              </w:rPr>
            </w:pPr>
            <w:r w:rsidRPr="00251614">
              <w:rPr>
                <w:sz w:val="22"/>
                <w:szCs w:val="22"/>
              </w:rPr>
              <w:t>May 1</w:t>
            </w:r>
            <w:r w:rsidR="004B52A6" w:rsidRPr="00251614">
              <w:rPr>
                <w:sz w:val="22"/>
                <w:szCs w:val="22"/>
              </w:rPr>
              <w:t>, 2012</w:t>
            </w:r>
          </w:p>
        </w:tc>
      </w:tr>
      <w:tr w:rsidR="004B52A6" w:rsidRPr="00251614" w:rsidTr="00CA43E2">
        <w:trPr>
          <w:trHeight w:val="333"/>
        </w:trPr>
        <w:tc>
          <w:tcPr>
            <w:tcW w:w="5148" w:type="dxa"/>
            <w:vAlign w:val="center"/>
          </w:tcPr>
          <w:p w:rsidR="004B52A6" w:rsidRPr="00251614" w:rsidRDefault="004B52A6" w:rsidP="004B52A6">
            <w:pPr>
              <w:widowControl w:val="0"/>
              <w:rPr>
                <w:bCs/>
                <w:sz w:val="22"/>
                <w:szCs w:val="22"/>
              </w:rPr>
            </w:pPr>
            <w:r w:rsidRPr="00251614">
              <w:rPr>
                <w:bCs/>
                <w:sz w:val="22"/>
                <w:szCs w:val="22"/>
              </w:rPr>
              <w:t xml:space="preserve">Latest date and time proposal may be submitted </w:t>
            </w:r>
          </w:p>
        </w:tc>
        <w:tc>
          <w:tcPr>
            <w:tcW w:w="3030" w:type="dxa"/>
            <w:vAlign w:val="center"/>
          </w:tcPr>
          <w:p w:rsidR="004B52A6" w:rsidRPr="00251614" w:rsidRDefault="004B52A6" w:rsidP="00C0030A">
            <w:pPr>
              <w:spacing w:line="276" w:lineRule="auto"/>
              <w:jc w:val="center"/>
              <w:rPr>
                <w:rFonts w:eastAsiaTheme="minorHAnsi"/>
                <w:sz w:val="22"/>
                <w:szCs w:val="22"/>
              </w:rPr>
            </w:pPr>
            <w:r w:rsidRPr="00251614">
              <w:rPr>
                <w:sz w:val="22"/>
                <w:szCs w:val="22"/>
              </w:rPr>
              <w:t xml:space="preserve">May </w:t>
            </w:r>
            <w:r w:rsidR="002C5D55" w:rsidRPr="00251614">
              <w:rPr>
                <w:sz w:val="22"/>
                <w:szCs w:val="22"/>
              </w:rPr>
              <w:t>7</w:t>
            </w:r>
            <w:r w:rsidRPr="00251614">
              <w:rPr>
                <w:sz w:val="22"/>
                <w:szCs w:val="22"/>
              </w:rPr>
              <w:t xml:space="preserve">, 2012, at </w:t>
            </w:r>
            <w:r w:rsidR="00C0030A" w:rsidRPr="00251614">
              <w:rPr>
                <w:sz w:val="22"/>
                <w:szCs w:val="22"/>
              </w:rPr>
              <w:t>2</w:t>
            </w:r>
            <w:r w:rsidRPr="00251614">
              <w:rPr>
                <w:sz w:val="22"/>
                <w:szCs w:val="22"/>
              </w:rPr>
              <w:t>:00 P.M.</w:t>
            </w:r>
          </w:p>
        </w:tc>
      </w:tr>
      <w:tr w:rsidR="004B52A6" w:rsidRPr="00251614" w:rsidTr="00CA43E2">
        <w:trPr>
          <w:trHeight w:val="342"/>
        </w:trPr>
        <w:tc>
          <w:tcPr>
            <w:tcW w:w="5148" w:type="dxa"/>
            <w:vAlign w:val="center"/>
          </w:tcPr>
          <w:p w:rsidR="004B52A6" w:rsidRPr="00251614" w:rsidRDefault="004B52A6" w:rsidP="002C5D55">
            <w:pPr>
              <w:widowControl w:val="0"/>
              <w:rPr>
                <w:bCs/>
                <w:sz w:val="22"/>
                <w:szCs w:val="22"/>
              </w:rPr>
            </w:pPr>
            <w:r w:rsidRPr="00251614">
              <w:rPr>
                <w:bCs/>
                <w:sz w:val="22"/>
                <w:szCs w:val="22"/>
              </w:rPr>
              <w:t xml:space="preserve">Evaluation of proposals  </w:t>
            </w:r>
          </w:p>
          <w:p w:rsidR="0097078B" w:rsidRPr="00251614" w:rsidRDefault="0097078B" w:rsidP="00670E27">
            <w:pPr>
              <w:widowControl w:val="0"/>
              <w:rPr>
                <w:bCs/>
                <w:sz w:val="22"/>
                <w:szCs w:val="22"/>
              </w:rPr>
            </w:pPr>
          </w:p>
        </w:tc>
        <w:tc>
          <w:tcPr>
            <w:tcW w:w="3030" w:type="dxa"/>
            <w:vAlign w:val="center"/>
          </w:tcPr>
          <w:p w:rsidR="004B52A6" w:rsidRPr="00251614" w:rsidRDefault="004B52A6" w:rsidP="004B52A6">
            <w:pPr>
              <w:spacing w:line="276" w:lineRule="auto"/>
              <w:jc w:val="center"/>
              <w:rPr>
                <w:rFonts w:eastAsiaTheme="minorHAnsi"/>
                <w:sz w:val="22"/>
                <w:szCs w:val="22"/>
              </w:rPr>
            </w:pPr>
            <w:r w:rsidRPr="00251614">
              <w:rPr>
                <w:sz w:val="22"/>
                <w:szCs w:val="22"/>
              </w:rPr>
              <w:t xml:space="preserve">May 7 through May </w:t>
            </w:r>
            <w:r w:rsidR="00670E27" w:rsidRPr="00251614">
              <w:rPr>
                <w:sz w:val="22"/>
                <w:szCs w:val="22"/>
              </w:rPr>
              <w:t>9</w:t>
            </w:r>
            <w:r w:rsidRPr="00251614">
              <w:rPr>
                <w:sz w:val="22"/>
                <w:szCs w:val="22"/>
              </w:rPr>
              <w:t>, 2012</w:t>
            </w:r>
          </w:p>
        </w:tc>
      </w:tr>
      <w:tr w:rsidR="004B52A6" w:rsidRPr="00251614" w:rsidTr="00CA43E2">
        <w:trPr>
          <w:trHeight w:val="360"/>
        </w:trPr>
        <w:tc>
          <w:tcPr>
            <w:tcW w:w="5148" w:type="dxa"/>
            <w:vAlign w:val="center"/>
          </w:tcPr>
          <w:p w:rsidR="004B52A6" w:rsidRPr="00251614" w:rsidRDefault="004B52A6" w:rsidP="004B52A6">
            <w:pPr>
              <w:widowControl w:val="0"/>
              <w:rPr>
                <w:bCs/>
                <w:sz w:val="22"/>
                <w:szCs w:val="22"/>
              </w:rPr>
            </w:pPr>
            <w:r w:rsidRPr="00251614">
              <w:rPr>
                <w:bCs/>
                <w:sz w:val="22"/>
                <w:szCs w:val="22"/>
              </w:rPr>
              <w:t>Notice of Intent to Award (estimate only)</w:t>
            </w:r>
          </w:p>
        </w:tc>
        <w:tc>
          <w:tcPr>
            <w:tcW w:w="3030" w:type="dxa"/>
            <w:vAlign w:val="center"/>
          </w:tcPr>
          <w:p w:rsidR="004B52A6" w:rsidRPr="00251614" w:rsidRDefault="004B52A6" w:rsidP="004B52A6">
            <w:pPr>
              <w:spacing w:line="276" w:lineRule="auto"/>
              <w:jc w:val="center"/>
              <w:rPr>
                <w:rFonts w:eastAsiaTheme="minorHAnsi"/>
                <w:sz w:val="22"/>
                <w:szCs w:val="22"/>
              </w:rPr>
            </w:pPr>
            <w:r w:rsidRPr="00251614">
              <w:rPr>
                <w:sz w:val="22"/>
                <w:szCs w:val="22"/>
              </w:rPr>
              <w:t>May 14, 2012</w:t>
            </w:r>
          </w:p>
        </w:tc>
      </w:tr>
      <w:tr w:rsidR="004B52A6" w:rsidRPr="00251614" w:rsidTr="00CA43E2">
        <w:trPr>
          <w:trHeight w:val="352"/>
        </w:trPr>
        <w:tc>
          <w:tcPr>
            <w:tcW w:w="5148" w:type="dxa"/>
            <w:vAlign w:val="center"/>
          </w:tcPr>
          <w:p w:rsidR="004B52A6" w:rsidRPr="00251614" w:rsidRDefault="004B52A6" w:rsidP="004B52A6">
            <w:pPr>
              <w:widowControl w:val="0"/>
              <w:rPr>
                <w:bCs/>
                <w:sz w:val="22"/>
                <w:szCs w:val="22"/>
              </w:rPr>
            </w:pPr>
            <w:r w:rsidRPr="00251614">
              <w:rPr>
                <w:bCs/>
                <w:sz w:val="22"/>
                <w:szCs w:val="22"/>
              </w:rPr>
              <w:t>Negotiations and execution of contract (estimate only)</w:t>
            </w:r>
          </w:p>
        </w:tc>
        <w:tc>
          <w:tcPr>
            <w:tcW w:w="3030" w:type="dxa"/>
            <w:vAlign w:val="center"/>
          </w:tcPr>
          <w:p w:rsidR="004B52A6" w:rsidRPr="00251614" w:rsidRDefault="004B52A6" w:rsidP="004B52A6">
            <w:pPr>
              <w:spacing w:line="276" w:lineRule="auto"/>
              <w:jc w:val="center"/>
              <w:rPr>
                <w:rFonts w:eastAsiaTheme="minorHAnsi"/>
                <w:sz w:val="22"/>
                <w:szCs w:val="22"/>
              </w:rPr>
            </w:pPr>
            <w:r w:rsidRPr="00251614">
              <w:rPr>
                <w:sz w:val="22"/>
                <w:szCs w:val="22"/>
              </w:rPr>
              <w:t>May 14 through May 23, 2012</w:t>
            </w:r>
          </w:p>
        </w:tc>
      </w:tr>
      <w:tr w:rsidR="004B52A6" w:rsidRPr="00251614" w:rsidTr="00CA43E2">
        <w:trPr>
          <w:trHeight w:val="333"/>
        </w:trPr>
        <w:tc>
          <w:tcPr>
            <w:tcW w:w="5148" w:type="dxa"/>
            <w:vAlign w:val="center"/>
          </w:tcPr>
          <w:p w:rsidR="004B52A6" w:rsidRPr="00251614" w:rsidRDefault="004B52A6" w:rsidP="004B52A6">
            <w:pPr>
              <w:widowControl w:val="0"/>
              <w:rPr>
                <w:bCs/>
                <w:sz w:val="22"/>
                <w:szCs w:val="22"/>
              </w:rPr>
            </w:pPr>
            <w:r w:rsidRPr="00251614">
              <w:rPr>
                <w:bCs/>
                <w:sz w:val="22"/>
                <w:szCs w:val="22"/>
              </w:rPr>
              <w:t>Notice of Award (estimate only)</w:t>
            </w:r>
          </w:p>
        </w:tc>
        <w:tc>
          <w:tcPr>
            <w:tcW w:w="3030" w:type="dxa"/>
            <w:vAlign w:val="center"/>
          </w:tcPr>
          <w:p w:rsidR="004B52A6" w:rsidRPr="00251614" w:rsidRDefault="004B52A6" w:rsidP="004B52A6">
            <w:pPr>
              <w:spacing w:line="276" w:lineRule="auto"/>
              <w:jc w:val="center"/>
              <w:rPr>
                <w:rFonts w:eastAsiaTheme="minorHAnsi"/>
                <w:sz w:val="22"/>
                <w:szCs w:val="22"/>
              </w:rPr>
            </w:pPr>
            <w:r w:rsidRPr="00251614">
              <w:rPr>
                <w:sz w:val="22"/>
                <w:szCs w:val="22"/>
              </w:rPr>
              <w:t>May  30, 2012</w:t>
            </w:r>
          </w:p>
        </w:tc>
      </w:tr>
      <w:tr w:rsidR="004B52A6" w:rsidRPr="00251614" w:rsidTr="00CA43E2">
        <w:trPr>
          <w:trHeight w:val="334"/>
        </w:trPr>
        <w:tc>
          <w:tcPr>
            <w:tcW w:w="5148" w:type="dxa"/>
            <w:vAlign w:val="center"/>
          </w:tcPr>
          <w:p w:rsidR="004B52A6" w:rsidRPr="00251614" w:rsidRDefault="004B52A6" w:rsidP="004B52A6">
            <w:pPr>
              <w:widowControl w:val="0"/>
              <w:rPr>
                <w:bCs/>
                <w:sz w:val="22"/>
                <w:szCs w:val="22"/>
              </w:rPr>
            </w:pPr>
            <w:r w:rsidRPr="00251614">
              <w:rPr>
                <w:bCs/>
                <w:sz w:val="22"/>
                <w:szCs w:val="22"/>
              </w:rPr>
              <w:t>Contract start date  (estimate only)</w:t>
            </w:r>
          </w:p>
        </w:tc>
        <w:tc>
          <w:tcPr>
            <w:tcW w:w="3030" w:type="dxa"/>
            <w:vAlign w:val="center"/>
          </w:tcPr>
          <w:p w:rsidR="004B52A6" w:rsidRPr="00251614" w:rsidRDefault="004B52A6" w:rsidP="004B52A6">
            <w:pPr>
              <w:spacing w:line="276" w:lineRule="auto"/>
              <w:jc w:val="center"/>
              <w:rPr>
                <w:rFonts w:eastAsiaTheme="minorHAnsi"/>
                <w:sz w:val="22"/>
                <w:szCs w:val="22"/>
              </w:rPr>
            </w:pPr>
            <w:r w:rsidRPr="00251614">
              <w:rPr>
                <w:sz w:val="22"/>
                <w:szCs w:val="22"/>
              </w:rPr>
              <w:t xml:space="preserve">June </w:t>
            </w:r>
            <w:r w:rsidR="00670E27" w:rsidRPr="00251614">
              <w:rPr>
                <w:sz w:val="22"/>
                <w:szCs w:val="22"/>
              </w:rPr>
              <w:t>22</w:t>
            </w:r>
            <w:r w:rsidRPr="00251614">
              <w:rPr>
                <w:sz w:val="22"/>
                <w:szCs w:val="22"/>
              </w:rPr>
              <w:t xml:space="preserve">, 2012 </w:t>
            </w:r>
          </w:p>
        </w:tc>
      </w:tr>
      <w:tr w:rsidR="004B52A6" w:rsidRPr="00251614" w:rsidTr="00CA43E2">
        <w:trPr>
          <w:trHeight w:val="352"/>
        </w:trPr>
        <w:tc>
          <w:tcPr>
            <w:tcW w:w="5148" w:type="dxa"/>
            <w:vAlign w:val="center"/>
          </w:tcPr>
          <w:p w:rsidR="004B52A6" w:rsidRPr="00251614" w:rsidRDefault="004B52A6" w:rsidP="004B52A6">
            <w:pPr>
              <w:widowControl w:val="0"/>
              <w:rPr>
                <w:bCs/>
                <w:sz w:val="22"/>
                <w:szCs w:val="22"/>
              </w:rPr>
            </w:pPr>
            <w:r w:rsidRPr="00251614">
              <w:rPr>
                <w:bCs/>
                <w:sz w:val="22"/>
                <w:szCs w:val="22"/>
              </w:rPr>
              <w:t>Contract end date  (estimate only)</w:t>
            </w:r>
          </w:p>
        </w:tc>
        <w:tc>
          <w:tcPr>
            <w:tcW w:w="3030" w:type="dxa"/>
            <w:vAlign w:val="center"/>
          </w:tcPr>
          <w:p w:rsidR="004B52A6" w:rsidRPr="00251614" w:rsidRDefault="00311FBE" w:rsidP="002C5D55">
            <w:pPr>
              <w:spacing w:line="276" w:lineRule="auto"/>
              <w:jc w:val="center"/>
              <w:rPr>
                <w:rFonts w:eastAsiaTheme="minorHAnsi"/>
                <w:sz w:val="22"/>
                <w:szCs w:val="22"/>
              </w:rPr>
            </w:pPr>
            <w:r w:rsidRPr="00251614">
              <w:rPr>
                <w:sz w:val="22"/>
                <w:szCs w:val="22"/>
              </w:rPr>
              <w:t>September 28</w:t>
            </w:r>
            <w:r w:rsidR="004B52A6" w:rsidRPr="00251614">
              <w:rPr>
                <w:sz w:val="22"/>
                <w:szCs w:val="22"/>
              </w:rPr>
              <w:t>, 201</w:t>
            </w:r>
            <w:r w:rsidR="002C5D55" w:rsidRPr="00251614">
              <w:rPr>
                <w:sz w:val="22"/>
                <w:szCs w:val="22"/>
              </w:rPr>
              <w:t>2</w:t>
            </w:r>
          </w:p>
        </w:tc>
      </w:tr>
    </w:tbl>
    <w:p w:rsidR="0075051E" w:rsidRPr="00251614" w:rsidRDefault="0075051E" w:rsidP="00B51506">
      <w:pPr>
        <w:widowControl w:val="0"/>
        <w:ind w:left="1440"/>
        <w:jc w:val="center"/>
        <w:rPr>
          <w:bCs/>
          <w:i/>
        </w:rPr>
      </w:pPr>
    </w:p>
    <w:p w:rsidR="007A3FA2" w:rsidRPr="00251614" w:rsidRDefault="007A3FA2" w:rsidP="00B51506">
      <w:pPr>
        <w:widowControl w:val="0"/>
        <w:ind w:left="1440"/>
        <w:jc w:val="center"/>
        <w:rPr>
          <w:bCs/>
          <w:i/>
        </w:rPr>
      </w:pPr>
    </w:p>
    <w:p w:rsidR="007A3FA2" w:rsidRPr="00251614" w:rsidRDefault="007A3FA2" w:rsidP="00B51506">
      <w:pPr>
        <w:widowControl w:val="0"/>
        <w:ind w:left="1440"/>
        <w:jc w:val="center"/>
        <w:rPr>
          <w:bCs/>
          <w:i/>
        </w:rPr>
      </w:pPr>
    </w:p>
    <w:p w:rsidR="007A3FA2" w:rsidRPr="00251614" w:rsidRDefault="007A3FA2" w:rsidP="00B51506">
      <w:pPr>
        <w:widowControl w:val="0"/>
        <w:ind w:left="1440"/>
        <w:jc w:val="center"/>
        <w:rPr>
          <w:bCs/>
          <w:i/>
        </w:rPr>
      </w:pPr>
    </w:p>
    <w:p w:rsidR="007A3FA2" w:rsidRPr="00251614" w:rsidRDefault="007A3FA2" w:rsidP="00B51506">
      <w:pPr>
        <w:widowControl w:val="0"/>
        <w:ind w:left="1440"/>
        <w:jc w:val="center"/>
        <w:rPr>
          <w:bCs/>
          <w:i/>
        </w:rPr>
      </w:pPr>
    </w:p>
    <w:p w:rsidR="007A3FA2" w:rsidRPr="00251614" w:rsidRDefault="007A3FA2" w:rsidP="00B51506">
      <w:pPr>
        <w:widowControl w:val="0"/>
        <w:ind w:left="1440"/>
        <w:jc w:val="center"/>
        <w:rPr>
          <w:bCs/>
          <w:i/>
        </w:rPr>
      </w:pPr>
    </w:p>
    <w:p w:rsidR="00A50B42" w:rsidRPr="00251614" w:rsidRDefault="00A50B42" w:rsidP="0067317F">
      <w:pPr>
        <w:pStyle w:val="ListParagraph"/>
        <w:jc w:val="both"/>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7A3FA2" w:rsidRPr="00251614" w:rsidRDefault="007A3FA2" w:rsidP="007A3FA2">
      <w:pPr>
        <w:pStyle w:val="ListParagraph"/>
        <w:jc w:val="center"/>
      </w:pPr>
    </w:p>
    <w:p w:rsidR="0097078B" w:rsidRPr="00251614" w:rsidRDefault="0097078B" w:rsidP="007A3FA2">
      <w:pPr>
        <w:pStyle w:val="ListParagraph"/>
        <w:jc w:val="center"/>
      </w:pPr>
    </w:p>
    <w:p w:rsidR="001C1E56" w:rsidRPr="00251614" w:rsidRDefault="001C1E56" w:rsidP="0067317F">
      <w:pPr>
        <w:keepNext/>
        <w:ind w:left="720" w:hanging="720"/>
        <w:jc w:val="both"/>
        <w:rPr>
          <w:b/>
          <w:bCs/>
        </w:rPr>
      </w:pPr>
      <w:r w:rsidRPr="00251614">
        <w:rPr>
          <w:b/>
          <w:bCs/>
        </w:rPr>
        <w:lastRenderedPageBreak/>
        <w:t>4.0</w:t>
      </w:r>
      <w:r w:rsidRPr="00251614">
        <w:rPr>
          <w:b/>
          <w:bCs/>
        </w:rPr>
        <w:tab/>
        <w:t>RFP ATTACHMENTS</w:t>
      </w:r>
    </w:p>
    <w:p w:rsidR="006A5249" w:rsidRPr="00251614" w:rsidRDefault="006A5249" w:rsidP="0067317F">
      <w:pPr>
        <w:keepNext/>
        <w:ind w:left="720"/>
        <w:jc w:val="both"/>
        <w:rPr>
          <w:sz w:val="20"/>
          <w:szCs w:val="20"/>
        </w:rPr>
      </w:pPr>
    </w:p>
    <w:p w:rsidR="001C1E56" w:rsidRPr="00251614" w:rsidRDefault="001C1E56" w:rsidP="0067317F">
      <w:pPr>
        <w:keepNext/>
        <w:ind w:left="720"/>
        <w:jc w:val="both"/>
      </w:pPr>
      <w:r w:rsidRPr="00251614">
        <w:t>The following attachments are included as part of this RFP</w:t>
      </w:r>
    </w:p>
    <w:p w:rsidR="006A5249" w:rsidRPr="00251614" w:rsidRDefault="006A5249" w:rsidP="0067317F">
      <w:pPr>
        <w:keepNext/>
        <w:ind w:left="720"/>
        <w:jc w:val="both"/>
        <w:rPr>
          <w:sz w:val="16"/>
          <w:szCs w:val="16"/>
        </w:rPr>
      </w:pPr>
    </w:p>
    <w:tbl>
      <w:tblPr>
        <w:tblStyle w:val="TableGrid"/>
        <w:tblW w:w="0" w:type="auto"/>
        <w:tblInd w:w="828" w:type="dxa"/>
        <w:tblLook w:val="04A0"/>
      </w:tblPr>
      <w:tblGrid>
        <w:gridCol w:w="2250"/>
        <w:gridCol w:w="7290"/>
      </w:tblGrid>
      <w:tr w:rsidR="00C67597" w:rsidRPr="00251614" w:rsidTr="00A3785C">
        <w:trPr>
          <w:trHeight w:val="503"/>
        </w:trPr>
        <w:tc>
          <w:tcPr>
            <w:tcW w:w="2250" w:type="dxa"/>
            <w:shd w:val="clear" w:color="auto" w:fill="F2F2F2" w:themeFill="background1" w:themeFillShade="F2"/>
            <w:vAlign w:val="center"/>
          </w:tcPr>
          <w:p w:rsidR="00C67597" w:rsidRPr="00251614" w:rsidRDefault="00C67597" w:rsidP="00B51506">
            <w:pPr>
              <w:keepNext/>
              <w:rPr>
                <w:b/>
                <w:bCs/>
                <w:sz w:val="22"/>
                <w:szCs w:val="22"/>
              </w:rPr>
            </w:pPr>
            <w:r w:rsidRPr="00251614">
              <w:rPr>
                <w:b/>
                <w:bCs/>
                <w:sz w:val="22"/>
                <w:szCs w:val="22"/>
              </w:rPr>
              <w:t>ATTACHMENT</w:t>
            </w:r>
          </w:p>
        </w:tc>
        <w:tc>
          <w:tcPr>
            <w:tcW w:w="7290" w:type="dxa"/>
            <w:shd w:val="clear" w:color="auto" w:fill="F2F2F2" w:themeFill="background1" w:themeFillShade="F2"/>
            <w:vAlign w:val="center"/>
          </w:tcPr>
          <w:p w:rsidR="00C67597" w:rsidRPr="00251614" w:rsidRDefault="00C67597" w:rsidP="00B51506">
            <w:pPr>
              <w:keepNext/>
              <w:rPr>
                <w:b/>
                <w:bCs/>
                <w:sz w:val="22"/>
                <w:szCs w:val="22"/>
              </w:rPr>
            </w:pPr>
            <w:r w:rsidRPr="00251614">
              <w:rPr>
                <w:b/>
                <w:bCs/>
                <w:sz w:val="22"/>
                <w:szCs w:val="22"/>
              </w:rPr>
              <w:t>DESCRIPTION</w:t>
            </w:r>
          </w:p>
        </w:tc>
      </w:tr>
      <w:tr w:rsidR="00C67597" w:rsidRPr="00251614" w:rsidTr="00A3785C">
        <w:tc>
          <w:tcPr>
            <w:tcW w:w="2250" w:type="dxa"/>
          </w:tcPr>
          <w:p w:rsidR="00C67597" w:rsidRPr="00251614" w:rsidRDefault="00C67597" w:rsidP="00B51506">
            <w:pPr>
              <w:keepNext/>
              <w:rPr>
                <w:b/>
                <w:bCs/>
                <w:sz w:val="22"/>
                <w:szCs w:val="22"/>
              </w:rPr>
            </w:pPr>
            <w:r w:rsidRPr="00251614">
              <w:rPr>
                <w:bCs/>
                <w:sz w:val="22"/>
                <w:szCs w:val="22"/>
              </w:rPr>
              <w:t>Attachment 1: Administrative Rules Governing RFPs (Non-IT Services)</w:t>
            </w:r>
          </w:p>
        </w:tc>
        <w:tc>
          <w:tcPr>
            <w:tcW w:w="7290" w:type="dxa"/>
          </w:tcPr>
          <w:p w:rsidR="00C67597" w:rsidRPr="00251614" w:rsidRDefault="00C67597" w:rsidP="00B51506">
            <w:pPr>
              <w:keepNext/>
              <w:rPr>
                <w:b/>
                <w:bCs/>
                <w:sz w:val="22"/>
                <w:szCs w:val="22"/>
              </w:rPr>
            </w:pPr>
            <w:r w:rsidRPr="00251614">
              <w:rPr>
                <w:sz w:val="22"/>
                <w:szCs w:val="22"/>
              </w:rPr>
              <w:t>These rules govern this solicitation</w:t>
            </w:r>
          </w:p>
        </w:tc>
      </w:tr>
      <w:tr w:rsidR="00C67597" w:rsidRPr="00251614" w:rsidTr="00A3785C">
        <w:tc>
          <w:tcPr>
            <w:tcW w:w="2250" w:type="dxa"/>
          </w:tcPr>
          <w:p w:rsidR="00C67597" w:rsidRPr="00251614" w:rsidRDefault="00C67597" w:rsidP="00B51506">
            <w:pPr>
              <w:keepNext/>
              <w:rPr>
                <w:b/>
                <w:bCs/>
                <w:sz w:val="22"/>
                <w:szCs w:val="22"/>
              </w:rPr>
            </w:pPr>
            <w:r w:rsidRPr="00251614">
              <w:rPr>
                <w:bCs/>
                <w:sz w:val="22"/>
                <w:szCs w:val="22"/>
              </w:rPr>
              <w:t xml:space="preserve">Attachment </w:t>
            </w:r>
            <w:r w:rsidRPr="00251614">
              <w:rPr>
                <w:sz w:val="22"/>
                <w:szCs w:val="22"/>
              </w:rPr>
              <w:t xml:space="preserve">2:  </w:t>
            </w:r>
            <w:r w:rsidR="00163BF0" w:rsidRPr="00251614">
              <w:rPr>
                <w:sz w:val="22"/>
                <w:szCs w:val="22"/>
              </w:rPr>
              <w:t>AOC</w:t>
            </w:r>
            <w:r w:rsidRPr="00251614">
              <w:rPr>
                <w:sz w:val="22"/>
                <w:szCs w:val="22"/>
              </w:rPr>
              <w:t xml:space="preserve"> Standard Terms and Conditions</w:t>
            </w:r>
          </w:p>
        </w:tc>
        <w:tc>
          <w:tcPr>
            <w:tcW w:w="7290" w:type="dxa"/>
          </w:tcPr>
          <w:p w:rsidR="00C67597" w:rsidRPr="00251614" w:rsidRDefault="00C67597" w:rsidP="00B51506">
            <w:pPr>
              <w:keepNext/>
              <w:rPr>
                <w:sz w:val="22"/>
                <w:szCs w:val="22"/>
              </w:rPr>
            </w:pPr>
            <w:r w:rsidRPr="00251614">
              <w:rPr>
                <w:sz w:val="22"/>
                <w:szCs w:val="22"/>
              </w:rPr>
              <w:t xml:space="preserve">If selected, the person or entity submitting a proposal (the “Proposer”) must sign </w:t>
            </w:r>
            <w:r w:rsidR="00552B85" w:rsidRPr="00251614">
              <w:rPr>
                <w:sz w:val="22"/>
                <w:szCs w:val="22"/>
              </w:rPr>
              <w:t>an</w:t>
            </w:r>
            <w:r w:rsidRPr="00251614">
              <w:rPr>
                <w:sz w:val="22"/>
                <w:szCs w:val="22"/>
              </w:rPr>
              <w:t xml:space="preserve"> </w:t>
            </w:r>
            <w:r w:rsidR="00163BF0" w:rsidRPr="00251614">
              <w:rPr>
                <w:sz w:val="22"/>
                <w:szCs w:val="22"/>
              </w:rPr>
              <w:t>AOC</w:t>
            </w:r>
            <w:r w:rsidRPr="00251614">
              <w:rPr>
                <w:sz w:val="22"/>
                <w:szCs w:val="22"/>
              </w:rPr>
              <w:t xml:space="preserve"> Standard Form agreement containing these terms and conditions (the “Terms and Conditions”).  </w:t>
            </w:r>
          </w:p>
          <w:p w:rsidR="00C67597" w:rsidRPr="00251614" w:rsidRDefault="00C67597" w:rsidP="00B51506">
            <w:pPr>
              <w:keepNext/>
              <w:rPr>
                <w:sz w:val="12"/>
                <w:szCs w:val="12"/>
              </w:rPr>
            </w:pPr>
          </w:p>
          <w:p w:rsidR="00C67597" w:rsidRPr="00251614" w:rsidRDefault="00C67597" w:rsidP="00B51506">
            <w:pPr>
              <w:widowControl w:val="0"/>
              <w:tabs>
                <w:tab w:val="left" w:pos="2178"/>
              </w:tabs>
              <w:rPr>
                <w:b/>
                <w:bCs/>
                <w:sz w:val="22"/>
                <w:szCs w:val="22"/>
              </w:rPr>
            </w:pPr>
            <w:r w:rsidRPr="00251614">
              <w:rPr>
                <w:sz w:val="22"/>
                <w:szCs w:val="22"/>
              </w:rPr>
              <w:t xml:space="preserve">The provisions marked with an (*) within the Terms and Conditions are minimum contract terms and conditions (“Minimum Terms”).  </w:t>
            </w:r>
          </w:p>
        </w:tc>
      </w:tr>
      <w:tr w:rsidR="00C67597" w:rsidRPr="00251614" w:rsidTr="00A3785C">
        <w:tc>
          <w:tcPr>
            <w:tcW w:w="2250" w:type="dxa"/>
          </w:tcPr>
          <w:p w:rsidR="00C67597" w:rsidRPr="00251614" w:rsidRDefault="00C67597" w:rsidP="006D39C7">
            <w:pPr>
              <w:keepNext/>
              <w:ind w:right="-108"/>
              <w:rPr>
                <w:b/>
                <w:bCs/>
                <w:sz w:val="22"/>
                <w:szCs w:val="22"/>
              </w:rPr>
            </w:pPr>
            <w:r w:rsidRPr="00251614">
              <w:rPr>
                <w:bCs/>
                <w:sz w:val="22"/>
                <w:szCs w:val="22"/>
              </w:rPr>
              <w:t xml:space="preserve">Attachment </w:t>
            </w:r>
            <w:r w:rsidRPr="00251614">
              <w:rPr>
                <w:sz w:val="22"/>
                <w:szCs w:val="22"/>
              </w:rPr>
              <w:t xml:space="preserve">3: </w:t>
            </w:r>
            <w:r w:rsidR="00B1346D" w:rsidRPr="00251614">
              <w:rPr>
                <w:sz w:val="22"/>
                <w:szCs w:val="22"/>
              </w:rPr>
              <w:t xml:space="preserve"> </w:t>
            </w:r>
            <w:r w:rsidRPr="00251614">
              <w:rPr>
                <w:sz w:val="22"/>
                <w:szCs w:val="22"/>
              </w:rPr>
              <w:t>Proposer’s Acceptance  of Terms and Conditions</w:t>
            </w:r>
          </w:p>
        </w:tc>
        <w:tc>
          <w:tcPr>
            <w:tcW w:w="7290" w:type="dxa"/>
          </w:tcPr>
          <w:p w:rsidR="00C67597" w:rsidRPr="00251614" w:rsidRDefault="00C67597" w:rsidP="00B51506">
            <w:pPr>
              <w:widowControl w:val="0"/>
              <w:tabs>
                <w:tab w:val="left" w:pos="2178"/>
              </w:tabs>
              <w:rPr>
                <w:sz w:val="22"/>
                <w:szCs w:val="22"/>
              </w:rPr>
            </w:pPr>
            <w:r w:rsidRPr="00251614">
              <w:rPr>
                <w:sz w:val="22"/>
                <w:szCs w:val="22"/>
              </w:rPr>
              <w:t xml:space="preserve">On this form, the Proposer must indicate acceptance of the Terms and Conditions or identify exceptions to the Terms and Conditions.  </w:t>
            </w:r>
          </w:p>
          <w:p w:rsidR="00C67597" w:rsidRPr="00251614" w:rsidRDefault="00C67597" w:rsidP="00B51506">
            <w:pPr>
              <w:keepNext/>
              <w:rPr>
                <w:b/>
                <w:bCs/>
                <w:sz w:val="22"/>
                <w:szCs w:val="22"/>
              </w:rPr>
            </w:pPr>
          </w:p>
        </w:tc>
      </w:tr>
      <w:tr w:rsidR="00B1346D" w:rsidRPr="00251614" w:rsidTr="00A3785C">
        <w:tc>
          <w:tcPr>
            <w:tcW w:w="2250" w:type="dxa"/>
          </w:tcPr>
          <w:p w:rsidR="00B1346D" w:rsidRPr="00251614" w:rsidRDefault="00B1346D" w:rsidP="00B1346D">
            <w:pPr>
              <w:widowControl w:val="0"/>
              <w:rPr>
                <w:bCs/>
                <w:sz w:val="22"/>
                <w:szCs w:val="22"/>
              </w:rPr>
            </w:pPr>
            <w:r w:rsidRPr="00251614">
              <w:rPr>
                <w:bCs/>
                <w:sz w:val="22"/>
                <w:szCs w:val="22"/>
              </w:rPr>
              <w:t xml:space="preserve">Attachment </w:t>
            </w:r>
            <w:r w:rsidRPr="00251614">
              <w:rPr>
                <w:sz w:val="22"/>
                <w:szCs w:val="22"/>
              </w:rPr>
              <w:t>4: Payee Data Record Form</w:t>
            </w:r>
          </w:p>
        </w:tc>
        <w:tc>
          <w:tcPr>
            <w:tcW w:w="7290" w:type="dxa"/>
          </w:tcPr>
          <w:p w:rsidR="00B1346D" w:rsidRPr="00251614" w:rsidRDefault="00B1346D" w:rsidP="00380DB4">
            <w:pPr>
              <w:widowControl w:val="0"/>
              <w:rPr>
                <w:bCs/>
                <w:sz w:val="22"/>
                <w:szCs w:val="22"/>
              </w:rPr>
            </w:pPr>
            <w:r w:rsidRPr="00251614">
              <w:rPr>
                <w:bCs/>
                <w:sz w:val="22"/>
                <w:szCs w:val="22"/>
              </w:rPr>
              <w:t>This form contains information the AOC requires in order to process payments.</w:t>
            </w:r>
          </w:p>
        </w:tc>
      </w:tr>
      <w:tr w:rsidR="00C67597" w:rsidRPr="00251614" w:rsidTr="00A3785C">
        <w:tc>
          <w:tcPr>
            <w:tcW w:w="2250" w:type="dxa"/>
          </w:tcPr>
          <w:p w:rsidR="00C67597" w:rsidRPr="00251614" w:rsidRDefault="00C67597" w:rsidP="00B1346D">
            <w:pPr>
              <w:keepNext/>
              <w:rPr>
                <w:b/>
                <w:bCs/>
                <w:sz w:val="22"/>
                <w:szCs w:val="22"/>
              </w:rPr>
            </w:pPr>
            <w:r w:rsidRPr="00251614">
              <w:rPr>
                <w:bCs/>
                <w:sz w:val="22"/>
                <w:szCs w:val="22"/>
              </w:rPr>
              <w:t xml:space="preserve">Attachment </w:t>
            </w:r>
            <w:r w:rsidR="00B1346D" w:rsidRPr="00251614">
              <w:rPr>
                <w:bCs/>
                <w:sz w:val="22"/>
                <w:szCs w:val="22"/>
              </w:rPr>
              <w:t>5</w:t>
            </w:r>
            <w:r w:rsidRPr="00251614">
              <w:rPr>
                <w:bCs/>
                <w:sz w:val="22"/>
                <w:szCs w:val="22"/>
              </w:rPr>
              <w:t>: Darfur Contracting Act Certification</w:t>
            </w:r>
          </w:p>
        </w:tc>
        <w:tc>
          <w:tcPr>
            <w:tcW w:w="7290" w:type="dxa"/>
          </w:tcPr>
          <w:p w:rsidR="00C67597" w:rsidRPr="00251614" w:rsidRDefault="00C67597" w:rsidP="00B51506">
            <w:pPr>
              <w:widowControl w:val="0"/>
              <w:rPr>
                <w:sz w:val="22"/>
                <w:szCs w:val="22"/>
              </w:rPr>
            </w:pPr>
            <w:r w:rsidRPr="00251614">
              <w:rPr>
                <w:sz w:val="22"/>
                <w:szCs w:val="22"/>
              </w:rPr>
              <w:t>Proposer must complete the Darfur Contracting Act Certification and submit the completed certification with its proposal.</w:t>
            </w:r>
          </w:p>
          <w:p w:rsidR="00C67597" w:rsidRPr="00251614" w:rsidRDefault="00C67597" w:rsidP="00B51506">
            <w:pPr>
              <w:keepNext/>
              <w:rPr>
                <w:b/>
                <w:bCs/>
                <w:sz w:val="22"/>
                <w:szCs w:val="22"/>
              </w:rPr>
            </w:pPr>
          </w:p>
        </w:tc>
      </w:tr>
      <w:tr w:rsidR="00B1346D" w:rsidRPr="00251614" w:rsidTr="00A3785C">
        <w:tc>
          <w:tcPr>
            <w:tcW w:w="2250" w:type="dxa"/>
          </w:tcPr>
          <w:p w:rsidR="00B1346D" w:rsidRPr="00251614" w:rsidRDefault="00B1346D" w:rsidP="00B1346D">
            <w:pPr>
              <w:widowControl w:val="0"/>
              <w:rPr>
                <w:bCs/>
                <w:sz w:val="22"/>
                <w:szCs w:val="22"/>
              </w:rPr>
            </w:pPr>
            <w:r w:rsidRPr="00251614">
              <w:rPr>
                <w:bCs/>
                <w:sz w:val="22"/>
                <w:szCs w:val="22"/>
              </w:rPr>
              <w:t xml:space="preserve">Attachment 6: </w:t>
            </w:r>
            <w:r w:rsidRPr="00251614">
              <w:rPr>
                <w:sz w:val="22"/>
                <w:szCs w:val="22"/>
              </w:rPr>
              <w:t xml:space="preserve"> Conflict of Interest Certification Form</w:t>
            </w:r>
          </w:p>
        </w:tc>
        <w:tc>
          <w:tcPr>
            <w:tcW w:w="7290" w:type="dxa"/>
          </w:tcPr>
          <w:p w:rsidR="00B1346D" w:rsidRPr="00251614" w:rsidRDefault="00B1346D" w:rsidP="00B1346D">
            <w:pPr>
              <w:widowControl w:val="0"/>
              <w:rPr>
                <w:sz w:val="22"/>
                <w:szCs w:val="22"/>
              </w:rPr>
            </w:pPr>
            <w:r w:rsidRPr="00251614">
              <w:rPr>
                <w:sz w:val="22"/>
                <w:szCs w:val="22"/>
              </w:rPr>
              <w:t>Proposer must complete Conflict of Interest Certification and submit the completed certification with its proposal</w:t>
            </w:r>
          </w:p>
        </w:tc>
      </w:tr>
    </w:tbl>
    <w:p w:rsidR="002C5D55" w:rsidRPr="00251614" w:rsidRDefault="002C5D55" w:rsidP="0067317F">
      <w:pPr>
        <w:keepNext/>
        <w:ind w:left="720" w:hanging="720"/>
        <w:jc w:val="both"/>
        <w:rPr>
          <w:b/>
          <w:bCs/>
        </w:rPr>
      </w:pPr>
    </w:p>
    <w:p w:rsidR="00C67597" w:rsidRPr="00251614" w:rsidRDefault="00C67597" w:rsidP="0067317F">
      <w:pPr>
        <w:keepNext/>
        <w:ind w:left="720" w:hanging="720"/>
        <w:jc w:val="both"/>
        <w:rPr>
          <w:b/>
          <w:bCs/>
        </w:rPr>
      </w:pPr>
      <w:r w:rsidRPr="00251614">
        <w:rPr>
          <w:b/>
          <w:bCs/>
        </w:rPr>
        <w:t>5.0</w:t>
      </w:r>
      <w:r w:rsidRPr="00251614">
        <w:rPr>
          <w:b/>
          <w:bCs/>
        </w:rPr>
        <w:tab/>
      </w:r>
      <w:r w:rsidR="007A3FA2" w:rsidRPr="00251614">
        <w:rPr>
          <w:b/>
          <w:bCs/>
        </w:rPr>
        <w:t>S</w:t>
      </w:r>
      <w:r w:rsidRPr="00251614">
        <w:rPr>
          <w:b/>
          <w:bCs/>
        </w:rPr>
        <w:t>UBMISSIONS OF PROPOSALS</w:t>
      </w:r>
    </w:p>
    <w:p w:rsidR="00C67597" w:rsidRPr="00251614" w:rsidRDefault="00C67597" w:rsidP="0067317F">
      <w:pPr>
        <w:keepNext/>
        <w:jc w:val="both"/>
        <w:rPr>
          <w:sz w:val="20"/>
          <w:szCs w:val="20"/>
        </w:rPr>
      </w:pPr>
    </w:p>
    <w:p w:rsidR="004642C5" w:rsidRPr="00251614" w:rsidRDefault="004642C5" w:rsidP="004642C5">
      <w:pPr>
        <w:ind w:left="1440" w:right="468" w:hanging="720"/>
        <w:jc w:val="both"/>
      </w:pPr>
      <w:r w:rsidRPr="00251614">
        <w:t>5.1</w:t>
      </w:r>
      <w:r w:rsidRPr="00251614">
        <w:tab/>
        <w:t xml:space="preserve">Proposals should provide straightforward, concise information that satisfies the requirements of Section 6 (“Proposal Contents”).  Expensive bindings, color displays, and the like are not necessary or desired.  Emphasis </w:t>
      </w:r>
      <w:proofErr w:type="gramStart"/>
      <w:r w:rsidRPr="00251614">
        <w:t>should be placed</w:t>
      </w:r>
      <w:proofErr w:type="gramEnd"/>
      <w:r w:rsidRPr="00251614">
        <w:t xml:space="preserve"> on conformity to the RFP’s instructions and requirements, and completeness and clarity of content.</w:t>
      </w:r>
    </w:p>
    <w:p w:rsidR="004642C5" w:rsidRPr="00251614" w:rsidRDefault="004642C5" w:rsidP="004642C5">
      <w:pPr>
        <w:ind w:left="1440" w:hanging="720"/>
        <w:jc w:val="both"/>
        <w:rPr>
          <w:sz w:val="20"/>
          <w:szCs w:val="20"/>
        </w:rPr>
      </w:pPr>
    </w:p>
    <w:p w:rsidR="004642C5" w:rsidRPr="00251614" w:rsidRDefault="004642C5" w:rsidP="004642C5">
      <w:pPr>
        <w:ind w:left="1440" w:right="468" w:hanging="720"/>
        <w:jc w:val="both"/>
      </w:pPr>
      <w:r w:rsidRPr="00251614">
        <w:t>5.2</w:t>
      </w:r>
      <w:r w:rsidRPr="00251614">
        <w:tab/>
        <w:t xml:space="preserve">The Proposer must submit the proposal in two parts, the technical proposal and the cost proposal.  </w:t>
      </w:r>
    </w:p>
    <w:p w:rsidR="004642C5" w:rsidRPr="00251614" w:rsidRDefault="004642C5" w:rsidP="004642C5">
      <w:pPr>
        <w:ind w:left="1440" w:right="468" w:hanging="720"/>
        <w:jc w:val="both"/>
      </w:pPr>
    </w:p>
    <w:p w:rsidR="004642C5" w:rsidRPr="00251614" w:rsidRDefault="004642C5" w:rsidP="004642C5">
      <w:pPr>
        <w:ind w:left="2160" w:right="475" w:hanging="720"/>
        <w:jc w:val="both"/>
      </w:pPr>
      <w:r w:rsidRPr="00251614">
        <w:t>5.2.1</w:t>
      </w:r>
      <w:r w:rsidRPr="00251614">
        <w:tab/>
        <w:t xml:space="preserve">The Proposer must submit </w:t>
      </w:r>
      <w:r w:rsidRPr="00251614">
        <w:rPr>
          <w:b/>
        </w:rPr>
        <w:t>one (1) original and three (3) copies</w:t>
      </w:r>
      <w:r w:rsidRPr="00251614">
        <w:t xml:space="preserve"> of the Technical Proposal</w:t>
      </w:r>
      <w:r w:rsidR="0034220C" w:rsidRPr="00251614">
        <w:t>.</w:t>
      </w:r>
      <w:r w:rsidRPr="00251614">
        <w:t xml:space="preserve">  </w:t>
      </w:r>
      <w:proofErr w:type="gramStart"/>
      <w:r w:rsidRPr="00251614">
        <w:t>The original must be signed by an authorized representative of the Proposer</w:t>
      </w:r>
      <w:proofErr w:type="gramEnd"/>
      <w:r w:rsidRPr="00251614">
        <w:t xml:space="preserve">.  </w:t>
      </w:r>
      <w:r w:rsidRPr="00251614">
        <w:rPr>
          <w:i/>
        </w:rPr>
        <w:t>The Proposer must write the RFP title and number on the outside of the sealed envelope.</w:t>
      </w:r>
    </w:p>
    <w:p w:rsidR="004642C5" w:rsidRPr="00251614" w:rsidRDefault="004642C5" w:rsidP="004642C5">
      <w:pPr>
        <w:ind w:left="2250" w:right="468" w:hanging="720"/>
      </w:pPr>
    </w:p>
    <w:p w:rsidR="004642C5" w:rsidRPr="00251614" w:rsidRDefault="004642C5" w:rsidP="004642C5">
      <w:pPr>
        <w:ind w:left="2160" w:right="475" w:hanging="720"/>
        <w:jc w:val="both"/>
      </w:pPr>
      <w:r w:rsidRPr="00251614">
        <w:t>5.2.2</w:t>
      </w:r>
      <w:r w:rsidRPr="00251614">
        <w:tab/>
        <w:t>The Proposer must submit</w:t>
      </w:r>
      <w:r w:rsidRPr="00251614">
        <w:rPr>
          <w:b/>
        </w:rPr>
        <w:t xml:space="preserve"> one (1) original and three (3) copies </w:t>
      </w:r>
      <w:r w:rsidRPr="00251614">
        <w:t xml:space="preserve">of the </w:t>
      </w:r>
      <w:r w:rsidR="008057C2" w:rsidRPr="00251614">
        <w:t>C</w:t>
      </w:r>
      <w:r w:rsidRPr="00251614">
        <w:t xml:space="preserve">ost </w:t>
      </w:r>
      <w:r w:rsidR="008057C2" w:rsidRPr="00251614">
        <w:t>P</w:t>
      </w:r>
      <w:r w:rsidRPr="00251614">
        <w:t xml:space="preserve">roposal.  </w:t>
      </w:r>
      <w:proofErr w:type="gramStart"/>
      <w:r w:rsidRPr="00251614">
        <w:t>The original must be signed by an authorized representative of the Proposer</w:t>
      </w:r>
      <w:proofErr w:type="gramEnd"/>
      <w:r w:rsidRPr="00251614">
        <w:t xml:space="preserve">.  The original cost proposal (and the copies thereof) </w:t>
      </w:r>
      <w:proofErr w:type="gramStart"/>
      <w:r w:rsidRPr="00251614">
        <w:t>must be submitted</w:t>
      </w:r>
      <w:proofErr w:type="gramEnd"/>
      <w:r w:rsidRPr="00251614">
        <w:t xml:space="preserve"> to the </w:t>
      </w:r>
      <w:r w:rsidR="00163BF0" w:rsidRPr="00251614">
        <w:t>AOC</w:t>
      </w:r>
      <w:r w:rsidRPr="00251614">
        <w:t xml:space="preserve"> in a single sealed envelope, separate from the technical proposal.  </w:t>
      </w:r>
      <w:r w:rsidRPr="00251614">
        <w:rPr>
          <w:i/>
        </w:rPr>
        <w:t>The Proposer must write the RFP title and number on the outside of the sealed envelope.</w:t>
      </w:r>
    </w:p>
    <w:p w:rsidR="004642C5" w:rsidRPr="00251614" w:rsidRDefault="004642C5" w:rsidP="004642C5">
      <w:pPr>
        <w:ind w:left="2160" w:right="475" w:hanging="720"/>
        <w:jc w:val="both"/>
      </w:pPr>
      <w:r w:rsidRPr="00251614">
        <w:lastRenderedPageBreak/>
        <w:t>5.2.3</w:t>
      </w:r>
      <w:r w:rsidRPr="00251614">
        <w:tab/>
        <w:t xml:space="preserve">The Proposer must submit a complete electronic version of each proposal on CD-ROM.  The files contained on the CD-ROM should be in </w:t>
      </w:r>
      <w:r w:rsidR="00271257" w:rsidRPr="00251614">
        <w:t xml:space="preserve">PDF as well as editable/unprotected </w:t>
      </w:r>
      <w:r w:rsidRPr="00251614">
        <w:t>Word or Excel formats.</w:t>
      </w:r>
    </w:p>
    <w:p w:rsidR="004642C5" w:rsidRPr="00251614" w:rsidRDefault="004642C5" w:rsidP="004642C5">
      <w:pPr>
        <w:ind w:left="2160" w:right="475" w:hanging="720"/>
        <w:jc w:val="both"/>
      </w:pPr>
    </w:p>
    <w:p w:rsidR="008057C2" w:rsidRPr="00251614" w:rsidRDefault="008057C2" w:rsidP="0034220C">
      <w:pPr>
        <w:ind w:left="1440" w:right="468" w:hanging="720"/>
        <w:jc w:val="both"/>
      </w:pPr>
      <w:r w:rsidRPr="00251614">
        <w:t>5.3</w:t>
      </w:r>
      <w:r w:rsidRPr="00251614">
        <w:tab/>
        <w:t xml:space="preserve">Only written proposals </w:t>
      </w:r>
      <w:proofErr w:type="gramStart"/>
      <w:r w:rsidRPr="00251614">
        <w:t>will be accepted</w:t>
      </w:r>
      <w:proofErr w:type="gramEnd"/>
      <w:r w:rsidRPr="00251614">
        <w:t xml:space="preserve">.  Proposals must be </w:t>
      </w:r>
      <w:r w:rsidR="00271257" w:rsidRPr="00251614">
        <w:t xml:space="preserve">submitted </w:t>
      </w:r>
      <w:r w:rsidRPr="00251614">
        <w:t>by registered or certified mail, courier service (e.g. FedEx), or delivered by hand</w:t>
      </w:r>
      <w:r w:rsidR="00225026" w:rsidRPr="00251614">
        <w:t xml:space="preserve"> to the following address</w:t>
      </w:r>
      <w:r w:rsidRPr="00251614">
        <w:t xml:space="preserve">.  Proposals may not be </w:t>
      </w:r>
      <w:r w:rsidR="00271257" w:rsidRPr="00251614">
        <w:t xml:space="preserve">submitted by facsimile </w:t>
      </w:r>
      <w:r w:rsidRPr="00251614">
        <w:t>or email.</w:t>
      </w:r>
    </w:p>
    <w:p w:rsidR="00C67597" w:rsidRPr="00251614" w:rsidRDefault="00C67597" w:rsidP="0067317F">
      <w:pPr>
        <w:ind w:left="1440" w:right="468" w:hanging="720"/>
        <w:jc w:val="both"/>
        <w:rPr>
          <w:sz w:val="12"/>
          <w:szCs w:val="12"/>
        </w:rPr>
      </w:pPr>
    </w:p>
    <w:p w:rsidR="004B0F7E" w:rsidRPr="00251614" w:rsidRDefault="004B0F7E" w:rsidP="002C5D55">
      <w:pPr>
        <w:ind w:left="2250" w:right="468"/>
        <w:jc w:val="both"/>
      </w:pPr>
      <w:r w:rsidRPr="00251614">
        <w:t>Judicial Council of California</w:t>
      </w:r>
    </w:p>
    <w:p w:rsidR="00C67597" w:rsidRPr="00251614" w:rsidRDefault="00C67597" w:rsidP="002C5D55">
      <w:pPr>
        <w:ind w:left="2250" w:right="468"/>
        <w:jc w:val="both"/>
      </w:pPr>
      <w:r w:rsidRPr="00251614">
        <w:t>Administrative Office of the Courts</w:t>
      </w:r>
    </w:p>
    <w:p w:rsidR="00C67597" w:rsidRPr="00251614" w:rsidRDefault="00C67597" w:rsidP="002C5D55">
      <w:pPr>
        <w:ind w:left="2250" w:right="468"/>
        <w:jc w:val="both"/>
      </w:pPr>
      <w:r w:rsidRPr="00251614">
        <w:t>Finance Division</w:t>
      </w:r>
    </w:p>
    <w:p w:rsidR="00501367" w:rsidRPr="00251614" w:rsidRDefault="003B218F" w:rsidP="002C5D55">
      <w:pPr>
        <w:ind w:left="2250" w:right="468"/>
      </w:pPr>
      <w:r w:rsidRPr="00251614">
        <w:t xml:space="preserve">Attn: Nadine McFadden, </w:t>
      </w:r>
      <w:r w:rsidR="00501367" w:rsidRPr="00251614">
        <w:rPr>
          <w:b/>
        </w:rPr>
        <w:t xml:space="preserve">RFP: </w:t>
      </w:r>
      <w:r w:rsidR="00A3785C" w:rsidRPr="00251614">
        <w:rPr>
          <w:b/>
        </w:rPr>
        <w:t>CFCC</w:t>
      </w:r>
      <w:r w:rsidR="00501367" w:rsidRPr="00251614">
        <w:rPr>
          <w:b/>
        </w:rPr>
        <w:t>-</w:t>
      </w:r>
      <w:r w:rsidR="00A3785C" w:rsidRPr="00251614">
        <w:rPr>
          <w:b/>
        </w:rPr>
        <w:t>03-12</w:t>
      </w:r>
      <w:r w:rsidR="00501367" w:rsidRPr="00251614">
        <w:rPr>
          <w:b/>
        </w:rPr>
        <w:t xml:space="preserve">-LM </w:t>
      </w:r>
    </w:p>
    <w:p w:rsidR="00C67597" w:rsidRPr="00251614" w:rsidRDefault="00C67597" w:rsidP="002C5D55">
      <w:pPr>
        <w:ind w:left="2250" w:right="468"/>
        <w:jc w:val="both"/>
      </w:pPr>
      <w:r w:rsidRPr="00251614">
        <w:t>455 Golden Gate Avenue 7th Floor</w:t>
      </w:r>
    </w:p>
    <w:p w:rsidR="00C67597" w:rsidRPr="00251614" w:rsidRDefault="00C67597" w:rsidP="002C5D55">
      <w:pPr>
        <w:ind w:left="2250" w:right="468"/>
        <w:jc w:val="both"/>
      </w:pPr>
      <w:r w:rsidRPr="00251614">
        <w:t>San Francisco, CA  94102</w:t>
      </w:r>
      <w:r w:rsidR="003B218F" w:rsidRPr="00251614">
        <w:t>-3688</w:t>
      </w:r>
    </w:p>
    <w:p w:rsidR="002C5D55" w:rsidRPr="00251614" w:rsidRDefault="002C5D55" w:rsidP="002C5D55">
      <w:pPr>
        <w:ind w:left="2250" w:right="468"/>
        <w:jc w:val="both"/>
      </w:pPr>
    </w:p>
    <w:p w:rsidR="00C67597" w:rsidRPr="00251614" w:rsidRDefault="00501367" w:rsidP="0067317F">
      <w:pPr>
        <w:pStyle w:val="BodyTextIndent"/>
        <w:spacing w:after="0"/>
        <w:ind w:left="1440" w:right="460" w:hanging="720"/>
        <w:jc w:val="both"/>
      </w:pPr>
      <w:r w:rsidRPr="00251614">
        <w:t>5</w:t>
      </w:r>
      <w:r w:rsidR="00C67597" w:rsidRPr="00251614">
        <w:t>.4</w:t>
      </w:r>
      <w:r w:rsidR="00C67597" w:rsidRPr="00251614">
        <w:tab/>
      </w:r>
      <w:r w:rsidR="00133441" w:rsidRPr="00251614">
        <w:t xml:space="preserve">Proposals must be </w:t>
      </w:r>
      <w:r w:rsidR="00225026" w:rsidRPr="00251614">
        <w:t>received</w:t>
      </w:r>
      <w:r w:rsidR="00133441" w:rsidRPr="00251614">
        <w:t xml:space="preserve"> by the date and time listed on the coversheet of this RFP. </w:t>
      </w:r>
      <w:r w:rsidR="00C67597" w:rsidRPr="00251614">
        <w:t xml:space="preserve">Late proposals </w:t>
      </w:r>
      <w:proofErr w:type="gramStart"/>
      <w:r w:rsidR="00C67597" w:rsidRPr="00251614">
        <w:t>will not be accepted</w:t>
      </w:r>
      <w:proofErr w:type="gramEnd"/>
      <w:r w:rsidR="00C67597" w:rsidRPr="00251614">
        <w:t>.</w:t>
      </w:r>
    </w:p>
    <w:p w:rsidR="00501367" w:rsidRPr="00251614" w:rsidRDefault="00501367" w:rsidP="003F2088">
      <w:pPr>
        <w:pStyle w:val="BodyTextIndent"/>
        <w:spacing w:after="0"/>
        <w:ind w:left="1440" w:right="-36" w:hanging="720"/>
        <w:jc w:val="both"/>
      </w:pPr>
    </w:p>
    <w:p w:rsidR="002C64BD" w:rsidRPr="00251614" w:rsidRDefault="00BB5083" w:rsidP="003F2088">
      <w:pPr>
        <w:widowControl w:val="0"/>
        <w:autoSpaceDE w:val="0"/>
        <w:autoSpaceDN w:val="0"/>
        <w:adjustRightInd w:val="0"/>
        <w:ind w:left="720" w:right="-36" w:hanging="720"/>
        <w:jc w:val="both"/>
        <w:rPr>
          <w:b/>
        </w:rPr>
      </w:pPr>
      <w:r w:rsidRPr="00251614">
        <w:rPr>
          <w:b/>
        </w:rPr>
        <w:t>6</w:t>
      </w:r>
      <w:r w:rsidR="00B51506" w:rsidRPr="00251614">
        <w:rPr>
          <w:b/>
        </w:rPr>
        <w:t>.0</w:t>
      </w:r>
      <w:r w:rsidR="00B51506" w:rsidRPr="00251614">
        <w:rPr>
          <w:b/>
        </w:rPr>
        <w:tab/>
        <w:t>PROPOSALS</w:t>
      </w:r>
      <w:r w:rsidRPr="00251614">
        <w:rPr>
          <w:b/>
        </w:rPr>
        <w:t xml:space="preserve"> </w:t>
      </w:r>
      <w:r w:rsidRPr="00251614">
        <w:rPr>
          <w:b/>
          <w:bCs/>
        </w:rPr>
        <w:t>CONTENTS</w:t>
      </w:r>
    </w:p>
    <w:p w:rsidR="00B51506" w:rsidRPr="00251614" w:rsidRDefault="00B51506" w:rsidP="003F2088">
      <w:pPr>
        <w:widowControl w:val="0"/>
        <w:autoSpaceDE w:val="0"/>
        <w:autoSpaceDN w:val="0"/>
        <w:adjustRightInd w:val="0"/>
        <w:ind w:left="720" w:right="-36" w:hanging="720"/>
        <w:jc w:val="both"/>
        <w:rPr>
          <w:b/>
          <w:sz w:val="20"/>
          <w:szCs w:val="20"/>
        </w:rPr>
      </w:pPr>
    </w:p>
    <w:p w:rsidR="004476A1" w:rsidRPr="00251614" w:rsidRDefault="00BB5083" w:rsidP="004476A1">
      <w:pPr>
        <w:pStyle w:val="BodyTextIndent2"/>
        <w:keepNext/>
        <w:spacing w:after="0" w:line="240" w:lineRule="auto"/>
        <w:ind w:left="720"/>
        <w:jc w:val="both"/>
      </w:pPr>
      <w:proofErr w:type="gramStart"/>
      <w:r w:rsidRPr="00251614">
        <w:t>6.1</w:t>
      </w:r>
      <w:r w:rsidRPr="00251614">
        <w:tab/>
      </w:r>
      <w:r w:rsidR="004476A1" w:rsidRPr="00251614">
        <w:rPr>
          <w:u w:val="single"/>
        </w:rPr>
        <w:t>Technical Proposal</w:t>
      </w:r>
      <w:r w:rsidR="004476A1" w:rsidRPr="00251614">
        <w:t>.</w:t>
      </w:r>
      <w:proofErr w:type="gramEnd"/>
      <w:r w:rsidR="004476A1" w:rsidRPr="00251614">
        <w:t xml:space="preserve"> The following information must be included in the technical </w:t>
      </w:r>
      <w:r w:rsidR="004476A1" w:rsidRPr="00251614">
        <w:tab/>
        <w:t xml:space="preserve">proposal.  A proposal lacking any of the following information </w:t>
      </w:r>
      <w:proofErr w:type="gramStart"/>
      <w:r w:rsidR="004476A1" w:rsidRPr="00251614">
        <w:t>may be deemed</w:t>
      </w:r>
      <w:proofErr w:type="gramEnd"/>
      <w:r w:rsidR="004476A1" w:rsidRPr="00251614">
        <w:t xml:space="preserve"> non-</w:t>
      </w:r>
      <w:r w:rsidR="004476A1" w:rsidRPr="00251614">
        <w:tab/>
        <w:t xml:space="preserve">responsive.  </w:t>
      </w:r>
    </w:p>
    <w:p w:rsidR="004476A1" w:rsidRPr="00251614" w:rsidRDefault="004476A1" w:rsidP="004476A1">
      <w:pPr>
        <w:keepNext/>
        <w:ind w:left="720"/>
        <w:jc w:val="both"/>
      </w:pPr>
    </w:p>
    <w:p w:rsidR="004476A1" w:rsidRPr="00251614" w:rsidRDefault="004476A1" w:rsidP="004476A1">
      <w:pPr>
        <w:ind w:left="1800" w:hanging="360"/>
        <w:jc w:val="both"/>
      </w:pPr>
      <w:r w:rsidRPr="00251614">
        <w:t>a.</w:t>
      </w:r>
      <w:r w:rsidRPr="00251614">
        <w:tab/>
        <w:t xml:space="preserve">Proposer’s name, address, telephone and fax numbers, and federal tax identification number.  Note that if Proposer is a sole proprietor using his or her social security number, the social security number will be required before finalizing a contract.  </w:t>
      </w:r>
    </w:p>
    <w:p w:rsidR="004476A1" w:rsidRPr="00251614" w:rsidRDefault="004476A1" w:rsidP="004476A1">
      <w:pPr>
        <w:ind w:left="1800" w:hanging="360"/>
        <w:jc w:val="both"/>
      </w:pPr>
    </w:p>
    <w:p w:rsidR="004476A1" w:rsidRPr="00251614" w:rsidRDefault="004476A1" w:rsidP="004476A1">
      <w:pPr>
        <w:ind w:left="1800" w:right="468" w:hanging="360"/>
        <w:jc w:val="both"/>
      </w:pPr>
      <w:r w:rsidRPr="00251614">
        <w:t>b.</w:t>
      </w:r>
      <w:r w:rsidRPr="00251614">
        <w:tab/>
        <w:t xml:space="preserve">Name, title, address, telephone number, and email address of the individual who will act as </w:t>
      </w:r>
      <w:proofErr w:type="gramStart"/>
      <w:r w:rsidRPr="00251614">
        <w:t>Proposer’s</w:t>
      </w:r>
      <w:proofErr w:type="gramEnd"/>
      <w:r w:rsidRPr="00251614">
        <w:t xml:space="preserve"> designated representative for purposes of this RFP.  </w:t>
      </w:r>
    </w:p>
    <w:p w:rsidR="004476A1" w:rsidRPr="00251614" w:rsidRDefault="004476A1" w:rsidP="004476A1">
      <w:pPr>
        <w:ind w:left="1800" w:hanging="360"/>
        <w:jc w:val="both"/>
      </w:pPr>
    </w:p>
    <w:p w:rsidR="004476A1" w:rsidRPr="00251614" w:rsidRDefault="004476A1" w:rsidP="004476A1">
      <w:pPr>
        <w:widowControl w:val="0"/>
        <w:ind w:left="1800" w:hanging="360"/>
        <w:jc w:val="both"/>
      </w:pPr>
      <w:proofErr w:type="gramStart"/>
      <w:r w:rsidRPr="00251614">
        <w:t>c</w:t>
      </w:r>
      <w:proofErr w:type="gramEnd"/>
      <w:r w:rsidRPr="00251614">
        <w:t>.</w:t>
      </w:r>
      <w:r w:rsidRPr="00251614">
        <w:tab/>
        <w:t>For each key personnel: a resume describing the individual’s background and experience, as well as the individual’s ability and experience in conducting the proposed activities.</w:t>
      </w:r>
    </w:p>
    <w:p w:rsidR="004476A1" w:rsidRPr="00251614" w:rsidRDefault="004476A1" w:rsidP="004476A1">
      <w:pPr>
        <w:widowControl w:val="0"/>
        <w:ind w:left="1440" w:hanging="720"/>
        <w:jc w:val="both"/>
      </w:pPr>
    </w:p>
    <w:p w:rsidR="004476A1" w:rsidRPr="00251614" w:rsidRDefault="004476A1" w:rsidP="004476A1">
      <w:pPr>
        <w:widowControl w:val="0"/>
        <w:ind w:left="1800" w:hanging="360"/>
        <w:jc w:val="both"/>
      </w:pPr>
      <w:proofErr w:type="gramStart"/>
      <w:r w:rsidRPr="00251614">
        <w:t>d.</w:t>
      </w:r>
      <w:r w:rsidRPr="00251614">
        <w:tab/>
        <w:t xml:space="preserve">Names, addresses, and telephone numbers of a minimum of </w:t>
      </w:r>
      <w:r w:rsidRPr="00251614">
        <w:rPr>
          <w:b/>
        </w:rPr>
        <w:t>three (3)</w:t>
      </w:r>
      <w:r w:rsidRPr="00251614">
        <w:t xml:space="preserve"> clients for whom the Proposer has conducted similar services.</w:t>
      </w:r>
      <w:proofErr w:type="gramEnd"/>
      <w:r w:rsidRPr="00251614">
        <w:t xml:space="preserve">  The JBE/AOC may check references listed by Proposer.</w:t>
      </w:r>
    </w:p>
    <w:p w:rsidR="004476A1" w:rsidRPr="00251614" w:rsidRDefault="004476A1" w:rsidP="004476A1">
      <w:pPr>
        <w:widowControl w:val="0"/>
        <w:ind w:left="1800" w:hanging="360"/>
        <w:jc w:val="both"/>
      </w:pPr>
    </w:p>
    <w:p w:rsidR="004476A1" w:rsidRPr="00251614" w:rsidRDefault="004476A1" w:rsidP="004476A1">
      <w:pPr>
        <w:ind w:left="1800" w:hanging="360"/>
      </w:pPr>
      <w:r w:rsidRPr="00251614">
        <w:t>e.</w:t>
      </w:r>
      <w:r w:rsidRPr="00251614">
        <w:tab/>
        <w:t xml:space="preserve">Proposed method to complete the work specified in </w:t>
      </w:r>
      <w:r w:rsidRPr="00251614">
        <w:rPr>
          <w:i/>
        </w:rPr>
        <w:t>8.0 Evaluation of Proposals</w:t>
      </w:r>
      <w:r w:rsidRPr="00251614">
        <w:t>, below.</w:t>
      </w:r>
    </w:p>
    <w:p w:rsidR="004476A1" w:rsidRPr="00251614" w:rsidRDefault="004476A1" w:rsidP="004476A1">
      <w:pPr>
        <w:ind w:left="2160" w:hanging="720"/>
        <w:jc w:val="both"/>
      </w:pPr>
    </w:p>
    <w:p w:rsidR="004476A1" w:rsidRPr="00251614" w:rsidRDefault="004476A1" w:rsidP="004476A1">
      <w:pPr>
        <w:pStyle w:val="ListParagraph"/>
        <w:ind w:left="1800" w:hanging="360"/>
        <w:jc w:val="both"/>
      </w:pPr>
      <w:proofErr w:type="gramStart"/>
      <w:r w:rsidRPr="00251614">
        <w:t>f.</w:t>
      </w:r>
      <w:r w:rsidRPr="00251614">
        <w:tab/>
        <w:t>Acceptance of the Terms and Conditions.</w:t>
      </w:r>
      <w:proofErr w:type="gramEnd"/>
      <w:r w:rsidRPr="00251614">
        <w:t xml:space="preserve">  </w:t>
      </w:r>
    </w:p>
    <w:p w:rsidR="004476A1" w:rsidRPr="00251614" w:rsidRDefault="004476A1" w:rsidP="004476A1">
      <w:pPr>
        <w:pStyle w:val="ListParagraph"/>
        <w:tabs>
          <w:tab w:val="left" w:pos="1440"/>
        </w:tabs>
        <w:ind w:left="1440" w:hanging="720"/>
        <w:jc w:val="both"/>
      </w:pPr>
    </w:p>
    <w:p w:rsidR="004476A1" w:rsidRPr="00251614" w:rsidRDefault="004476A1" w:rsidP="004476A1">
      <w:pPr>
        <w:pStyle w:val="ListParagraph"/>
        <w:ind w:left="2160" w:hanging="360"/>
        <w:jc w:val="both"/>
      </w:pPr>
      <w:r w:rsidRPr="00251614">
        <w:t>i.</w:t>
      </w:r>
      <w:r w:rsidRPr="00251614">
        <w:tab/>
        <w:t xml:space="preserve">On </w:t>
      </w:r>
      <w:r w:rsidRPr="00251614">
        <w:rPr>
          <w:i/>
        </w:rPr>
        <w:t>Proposer’s Acceptance of Terms and Condition (Attachment 3)</w:t>
      </w:r>
      <w:r w:rsidRPr="00251614">
        <w:t xml:space="preserve">, the Proposer must either indicate acceptance of the Terms and Conditions or clearly identify exceptions to the Terms and Conditions.  An “exception” includes any addition, deletion, qualification, limitation, or other change.  </w:t>
      </w:r>
    </w:p>
    <w:p w:rsidR="004476A1" w:rsidRPr="00251614" w:rsidRDefault="004476A1" w:rsidP="004476A1">
      <w:pPr>
        <w:pStyle w:val="ListParagraph"/>
        <w:ind w:left="2160" w:hanging="360"/>
        <w:jc w:val="both"/>
      </w:pPr>
      <w:r w:rsidRPr="00251614">
        <w:lastRenderedPageBreak/>
        <w:t>ii.</w:t>
      </w:r>
      <w:r w:rsidRPr="00251614">
        <w:tab/>
        <w:t xml:space="preserve">If exceptions </w:t>
      </w:r>
      <w:proofErr w:type="gramStart"/>
      <w:r w:rsidRPr="00251614">
        <w:t>are identified</w:t>
      </w:r>
      <w:proofErr w:type="gramEnd"/>
      <w:r w:rsidRPr="00251614">
        <w:t xml:space="preserve">, the Proposer must also submit a redlined version of the Terms and Conditions that clearly tracks proposed changes, and a written explanation or rationale for each exception and/or proposed change. </w:t>
      </w:r>
    </w:p>
    <w:p w:rsidR="004476A1" w:rsidRPr="00251614" w:rsidRDefault="004476A1" w:rsidP="004476A1">
      <w:pPr>
        <w:pStyle w:val="ListParagraph"/>
        <w:ind w:left="2160" w:hanging="360"/>
        <w:jc w:val="both"/>
      </w:pPr>
    </w:p>
    <w:p w:rsidR="004476A1" w:rsidRPr="00251614" w:rsidRDefault="004476A1" w:rsidP="004476A1">
      <w:pPr>
        <w:pStyle w:val="ListParagraph"/>
        <w:ind w:left="2160" w:hanging="360"/>
        <w:jc w:val="both"/>
      </w:pPr>
      <w:r w:rsidRPr="00251614">
        <w:t xml:space="preserve">iii. </w:t>
      </w:r>
      <w:r w:rsidRPr="00251614">
        <w:tab/>
      </w:r>
      <w:r w:rsidRPr="00251614">
        <w:rPr>
          <w:b/>
        </w:rPr>
        <w:t xml:space="preserve">Note:  A material </w:t>
      </w:r>
      <w:r w:rsidRPr="00251614">
        <w:rPr>
          <w:b/>
          <w:bCs/>
        </w:rPr>
        <w:t>exception to a Minimum Term will render a proposal non-responsive</w:t>
      </w:r>
      <w:r w:rsidRPr="00251614">
        <w:rPr>
          <w:b/>
        </w:rPr>
        <w:t>.</w:t>
      </w:r>
    </w:p>
    <w:p w:rsidR="004476A1" w:rsidRPr="00251614" w:rsidRDefault="004476A1" w:rsidP="004476A1">
      <w:pPr>
        <w:pStyle w:val="ListParagraph"/>
        <w:tabs>
          <w:tab w:val="left" w:pos="1440"/>
        </w:tabs>
        <w:ind w:left="1440" w:hanging="720"/>
        <w:jc w:val="both"/>
      </w:pPr>
    </w:p>
    <w:p w:rsidR="004476A1" w:rsidRPr="00251614" w:rsidRDefault="004476A1" w:rsidP="004476A1">
      <w:pPr>
        <w:pStyle w:val="ListParagraph"/>
        <w:ind w:left="1800" w:hanging="360"/>
        <w:jc w:val="both"/>
      </w:pPr>
      <w:proofErr w:type="gramStart"/>
      <w:r w:rsidRPr="00251614">
        <w:t>g.</w:t>
      </w:r>
      <w:r w:rsidRPr="00251614">
        <w:tab/>
        <w:t>Certifications, Attachments, and other requirements.</w:t>
      </w:r>
      <w:proofErr w:type="gramEnd"/>
      <w:r w:rsidRPr="00251614">
        <w:t xml:space="preserve"> </w:t>
      </w:r>
    </w:p>
    <w:p w:rsidR="004476A1" w:rsidRPr="00251614" w:rsidRDefault="004476A1" w:rsidP="004476A1">
      <w:pPr>
        <w:ind w:left="1440" w:hanging="720"/>
        <w:jc w:val="both"/>
      </w:pPr>
    </w:p>
    <w:p w:rsidR="004476A1" w:rsidRPr="00251614" w:rsidRDefault="004476A1" w:rsidP="004476A1">
      <w:pPr>
        <w:ind w:left="2250" w:hanging="450"/>
        <w:jc w:val="both"/>
      </w:pPr>
      <w:r w:rsidRPr="00251614">
        <w:t>i.</w:t>
      </w:r>
      <w:r w:rsidRPr="00251614">
        <w:tab/>
        <w:t>Proposer must include the following certification in its proposal:</w:t>
      </w:r>
    </w:p>
    <w:p w:rsidR="004476A1" w:rsidRPr="00251614" w:rsidRDefault="004476A1" w:rsidP="004476A1">
      <w:pPr>
        <w:ind w:left="2250" w:hanging="450"/>
        <w:jc w:val="both"/>
      </w:pPr>
    </w:p>
    <w:p w:rsidR="004476A1" w:rsidRPr="00251614" w:rsidRDefault="004476A1" w:rsidP="004476A1">
      <w:pPr>
        <w:pStyle w:val="BodyText"/>
        <w:tabs>
          <w:tab w:val="num" w:pos="2250"/>
        </w:tabs>
        <w:spacing w:after="240"/>
        <w:ind w:left="2246" w:hanging="446"/>
        <w:jc w:val="both"/>
      </w:pPr>
      <w:r w:rsidRPr="00251614">
        <w:tab/>
        <w:t xml:space="preserve">Proposer has no interest that would constitute a conflict of interest under California Public Contract Code sections 10365.5, 10410 or 10411; Government Code sections 1090 et seq. or </w:t>
      </w:r>
      <w:proofErr w:type="gramStart"/>
      <w:r w:rsidRPr="00251614">
        <w:t>87100 et seq.;</w:t>
      </w:r>
      <w:proofErr w:type="gramEnd"/>
      <w:r w:rsidRPr="00251614">
        <w:t xml:space="preserve"> or rule 10.103 or rule 10.104 of the California Rules of Court, which restrict employees and former employees from contracting with judicial branch entities. </w:t>
      </w:r>
      <w:r w:rsidRPr="00251614">
        <w:rPr>
          <w:i/>
        </w:rPr>
        <w:t>(Attachment 6)</w:t>
      </w:r>
    </w:p>
    <w:p w:rsidR="004476A1" w:rsidRPr="00251614" w:rsidRDefault="004476A1" w:rsidP="004476A1">
      <w:pPr>
        <w:ind w:left="2250" w:hanging="450"/>
        <w:jc w:val="both"/>
      </w:pPr>
      <w:r w:rsidRPr="00251614">
        <w:t>ii.</w:t>
      </w:r>
      <w:r w:rsidRPr="00251614">
        <w:tab/>
        <w:t xml:space="preserve">Proposer must include in its proposal a completed and signed </w:t>
      </w:r>
      <w:r w:rsidRPr="00251614">
        <w:rPr>
          <w:i/>
        </w:rPr>
        <w:t xml:space="preserve">Payee Data Record Form </w:t>
      </w:r>
      <w:r w:rsidRPr="00251614">
        <w:t>(</w:t>
      </w:r>
      <w:r w:rsidRPr="00251614">
        <w:rPr>
          <w:i/>
        </w:rPr>
        <w:t>Attachment 4</w:t>
      </w:r>
      <w:r w:rsidRPr="00251614">
        <w:t xml:space="preserve">), or provide a copy of a form previously submitted to the JBE/AOC.      </w:t>
      </w:r>
    </w:p>
    <w:p w:rsidR="004476A1" w:rsidRPr="00251614" w:rsidRDefault="004476A1" w:rsidP="004476A1">
      <w:pPr>
        <w:ind w:left="2250" w:hanging="450"/>
        <w:jc w:val="both"/>
      </w:pPr>
    </w:p>
    <w:p w:rsidR="004476A1" w:rsidRPr="00251614" w:rsidRDefault="004476A1" w:rsidP="004476A1">
      <w:pPr>
        <w:widowControl w:val="0"/>
        <w:ind w:left="2250" w:hanging="450"/>
        <w:jc w:val="both"/>
      </w:pPr>
      <w:r w:rsidRPr="00251614">
        <w:t>iii.</w:t>
      </w:r>
      <w:r w:rsidRPr="00251614">
        <w:tab/>
        <w:t xml:space="preserve">If Proposer has had business activities or other operations outside of the United States within the previous three years, Proposer must complete the </w:t>
      </w:r>
      <w:r w:rsidRPr="00251614">
        <w:rPr>
          <w:i/>
        </w:rPr>
        <w:t>Darfur Contracting Act Certification (Attachment 5),</w:t>
      </w:r>
      <w:r w:rsidRPr="00251614">
        <w:t xml:space="preserve"> and submit the completed certification with its proposal. </w:t>
      </w:r>
    </w:p>
    <w:p w:rsidR="004476A1" w:rsidRPr="00251614" w:rsidRDefault="004476A1" w:rsidP="004476A1">
      <w:pPr>
        <w:widowControl w:val="0"/>
        <w:ind w:left="2250" w:hanging="450"/>
        <w:jc w:val="both"/>
      </w:pPr>
    </w:p>
    <w:p w:rsidR="004476A1" w:rsidRPr="00251614" w:rsidRDefault="004476A1" w:rsidP="004476A1">
      <w:pPr>
        <w:widowControl w:val="0"/>
        <w:ind w:left="2250" w:hanging="450"/>
        <w:jc w:val="both"/>
      </w:pPr>
      <w:r w:rsidRPr="00251614">
        <w:t>iv.</w:t>
      </w:r>
      <w:r w:rsidRPr="00251614">
        <w:tab/>
        <w:t>If Proposer is a corporation, proof that Proposer is in good standing and qualified to conduct business in California.</w:t>
      </w:r>
    </w:p>
    <w:p w:rsidR="004476A1" w:rsidRPr="00251614" w:rsidRDefault="004476A1" w:rsidP="004476A1">
      <w:pPr>
        <w:widowControl w:val="0"/>
        <w:ind w:left="2250" w:hanging="450"/>
        <w:jc w:val="both"/>
      </w:pPr>
    </w:p>
    <w:p w:rsidR="004476A1" w:rsidRPr="00251614" w:rsidRDefault="004476A1" w:rsidP="004476A1">
      <w:pPr>
        <w:widowControl w:val="0"/>
        <w:ind w:left="1800" w:hanging="360"/>
        <w:jc w:val="both"/>
      </w:pPr>
      <w:r w:rsidRPr="00251614">
        <w:t>h.</w:t>
      </w:r>
      <w:r w:rsidRPr="00251614">
        <w:tab/>
        <w:t>Submission of Proposals</w:t>
      </w:r>
    </w:p>
    <w:p w:rsidR="004476A1" w:rsidRPr="00251614" w:rsidRDefault="004476A1" w:rsidP="004476A1">
      <w:pPr>
        <w:pStyle w:val="ListParagraph"/>
        <w:widowControl w:val="0"/>
        <w:ind w:left="2520"/>
        <w:jc w:val="both"/>
      </w:pPr>
    </w:p>
    <w:p w:rsidR="004476A1" w:rsidRPr="00251614" w:rsidRDefault="004476A1" w:rsidP="004476A1">
      <w:pPr>
        <w:pStyle w:val="ListParagraph"/>
        <w:widowControl w:val="0"/>
        <w:numPr>
          <w:ilvl w:val="0"/>
          <w:numId w:val="22"/>
        </w:numPr>
        <w:jc w:val="both"/>
      </w:pPr>
      <w:r w:rsidRPr="00251614">
        <w:t>Proposer should include the following attachments in the Technical Proposal:</w:t>
      </w:r>
    </w:p>
    <w:p w:rsidR="004476A1" w:rsidRPr="00251614" w:rsidRDefault="004476A1" w:rsidP="004476A1">
      <w:pPr>
        <w:pStyle w:val="ListParagraph"/>
        <w:widowControl w:val="0"/>
        <w:ind w:left="2520"/>
        <w:jc w:val="both"/>
        <w:rPr>
          <w:rFonts w:cs="Arial"/>
          <w:i/>
          <w:spacing w:val="-3"/>
        </w:rPr>
      </w:pPr>
    </w:p>
    <w:p w:rsidR="004476A1" w:rsidRPr="00251614" w:rsidRDefault="004476A1" w:rsidP="00147BCD">
      <w:pPr>
        <w:pStyle w:val="ListParagraph"/>
        <w:widowControl w:val="0"/>
        <w:numPr>
          <w:ilvl w:val="0"/>
          <w:numId w:val="23"/>
        </w:numPr>
        <w:tabs>
          <w:tab w:val="left" w:pos="1620"/>
          <w:tab w:val="left" w:pos="2160"/>
        </w:tabs>
        <w:spacing w:after="120"/>
        <w:ind w:right="461"/>
        <w:jc w:val="both"/>
      </w:pPr>
      <w:r w:rsidRPr="00251614">
        <w:t>Technical Proposal</w:t>
      </w:r>
    </w:p>
    <w:p w:rsidR="004476A1" w:rsidRPr="00251614" w:rsidRDefault="004476A1" w:rsidP="00147BCD">
      <w:pPr>
        <w:pStyle w:val="ListParagraph"/>
        <w:widowControl w:val="0"/>
        <w:numPr>
          <w:ilvl w:val="0"/>
          <w:numId w:val="23"/>
        </w:numPr>
        <w:tabs>
          <w:tab w:val="left" w:pos="1620"/>
          <w:tab w:val="left" w:pos="2160"/>
        </w:tabs>
        <w:spacing w:after="120"/>
        <w:ind w:right="461"/>
        <w:jc w:val="both"/>
      </w:pPr>
      <w:proofErr w:type="gramStart"/>
      <w:r w:rsidRPr="00251614">
        <w:rPr>
          <w:rFonts w:cs="Arial"/>
          <w:spacing w:val="-3"/>
        </w:rPr>
        <w:t>Attachment 2, Appendix A -</w:t>
      </w:r>
      <w:r w:rsidRPr="00251614">
        <w:t xml:space="preserve"> </w:t>
      </w:r>
      <w:r w:rsidRPr="00251614">
        <w:rPr>
          <w:rFonts w:cs="Arial"/>
          <w:spacing w:val="-3"/>
        </w:rPr>
        <w:t>Standard Terms and Conditions</w:t>
      </w:r>
      <w:r w:rsidRPr="00251614">
        <w:t>– only if there are exceptions/modifications as indicated on Attachment 3.</w:t>
      </w:r>
      <w:proofErr w:type="gramEnd"/>
    </w:p>
    <w:p w:rsidR="004476A1" w:rsidRPr="00251614" w:rsidRDefault="004476A1" w:rsidP="00147BCD">
      <w:pPr>
        <w:pStyle w:val="BodyTextIndent"/>
        <w:numPr>
          <w:ilvl w:val="0"/>
          <w:numId w:val="23"/>
        </w:numPr>
        <w:ind w:right="461"/>
      </w:pPr>
      <w:r w:rsidRPr="00251614">
        <w:t xml:space="preserve">Attachment 3 - Proposer’s Acceptance of Terms and Conditions </w:t>
      </w:r>
    </w:p>
    <w:p w:rsidR="004476A1" w:rsidRPr="00251614" w:rsidRDefault="004476A1" w:rsidP="00147BCD">
      <w:pPr>
        <w:pStyle w:val="BodyTextIndent"/>
        <w:numPr>
          <w:ilvl w:val="0"/>
          <w:numId w:val="23"/>
        </w:numPr>
        <w:ind w:right="461"/>
      </w:pPr>
      <w:r w:rsidRPr="00251614">
        <w:t>Attachment 4 – Payee Data Record Form</w:t>
      </w:r>
    </w:p>
    <w:p w:rsidR="004476A1" w:rsidRPr="00251614" w:rsidRDefault="004476A1" w:rsidP="00147BCD">
      <w:pPr>
        <w:pStyle w:val="BodyTextIndent"/>
        <w:numPr>
          <w:ilvl w:val="0"/>
          <w:numId w:val="23"/>
        </w:numPr>
        <w:ind w:right="461"/>
      </w:pPr>
      <w:r w:rsidRPr="00251614">
        <w:t xml:space="preserve">Attachment 5 – </w:t>
      </w:r>
      <w:r w:rsidRPr="00251614">
        <w:rPr>
          <w:bCs/>
        </w:rPr>
        <w:t>Darfur Contracting Act Certification</w:t>
      </w:r>
    </w:p>
    <w:p w:rsidR="004476A1" w:rsidRPr="00251614" w:rsidRDefault="004476A1" w:rsidP="00147BCD">
      <w:pPr>
        <w:pStyle w:val="BodyTextIndent"/>
        <w:numPr>
          <w:ilvl w:val="0"/>
          <w:numId w:val="23"/>
        </w:numPr>
        <w:ind w:right="461"/>
      </w:pPr>
      <w:r w:rsidRPr="00251614">
        <w:t>Attachment 6 – Conflict of Interest Certification Form</w:t>
      </w:r>
    </w:p>
    <w:p w:rsidR="004476A1" w:rsidRPr="00251614" w:rsidRDefault="004476A1" w:rsidP="004476A1">
      <w:pPr>
        <w:pStyle w:val="BodyTextIndent"/>
        <w:spacing w:after="0"/>
        <w:ind w:left="2880" w:right="460"/>
      </w:pPr>
    </w:p>
    <w:p w:rsidR="004476A1" w:rsidRPr="00251614" w:rsidRDefault="004476A1" w:rsidP="004476A1">
      <w:pPr>
        <w:pStyle w:val="BodyTextIndent"/>
        <w:numPr>
          <w:ilvl w:val="0"/>
          <w:numId w:val="22"/>
        </w:numPr>
        <w:spacing w:after="0"/>
        <w:ind w:right="460"/>
      </w:pPr>
      <w:r w:rsidRPr="00251614">
        <w:t xml:space="preserve">Proposer should include the following attachment in the Cost Proposal </w:t>
      </w:r>
    </w:p>
    <w:p w:rsidR="004476A1" w:rsidRPr="00251614" w:rsidRDefault="004476A1" w:rsidP="004476A1">
      <w:pPr>
        <w:pStyle w:val="BodyTextIndent"/>
        <w:tabs>
          <w:tab w:val="left" w:pos="2160"/>
        </w:tabs>
        <w:spacing w:after="0"/>
        <w:ind w:left="2880" w:right="460" w:hanging="360"/>
      </w:pPr>
    </w:p>
    <w:p w:rsidR="004476A1" w:rsidRPr="00251614" w:rsidRDefault="004476A1" w:rsidP="004476A1">
      <w:pPr>
        <w:pStyle w:val="BodyTextIndent"/>
        <w:numPr>
          <w:ilvl w:val="0"/>
          <w:numId w:val="24"/>
        </w:numPr>
        <w:tabs>
          <w:tab w:val="left" w:pos="2160"/>
        </w:tabs>
        <w:spacing w:after="0"/>
        <w:ind w:right="460"/>
      </w:pPr>
      <w:r w:rsidRPr="00251614">
        <w:rPr>
          <w:bCs/>
        </w:rPr>
        <w:t>Cost Proposal</w:t>
      </w:r>
      <w:r w:rsidRPr="00251614">
        <w:t xml:space="preserve"> </w:t>
      </w:r>
    </w:p>
    <w:p w:rsidR="00BB5083" w:rsidRPr="00251614" w:rsidRDefault="00BB5083" w:rsidP="003F2088">
      <w:pPr>
        <w:pStyle w:val="BodyTextIndent"/>
        <w:spacing w:after="0"/>
        <w:ind w:left="1440" w:right="-36" w:hanging="720"/>
        <w:jc w:val="both"/>
      </w:pPr>
      <w:proofErr w:type="gramStart"/>
      <w:r w:rsidRPr="00251614">
        <w:lastRenderedPageBreak/>
        <w:t>6.2</w:t>
      </w:r>
      <w:r w:rsidRPr="00251614">
        <w:tab/>
      </w:r>
      <w:r w:rsidRPr="00251614">
        <w:rPr>
          <w:u w:val="single"/>
        </w:rPr>
        <w:t>Cost Proposal</w:t>
      </w:r>
      <w:r w:rsidRPr="00251614">
        <w:t>.</w:t>
      </w:r>
      <w:proofErr w:type="gramEnd"/>
      <w:r w:rsidRPr="00251614">
        <w:t xml:space="preserve">  The following information must be included in the Cost Proposal: </w:t>
      </w:r>
    </w:p>
    <w:p w:rsidR="00BB5083" w:rsidRPr="00251614" w:rsidRDefault="00BB5083" w:rsidP="003F2088">
      <w:pPr>
        <w:pStyle w:val="BodyTextIndent"/>
        <w:spacing w:after="0"/>
        <w:ind w:left="1440" w:right="-36" w:hanging="720"/>
        <w:jc w:val="both"/>
      </w:pPr>
    </w:p>
    <w:p w:rsidR="00BB5083" w:rsidRPr="00251614" w:rsidRDefault="00BB5083" w:rsidP="003F2088">
      <w:pPr>
        <w:ind w:left="2160" w:right="-36" w:hanging="720"/>
        <w:jc w:val="both"/>
      </w:pPr>
      <w:r w:rsidRPr="00251614">
        <w:t>6.2.1</w:t>
      </w:r>
      <w:r w:rsidRPr="00251614">
        <w:tab/>
        <w:t xml:space="preserve">A firm, fixed price for all services that may be provided and all expenses that may be incurred in completing each phase of the project and a total price for completing the entire project and </w:t>
      </w:r>
      <w:r w:rsidR="00444BFF" w:rsidRPr="00251614">
        <w:t xml:space="preserve">each Deliverable specified in </w:t>
      </w:r>
      <w:r w:rsidR="00444BFF" w:rsidRPr="00251614">
        <w:rPr>
          <w:i/>
        </w:rPr>
        <w:t xml:space="preserve">Attachment 2, Exhibit C, Work to be Performed. Travel costs should be budgeted for </w:t>
      </w:r>
      <w:proofErr w:type="gramStart"/>
      <w:r w:rsidR="005A6016" w:rsidRPr="00251614">
        <w:rPr>
          <w:i/>
        </w:rPr>
        <w:t>4</w:t>
      </w:r>
      <w:proofErr w:type="gramEnd"/>
      <w:r w:rsidR="00444BFF" w:rsidRPr="00251614">
        <w:rPr>
          <w:i/>
        </w:rPr>
        <w:t xml:space="preserve"> one-day trips to the Sacramento area, </w:t>
      </w:r>
      <w:r w:rsidR="005A6016" w:rsidRPr="00251614">
        <w:rPr>
          <w:i/>
        </w:rPr>
        <w:t>6</w:t>
      </w:r>
      <w:r w:rsidR="00444BFF" w:rsidRPr="00251614">
        <w:rPr>
          <w:i/>
        </w:rPr>
        <w:t xml:space="preserve"> one-day trips Los Angeles/San Bernardino area and 5 one-day trips to the San Francisco Bay area.   </w:t>
      </w:r>
    </w:p>
    <w:p w:rsidR="00BB5083" w:rsidRPr="00251614" w:rsidRDefault="00BB5083" w:rsidP="003F2088">
      <w:pPr>
        <w:ind w:left="2880" w:right="-36" w:hanging="720"/>
        <w:jc w:val="both"/>
      </w:pPr>
    </w:p>
    <w:p w:rsidR="00BB5083" w:rsidRPr="00251614" w:rsidRDefault="00BB5083" w:rsidP="003F2088">
      <w:pPr>
        <w:ind w:left="2160" w:right="-36" w:hanging="720"/>
        <w:jc w:val="both"/>
      </w:pPr>
      <w:r w:rsidRPr="00251614">
        <w:t>6.2.2</w:t>
      </w:r>
      <w:r w:rsidRPr="00251614">
        <w:tab/>
        <w:t>A detailed explanation of how the price was determined, including: (1) a detailed line item budget showing total cost of the proposed services</w:t>
      </w:r>
      <w:r w:rsidR="00444BFF" w:rsidRPr="00251614">
        <w:t xml:space="preserve"> (hourly rate X hours) </w:t>
      </w:r>
      <w:r w:rsidRPr="00251614">
        <w:t>, and (2) a full explanation of all budget line items in a narrative entitled “Budget Justification.”</w:t>
      </w:r>
    </w:p>
    <w:p w:rsidR="00BB5083" w:rsidRPr="00251614" w:rsidRDefault="00BB5083" w:rsidP="003F2088">
      <w:pPr>
        <w:ind w:left="2160" w:right="-36" w:hanging="720"/>
        <w:jc w:val="both"/>
      </w:pPr>
    </w:p>
    <w:p w:rsidR="00BB5083" w:rsidRPr="00251614" w:rsidRDefault="00BB5083" w:rsidP="003F2088">
      <w:pPr>
        <w:ind w:left="1440" w:right="-36"/>
        <w:jc w:val="both"/>
      </w:pPr>
      <w:r w:rsidRPr="00251614">
        <w:rPr>
          <w:b/>
        </w:rPr>
        <w:t xml:space="preserve">NOTE: </w:t>
      </w:r>
      <w:r w:rsidRPr="00251614">
        <w:t>It is unlawful for any person engaged in business within this state to sell or use any article or product as a “loss leader” as defined in Section 17030 of the Business and Professions Code.</w:t>
      </w:r>
    </w:p>
    <w:p w:rsidR="00147BCD" w:rsidRPr="00251614" w:rsidRDefault="00147BCD" w:rsidP="003F2088">
      <w:pPr>
        <w:ind w:left="1440" w:right="-36"/>
        <w:jc w:val="both"/>
      </w:pPr>
    </w:p>
    <w:p w:rsidR="00147BCD" w:rsidRPr="00251614" w:rsidRDefault="00147BCD" w:rsidP="00147BCD">
      <w:pPr>
        <w:ind w:left="1440" w:right="475" w:hanging="720"/>
        <w:jc w:val="both"/>
        <w:rPr>
          <w:b/>
          <w:i/>
        </w:rPr>
      </w:pPr>
      <w:r w:rsidRPr="00251614">
        <w:t>6.3</w:t>
      </w:r>
      <w:r w:rsidRPr="00251614">
        <w:tab/>
        <w:t xml:space="preserve">In addition to the Technical Proposal and Cost Proposal, </w:t>
      </w:r>
      <w:r w:rsidRPr="00251614">
        <w:rPr>
          <w:i/>
        </w:rPr>
        <w:t>submit one (1) original and one (1) copy of the original signed documents for the following:</w:t>
      </w:r>
    </w:p>
    <w:p w:rsidR="00147BCD" w:rsidRPr="00251614" w:rsidRDefault="00147BCD" w:rsidP="00147BCD">
      <w:pPr>
        <w:tabs>
          <w:tab w:val="left" w:pos="2820"/>
        </w:tabs>
        <w:ind w:left="1440" w:right="468"/>
        <w:jc w:val="both"/>
        <w:rPr>
          <w:i/>
          <w:sz w:val="16"/>
          <w:szCs w:val="16"/>
        </w:rPr>
      </w:pPr>
    </w:p>
    <w:p w:rsidR="00147BCD" w:rsidRPr="00251614" w:rsidRDefault="00147BCD" w:rsidP="00147BCD">
      <w:pPr>
        <w:pStyle w:val="ListParagraph"/>
        <w:numPr>
          <w:ilvl w:val="0"/>
          <w:numId w:val="16"/>
        </w:numPr>
        <w:spacing w:after="120"/>
        <w:ind w:left="2700" w:right="-36" w:hanging="450"/>
      </w:pPr>
      <w:r w:rsidRPr="00251614">
        <w:t>Attachment 2 –  AOC Standard Terms and Conditions (submit only if there are exceptions/modifications as indicated on Attachment 3)</w:t>
      </w:r>
    </w:p>
    <w:p w:rsidR="00147BCD" w:rsidRPr="00251614" w:rsidRDefault="00147BCD" w:rsidP="00147BCD">
      <w:pPr>
        <w:pStyle w:val="ListParagraph"/>
        <w:numPr>
          <w:ilvl w:val="0"/>
          <w:numId w:val="16"/>
        </w:numPr>
        <w:spacing w:after="120"/>
        <w:ind w:left="2700" w:right="468" w:hanging="450"/>
        <w:jc w:val="both"/>
      </w:pPr>
      <w:r w:rsidRPr="00251614">
        <w:t>Attachment 3 – Proposer’s Acceptance of Terms and Conditions</w:t>
      </w:r>
    </w:p>
    <w:p w:rsidR="00147BCD" w:rsidRPr="00251614" w:rsidRDefault="00147BCD" w:rsidP="00147BCD">
      <w:pPr>
        <w:pStyle w:val="ListParagraph"/>
        <w:numPr>
          <w:ilvl w:val="0"/>
          <w:numId w:val="16"/>
        </w:numPr>
        <w:spacing w:after="120"/>
        <w:ind w:left="2700" w:right="468" w:hanging="450"/>
        <w:jc w:val="both"/>
      </w:pPr>
      <w:r w:rsidRPr="00251614">
        <w:t>Attachment 4 - Payee Data Record Form</w:t>
      </w:r>
    </w:p>
    <w:p w:rsidR="00147BCD" w:rsidRPr="00251614" w:rsidRDefault="00147BCD" w:rsidP="00147BCD">
      <w:pPr>
        <w:pStyle w:val="ListParagraph"/>
        <w:numPr>
          <w:ilvl w:val="0"/>
          <w:numId w:val="16"/>
        </w:numPr>
        <w:spacing w:after="120"/>
        <w:ind w:left="2700" w:right="468" w:hanging="450"/>
        <w:jc w:val="both"/>
      </w:pPr>
      <w:r w:rsidRPr="00251614">
        <w:t>Attachment 5 – Darfur Contracting Act Certification</w:t>
      </w:r>
    </w:p>
    <w:p w:rsidR="00147BCD" w:rsidRPr="00251614" w:rsidRDefault="00147BCD" w:rsidP="00147BCD">
      <w:pPr>
        <w:pStyle w:val="ListParagraph"/>
        <w:numPr>
          <w:ilvl w:val="0"/>
          <w:numId w:val="16"/>
        </w:numPr>
        <w:spacing w:after="240"/>
        <w:ind w:left="2692" w:right="475" w:hanging="446"/>
        <w:jc w:val="both"/>
      </w:pPr>
      <w:r w:rsidRPr="00251614">
        <w:t xml:space="preserve">Attachment 6 – Conflict of Interest Certification Form </w:t>
      </w:r>
    </w:p>
    <w:p w:rsidR="00C67597" w:rsidRPr="00251614" w:rsidRDefault="00BB5083" w:rsidP="003F2088">
      <w:pPr>
        <w:keepNext/>
        <w:ind w:left="720" w:right="-36" w:hanging="720"/>
        <w:jc w:val="both"/>
        <w:rPr>
          <w:b/>
          <w:bCs/>
        </w:rPr>
      </w:pPr>
      <w:r w:rsidRPr="00251614">
        <w:rPr>
          <w:b/>
          <w:bCs/>
        </w:rPr>
        <w:t>7</w:t>
      </w:r>
      <w:r w:rsidR="00C67597" w:rsidRPr="00251614">
        <w:rPr>
          <w:b/>
          <w:bCs/>
        </w:rPr>
        <w:t>.0</w:t>
      </w:r>
      <w:r w:rsidR="00C67597" w:rsidRPr="00251614">
        <w:rPr>
          <w:b/>
          <w:bCs/>
        </w:rPr>
        <w:tab/>
        <w:t>OFFER PERIOD</w:t>
      </w:r>
    </w:p>
    <w:p w:rsidR="00C67597" w:rsidRPr="00251614" w:rsidRDefault="00C67597" w:rsidP="003F2088">
      <w:pPr>
        <w:pStyle w:val="ExhibitC2"/>
        <w:numPr>
          <w:ilvl w:val="0"/>
          <w:numId w:val="0"/>
        </w:numPr>
        <w:spacing w:before="240"/>
        <w:ind w:left="720" w:right="-36"/>
        <w:jc w:val="both"/>
      </w:pPr>
      <w:r w:rsidRPr="00251614">
        <w:t xml:space="preserve">A Proposer's proposal is an irrevocable offer for ninety (90) days following the proposal due date.  In the event a final contract has not been awarded within this ninety (90) day period, the </w:t>
      </w:r>
      <w:r w:rsidR="00163BF0" w:rsidRPr="00251614">
        <w:t>AOC</w:t>
      </w:r>
      <w:r w:rsidRPr="00251614">
        <w:t xml:space="preserve"> reserves the right to negotiate extensions to this period.</w:t>
      </w:r>
      <w:r w:rsidR="00B031D3" w:rsidRPr="00251614">
        <w:t xml:space="preserve">  The </w:t>
      </w:r>
      <w:r w:rsidR="00163BF0" w:rsidRPr="00251614">
        <w:t>AOC</w:t>
      </w:r>
      <w:r w:rsidR="00B031D3" w:rsidRPr="00251614">
        <w:t xml:space="preserve"> may release all offers upon issuance of a Notice to Award. (See RFP</w:t>
      </w:r>
      <w:r w:rsidR="00552B85" w:rsidRPr="00251614">
        <w:t>,</w:t>
      </w:r>
      <w:r w:rsidR="00B031D3" w:rsidRPr="00251614">
        <w:t xml:space="preserve"> </w:t>
      </w:r>
      <w:r w:rsidR="00552B85" w:rsidRPr="00251614">
        <w:t>s</w:t>
      </w:r>
      <w:r w:rsidR="00B031D3" w:rsidRPr="00251614">
        <w:t xml:space="preserve">ection 3.0 for </w:t>
      </w:r>
      <w:r w:rsidR="00B031D3" w:rsidRPr="00251614">
        <w:rPr>
          <w:i/>
        </w:rPr>
        <w:t>Timeline For This RFP</w:t>
      </w:r>
      <w:r w:rsidR="00B031D3" w:rsidRPr="00251614">
        <w:t>.)</w:t>
      </w:r>
    </w:p>
    <w:p w:rsidR="00C67597" w:rsidRPr="00251614" w:rsidRDefault="00BB5083" w:rsidP="00444BFF">
      <w:pPr>
        <w:pStyle w:val="ExhibitC2"/>
        <w:numPr>
          <w:ilvl w:val="0"/>
          <w:numId w:val="0"/>
        </w:numPr>
        <w:spacing w:before="240" w:after="160"/>
        <w:ind w:left="720" w:right="-43" w:hanging="720"/>
        <w:jc w:val="both"/>
        <w:rPr>
          <w:b/>
          <w:bCs/>
        </w:rPr>
      </w:pPr>
      <w:r w:rsidRPr="00251614">
        <w:rPr>
          <w:b/>
          <w:bCs/>
        </w:rPr>
        <w:t>8</w:t>
      </w:r>
      <w:r w:rsidR="00C67597" w:rsidRPr="00251614">
        <w:rPr>
          <w:b/>
          <w:bCs/>
        </w:rPr>
        <w:t>.0</w:t>
      </w:r>
      <w:r w:rsidR="00C67597" w:rsidRPr="00251614">
        <w:rPr>
          <w:b/>
          <w:bCs/>
        </w:rPr>
        <w:tab/>
        <w:t>EVALUATION OF PROPOSALS</w:t>
      </w:r>
    </w:p>
    <w:p w:rsidR="00C67597" w:rsidRPr="00251614" w:rsidRDefault="00C67597" w:rsidP="003F2088">
      <w:pPr>
        <w:pStyle w:val="ExhibitC2"/>
        <w:numPr>
          <w:ilvl w:val="0"/>
          <w:numId w:val="0"/>
        </w:numPr>
        <w:spacing w:before="120" w:after="120"/>
        <w:ind w:left="720" w:right="-36" w:hanging="720"/>
        <w:jc w:val="both"/>
      </w:pPr>
      <w:r w:rsidRPr="00251614">
        <w:rPr>
          <w:b/>
          <w:bCs/>
        </w:rPr>
        <w:tab/>
      </w:r>
      <w:r w:rsidRPr="00251614">
        <w:t xml:space="preserve">At the time proposals are opened, each proposal will be checked for the presence or absence of the required proposal contents.  </w:t>
      </w:r>
    </w:p>
    <w:p w:rsidR="00C67597" w:rsidRPr="00251614" w:rsidRDefault="00C67597" w:rsidP="003F2088">
      <w:pPr>
        <w:pStyle w:val="ExhibitC2"/>
        <w:numPr>
          <w:ilvl w:val="0"/>
          <w:numId w:val="0"/>
        </w:numPr>
        <w:spacing w:before="120" w:after="120"/>
        <w:ind w:left="720" w:right="-36" w:hanging="720"/>
        <w:jc w:val="both"/>
      </w:pPr>
      <w:r w:rsidRPr="00251614">
        <w:tab/>
        <w:t xml:space="preserve">The </w:t>
      </w:r>
      <w:r w:rsidR="00163BF0" w:rsidRPr="00251614">
        <w:t>AOC</w:t>
      </w:r>
      <w:r w:rsidRPr="00251614">
        <w:t xml:space="preserve"> will evaluate the proposals on a </w:t>
      </w:r>
      <w:r w:rsidRPr="00251614">
        <w:rPr>
          <w:b/>
        </w:rPr>
        <w:t>100</w:t>
      </w:r>
      <w:r w:rsidR="001F0918" w:rsidRPr="00251614">
        <w:rPr>
          <w:b/>
        </w:rPr>
        <w:t>-</w:t>
      </w:r>
      <w:r w:rsidRPr="00251614">
        <w:rPr>
          <w:b/>
        </w:rPr>
        <w:t>point scale</w:t>
      </w:r>
      <w:r w:rsidRPr="00251614">
        <w:t xml:space="preserve"> using the criteria set forth in the table below.  Award, if made, will be to the highest scored proposal.</w:t>
      </w:r>
    </w:p>
    <w:p w:rsidR="00BB5083" w:rsidRPr="00251614" w:rsidRDefault="00BB5083" w:rsidP="0067317F">
      <w:pPr>
        <w:pStyle w:val="ExhibitC2"/>
        <w:numPr>
          <w:ilvl w:val="0"/>
          <w:numId w:val="0"/>
        </w:numPr>
        <w:spacing w:before="120" w:after="120"/>
        <w:ind w:left="720" w:hanging="720"/>
        <w:jc w:val="both"/>
        <w:rPr>
          <w:sz w:val="12"/>
          <w:szCs w:val="12"/>
        </w:rPr>
      </w:pPr>
    </w:p>
    <w:p w:rsidR="00147BCD" w:rsidRPr="00251614" w:rsidRDefault="00147BCD" w:rsidP="0067317F">
      <w:pPr>
        <w:pStyle w:val="ExhibitC2"/>
        <w:numPr>
          <w:ilvl w:val="0"/>
          <w:numId w:val="0"/>
        </w:numPr>
        <w:spacing w:before="120" w:after="120"/>
        <w:ind w:left="720" w:hanging="720"/>
        <w:jc w:val="both"/>
        <w:rPr>
          <w:sz w:val="12"/>
          <w:szCs w:val="12"/>
        </w:rPr>
      </w:pPr>
    </w:p>
    <w:p w:rsidR="00147BCD" w:rsidRPr="00251614" w:rsidRDefault="00147BCD" w:rsidP="0067317F">
      <w:pPr>
        <w:pStyle w:val="ExhibitC2"/>
        <w:numPr>
          <w:ilvl w:val="0"/>
          <w:numId w:val="0"/>
        </w:numPr>
        <w:spacing w:before="120" w:after="120"/>
        <w:ind w:left="720" w:hanging="720"/>
        <w:jc w:val="both"/>
        <w:rPr>
          <w:sz w:val="12"/>
          <w:szCs w:val="1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18"/>
        <w:gridCol w:w="1710"/>
      </w:tblGrid>
      <w:tr w:rsidR="003F2088" w:rsidRPr="00251614" w:rsidTr="003F2088">
        <w:trPr>
          <w:trHeight w:val="485"/>
          <w:tblHeader/>
        </w:trPr>
        <w:tc>
          <w:tcPr>
            <w:tcW w:w="5418" w:type="dxa"/>
            <w:shd w:val="clear" w:color="auto" w:fill="E6E6E6"/>
            <w:vAlign w:val="center"/>
          </w:tcPr>
          <w:p w:rsidR="003F2088" w:rsidRPr="00251614" w:rsidRDefault="003F2088" w:rsidP="003F2088">
            <w:pPr>
              <w:widowControl w:val="0"/>
              <w:tabs>
                <w:tab w:val="left" w:pos="6354"/>
              </w:tabs>
              <w:ind w:right="-18"/>
              <w:rPr>
                <w:b/>
                <w:bCs/>
                <w:sz w:val="22"/>
                <w:szCs w:val="22"/>
              </w:rPr>
            </w:pPr>
            <w:r w:rsidRPr="00251614">
              <w:rPr>
                <w:b/>
                <w:bCs/>
                <w:sz w:val="22"/>
                <w:szCs w:val="22"/>
              </w:rPr>
              <w:lastRenderedPageBreak/>
              <w:t>CRITERION</w:t>
            </w:r>
          </w:p>
        </w:tc>
        <w:tc>
          <w:tcPr>
            <w:tcW w:w="1710" w:type="dxa"/>
            <w:shd w:val="clear" w:color="auto" w:fill="E6E6E6"/>
            <w:vAlign w:val="center"/>
          </w:tcPr>
          <w:p w:rsidR="003F2088" w:rsidRPr="00251614" w:rsidRDefault="003F2088" w:rsidP="003F2088">
            <w:pPr>
              <w:widowControl w:val="0"/>
              <w:ind w:left="-108" w:right="-108"/>
              <w:jc w:val="center"/>
              <w:rPr>
                <w:rFonts w:ascii="Times New Roman Bold" w:hAnsi="Times New Roman Bold"/>
                <w:b/>
                <w:bCs/>
                <w:caps/>
                <w:sz w:val="22"/>
                <w:szCs w:val="22"/>
              </w:rPr>
            </w:pPr>
            <w:r w:rsidRPr="00251614">
              <w:rPr>
                <w:rFonts w:ascii="Times New Roman Bold" w:hAnsi="Times New Roman Bold"/>
                <w:b/>
                <w:bCs/>
                <w:caps/>
                <w:sz w:val="22"/>
                <w:szCs w:val="22"/>
              </w:rPr>
              <w:t>maximum number of points</w:t>
            </w:r>
          </w:p>
        </w:tc>
      </w:tr>
      <w:tr w:rsidR="0097078B" w:rsidRPr="00251614" w:rsidTr="0097078B">
        <w:trPr>
          <w:trHeight w:val="302"/>
        </w:trPr>
        <w:tc>
          <w:tcPr>
            <w:tcW w:w="5418" w:type="dxa"/>
            <w:vAlign w:val="center"/>
          </w:tcPr>
          <w:p w:rsidR="0097078B" w:rsidRPr="00251614" w:rsidRDefault="0097078B" w:rsidP="0097078B">
            <w:pPr>
              <w:widowControl w:val="0"/>
              <w:rPr>
                <w:i/>
                <w:sz w:val="22"/>
                <w:szCs w:val="22"/>
              </w:rPr>
            </w:pPr>
            <w:r w:rsidRPr="00251614">
              <w:rPr>
                <w:i/>
                <w:sz w:val="22"/>
                <w:szCs w:val="22"/>
              </w:rPr>
              <w:t>Quality of work plan submitted</w:t>
            </w:r>
          </w:p>
          <w:p w:rsidR="0097078B" w:rsidRPr="00251614" w:rsidRDefault="0097078B" w:rsidP="0097078B">
            <w:pPr>
              <w:pStyle w:val="ListParagraph"/>
              <w:widowControl w:val="0"/>
              <w:numPr>
                <w:ilvl w:val="0"/>
                <w:numId w:val="19"/>
              </w:numPr>
              <w:rPr>
                <w:bCs/>
                <w:sz w:val="22"/>
                <w:szCs w:val="22"/>
              </w:rPr>
            </w:pPr>
            <w:r w:rsidRPr="00251614">
              <w:rPr>
                <w:bCs/>
                <w:sz w:val="22"/>
                <w:szCs w:val="22"/>
              </w:rPr>
              <w:t>Proposed overall project timeline</w:t>
            </w:r>
          </w:p>
          <w:p w:rsidR="0097078B" w:rsidRPr="00251614" w:rsidRDefault="0097078B" w:rsidP="0097078B">
            <w:pPr>
              <w:pStyle w:val="ListParagraph"/>
              <w:widowControl w:val="0"/>
              <w:numPr>
                <w:ilvl w:val="0"/>
                <w:numId w:val="19"/>
              </w:numPr>
              <w:rPr>
                <w:bCs/>
                <w:sz w:val="22"/>
                <w:szCs w:val="22"/>
              </w:rPr>
            </w:pPr>
            <w:r w:rsidRPr="00251614">
              <w:rPr>
                <w:bCs/>
                <w:sz w:val="22"/>
                <w:szCs w:val="22"/>
              </w:rPr>
              <w:t>Description of curricula used to train judicial officers, attorneys, and other stakeholders in legal aspects of information sharing</w:t>
            </w:r>
          </w:p>
          <w:p w:rsidR="0097078B" w:rsidRPr="00251614" w:rsidRDefault="0097078B" w:rsidP="0097078B">
            <w:pPr>
              <w:pStyle w:val="ListParagraph"/>
              <w:widowControl w:val="0"/>
              <w:numPr>
                <w:ilvl w:val="0"/>
                <w:numId w:val="19"/>
              </w:numPr>
              <w:rPr>
                <w:bCs/>
                <w:sz w:val="22"/>
                <w:szCs w:val="22"/>
              </w:rPr>
            </w:pPr>
            <w:r w:rsidRPr="00251614">
              <w:rPr>
                <w:bCs/>
                <w:sz w:val="22"/>
                <w:szCs w:val="22"/>
              </w:rPr>
              <w:t>Proposed team organization</w:t>
            </w:r>
          </w:p>
        </w:tc>
        <w:tc>
          <w:tcPr>
            <w:tcW w:w="1710" w:type="dxa"/>
          </w:tcPr>
          <w:p w:rsidR="0097078B" w:rsidRPr="00251614" w:rsidRDefault="0097078B" w:rsidP="0097078B">
            <w:pPr>
              <w:widowControl w:val="0"/>
              <w:tabs>
                <w:tab w:val="left" w:pos="2178"/>
              </w:tabs>
              <w:jc w:val="center"/>
              <w:rPr>
                <w:b/>
                <w:bCs/>
                <w:sz w:val="22"/>
                <w:szCs w:val="22"/>
              </w:rPr>
            </w:pPr>
            <w:r w:rsidRPr="00251614">
              <w:rPr>
                <w:bCs/>
                <w:sz w:val="22"/>
                <w:szCs w:val="22"/>
              </w:rPr>
              <w:t>20</w:t>
            </w:r>
          </w:p>
        </w:tc>
      </w:tr>
      <w:tr w:rsidR="0097078B" w:rsidRPr="00251614" w:rsidTr="0097078B">
        <w:trPr>
          <w:trHeight w:val="527"/>
        </w:trPr>
        <w:tc>
          <w:tcPr>
            <w:tcW w:w="5418" w:type="dxa"/>
            <w:vAlign w:val="center"/>
          </w:tcPr>
          <w:p w:rsidR="0097078B" w:rsidRPr="00251614" w:rsidRDefault="0097078B" w:rsidP="0097078B">
            <w:pPr>
              <w:widowControl w:val="0"/>
              <w:rPr>
                <w:i/>
                <w:sz w:val="22"/>
                <w:szCs w:val="22"/>
              </w:rPr>
            </w:pPr>
            <w:r w:rsidRPr="00251614">
              <w:rPr>
                <w:i/>
                <w:sz w:val="22"/>
                <w:szCs w:val="22"/>
              </w:rPr>
              <w:t>Experience on similar assignments</w:t>
            </w:r>
          </w:p>
          <w:p w:rsidR="0097078B" w:rsidRPr="00251614" w:rsidRDefault="0097078B" w:rsidP="0097078B">
            <w:pPr>
              <w:pStyle w:val="ListParagraph"/>
              <w:widowControl w:val="0"/>
              <w:numPr>
                <w:ilvl w:val="0"/>
                <w:numId w:val="20"/>
              </w:numPr>
              <w:rPr>
                <w:bCs/>
                <w:sz w:val="22"/>
                <w:szCs w:val="22"/>
              </w:rPr>
            </w:pPr>
            <w:r w:rsidRPr="00251614">
              <w:rPr>
                <w:bCs/>
                <w:sz w:val="22"/>
                <w:szCs w:val="22"/>
              </w:rPr>
              <w:t>Experience training legal and child welfare professionals in legal aspects of information sharing</w:t>
            </w:r>
          </w:p>
          <w:p w:rsidR="0097078B" w:rsidRPr="00251614" w:rsidRDefault="0097078B" w:rsidP="0097078B">
            <w:pPr>
              <w:pStyle w:val="ListParagraph"/>
              <w:widowControl w:val="0"/>
              <w:numPr>
                <w:ilvl w:val="0"/>
                <w:numId w:val="20"/>
              </w:numPr>
              <w:rPr>
                <w:bCs/>
                <w:sz w:val="22"/>
                <w:szCs w:val="22"/>
              </w:rPr>
            </w:pPr>
            <w:r w:rsidRPr="00251614">
              <w:rPr>
                <w:bCs/>
                <w:sz w:val="22"/>
                <w:szCs w:val="22"/>
              </w:rPr>
              <w:t>Experience assisting courts, counties, or other institutions in drafting memoranda of understanding for information sharing</w:t>
            </w:r>
          </w:p>
        </w:tc>
        <w:tc>
          <w:tcPr>
            <w:tcW w:w="1710" w:type="dxa"/>
          </w:tcPr>
          <w:p w:rsidR="0097078B" w:rsidRPr="00251614" w:rsidRDefault="0097078B" w:rsidP="0097078B">
            <w:pPr>
              <w:widowControl w:val="0"/>
              <w:tabs>
                <w:tab w:val="left" w:pos="2178"/>
              </w:tabs>
              <w:jc w:val="center"/>
              <w:rPr>
                <w:b/>
                <w:bCs/>
                <w:sz w:val="22"/>
                <w:szCs w:val="22"/>
              </w:rPr>
            </w:pPr>
            <w:r w:rsidRPr="00251614">
              <w:rPr>
                <w:bCs/>
                <w:sz w:val="22"/>
                <w:szCs w:val="22"/>
              </w:rPr>
              <w:t>20</w:t>
            </w:r>
          </w:p>
        </w:tc>
      </w:tr>
      <w:tr w:rsidR="0097078B" w:rsidRPr="00251614" w:rsidDel="00BB7B51" w:rsidTr="0097078B">
        <w:trPr>
          <w:trHeight w:val="266"/>
        </w:trPr>
        <w:tc>
          <w:tcPr>
            <w:tcW w:w="5418" w:type="dxa"/>
            <w:vAlign w:val="center"/>
          </w:tcPr>
          <w:p w:rsidR="0097078B" w:rsidRPr="00251614" w:rsidRDefault="0097078B" w:rsidP="0097078B">
            <w:pPr>
              <w:widowControl w:val="0"/>
              <w:rPr>
                <w:bCs/>
                <w:i/>
                <w:sz w:val="22"/>
                <w:szCs w:val="22"/>
              </w:rPr>
            </w:pPr>
            <w:r w:rsidRPr="00251614">
              <w:rPr>
                <w:i/>
                <w:sz w:val="22"/>
                <w:szCs w:val="22"/>
              </w:rPr>
              <w:t>Reasonableness of Cost Proposal</w:t>
            </w:r>
          </w:p>
        </w:tc>
        <w:tc>
          <w:tcPr>
            <w:tcW w:w="1710" w:type="dxa"/>
          </w:tcPr>
          <w:p w:rsidR="0097078B" w:rsidRPr="00251614" w:rsidRDefault="0097078B" w:rsidP="0097078B">
            <w:pPr>
              <w:widowControl w:val="0"/>
              <w:jc w:val="center"/>
              <w:rPr>
                <w:b/>
                <w:bCs/>
                <w:sz w:val="22"/>
                <w:szCs w:val="22"/>
              </w:rPr>
            </w:pPr>
            <w:r w:rsidRPr="00251614">
              <w:rPr>
                <w:bCs/>
                <w:sz w:val="22"/>
                <w:szCs w:val="22"/>
              </w:rPr>
              <w:t>30</w:t>
            </w:r>
          </w:p>
        </w:tc>
      </w:tr>
      <w:tr w:rsidR="0097078B" w:rsidRPr="00251614" w:rsidDel="00BB7B51" w:rsidTr="0097078B">
        <w:trPr>
          <w:trHeight w:val="347"/>
        </w:trPr>
        <w:tc>
          <w:tcPr>
            <w:tcW w:w="5418" w:type="dxa"/>
            <w:vAlign w:val="center"/>
          </w:tcPr>
          <w:p w:rsidR="0097078B" w:rsidRPr="00251614" w:rsidRDefault="0097078B" w:rsidP="0097078B">
            <w:pPr>
              <w:widowControl w:val="0"/>
              <w:ind w:right="576"/>
              <w:rPr>
                <w:i/>
                <w:sz w:val="22"/>
                <w:szCs w:val="22"/>
              </w:rPr>
            </w:pPr>
            <w:r w:rsidRPr="00251614">
              <w:rPr>
                <w:i/>
                <w:sz w:val="22"/>
                <w:szCs w:val="22"/>
              </w:rPr>
              <w:t>Credentials of staff to be assigned to the project</w:t>
            </w:r>
          </w:p>
          <w:p w:rsidR="0097078B" w:rsidRPr="00251614" w:rsidRDefault="0097078B" w:rsidP="0097078B">
            <w:pPr>
              <w:pStyle w:val="ListParagraph"/>
              <w:widowControl w:val="0"/>
              <w:numPr>
                <w:ilvl w:val="0"/>
                <w:numId w:val="21"/>
              </w:numPr>
              <w:ind w:right="576"/>
              <w:rPr>
                <w:bCs/>
                <w:i/>
                <w:sz w:val="22"/>
                <w:szCs w:val="22"/>
              </w:rPr>
            </w:pPr>
            <w:r w:rsidRPr="00251614">
              <w:rPr>
                <w:bCs/>
                <w:sz w:val="22"/>
                <w:szCs w:val="22"/>
              </w:rPr>
              <w:t>Provide current resume or curriculum vitae</w:t>
            </w:r>
          </w:p>
        </w:tc>
        <w:tc>
          <w:tcPr>
            <w:tcW w:w="1710" w:type="dxa"/>
          </w:tcPr>
          <w:p w:rsidR="0097078B" w:rsidRPr="00251614" w:rsidRDefault="0097078B" w:rsidP="0097078B">
            <w:pPr>
              <w:widowControl w:val="0"/>
              <w:jc w:val="center"/>
              <w:rPr>
                <w:b/>
                <w:bCs/>
                <w:sz w:val="8"/>
                <w:szCs w:val="8"/>
              </w:rPr>
            </w:pPr>
          </w:p>
          <w:p w:rsidR="0097078B" w:rsidRPr="00251614" w:rsidRDefault="0097078B" w:rsidP="0097078B">
            <w:pPr>
              <w:widowControl w:val="0"/>
              <w:jc w:val="center"/>
              <w:rPr>
                <w:b/>
                <w:bCs/>
                <w:sz w:val="12"/>
                <w:szCs w:val="12"/>
              </w:rPr>
            </w:pPr>
            <w:r w:rsidRPr="00251614">
              <w:rPr>
                <w:bCs/>
                <w:sz w:val="22"/>
                <w:szCs w:val="22"/>
              </w:rPr>
              <w:t>15</w:t>
            </w:r>
          </w:p>
        </w:tc>
      </w:tr>
      <w:tr w:rsidR="0097078B" w:rsidRPr="00251614" w:rsidTr="0097078B">
        <w:trPr>
          <w:trHeight w:val="257"/>
        </w:trPr>
        <w:tc>
          <w:tcPr>
            <w:tcW w:w="5418" w:type="dxa"/>
            <w:vAlign w:val="center"/>
          </w:tcPr>
          <w:p w:rsidR="0097078B" w:rsidRPr="00251614" w:rsidRDefault="0097078B" w:rsidP="0097078B">
            <w:pPr>
              <w:widowControl w:val="0"/>
              <w:ind w:right="576"/>
              <w:rPr>
                <w:i/>
                <w:sz w:val="22"/>
                <w:szCs w:val="22"/>
              </w:rPr>
            </w:pPr>
            <w:r w:rsidRPr="00251614">
              <w:rPr>
                <w:i/>
                <w:sz w:val="22"/>
                <w:szCs w:val="22"/>
              </w:rPr>
              <w:t xml:space="preserve">Acceptance of the </w:t>
            </w:r>
            <w:r w:rsidRPr="00251614">
              <w:rPr>
                <w:sz w:val="22"/>
                <w:szCs w:val="22"/>
              </w:rPr>
              <w:t xml:space="preserve"> </w:t>
            </w:r>
            <w:r w:rsidRPr="00251614">
              <w:rPr>
                <w:i/>
                <w:sz w:val="22"/>
                <w:szCs w:val="22"/>
              </w:rPr>
              <w:t>Terms and Conditions</w:t>
            </w:r>
          </w:p>
        </w:tc>
        <w:tc>
          <w:tcPr>
            <w:tcW w:w="1710" w:type="dxa"/>
          </w:tcPr>
          <w:p w:rsidR="0097078B" w:rsidRPr="00251614" w:rsidRDefault="0097078B" w:rsidP="0097078B">
            <w:pPr>
              <w:widowControl w:val="0"/>
              <w:jc w:val="center"/>
              <w:rPr>
                <w:b/>
                <w:bCs/>
                <w:sz w:val="8"/>
                <w:szCs w:val="8"/>
              </w:rPr>
            </w:pPr>
            <w:r w:rsidRPr="00251614">
              <w:rPr>
                <w:bCs/>
                <w:sz w:val="22"/>
                <w:szCs w:val="22"/>
              </w:rPr>
              <w:t>10</w:t>
            </w:r>
          </w:p>
        </w:tc>
      </w:tr>
      <w:tr w:rsidR="0097078B" w:rsidRPr="00251614" w:rsidTr="0097078B">
        <w:trPr>
          <w:trHeight w:val="257"/>
        </w:trPr>
        <w:tc>
          <w:tcPr>
            <w:tcW w:w="5418" w:type="dxa"/>
            <w:vAlign w:val="center"/>
          </w:tcPr>
          <w:p w:rsidR="0097078B" w:rsidRPr="00251614" w:rsidRDefault="0097078B" w:rsidP="0097078B">
            <w:pPr>
              <w:widowControl w:val="0"/>
              <w:ind w:right="576"/>
              <w:rPr>
                <w:i/>
                <w:sz w:val="22"/>
                <w:szCs w:val="22"/>
              </w:rPr>
            </w:pPr>
            <w:r w:rsidRPr="00251614">
              <w:rPr>
                <w:i/>
                <w:sz w:val="22"/>
                <w:szCs w:val="22"/>
              </w:rPr>
              <w:t>Ability to meet timing requirements to complete the project</w:t>
            </w:r>
          </w:p>
        </w:tc>
        <w:tc>
          <w:tcPr>
            <w:tcW w:w="1710" w:type="dxa"/>
          </w:tcPr>
          <w:p w:rsidR="0097078B" w:rsidRPr="00251614" w:rsidRDefault="0097078B" w:rsidP="0097078B">
            <w:pPr>
              <w:widowControl w:val="0"/>
              <w:jc w:val="center"/>
              <w:rPr>
                <w:b/>
                <w:bCs/>
                <w:sz w:val="22"/>
                <w:szCs w:val="22"/>
              </w:rPr>
            </w:pPr>
            <w:r w:rsidRPr="00251614">
              <w:rPr>
                <w:bCs/>
                <w:sz w:val="22"/>
                <w:szCs w:val="22"/>
              </w:rPr>
              <w:t>5</w:t>
            </w:r>
          </w:p>
        </w:tc>
      </w:tr>
      <w:tr w:rsidR="003F2088" w:rsidRPr="00251614" w:rsidTr="003F2088">
        <w:trPr>
          <w:trHeight w:val="266"/>
        </w:trPr>
        <w:tc>
          <w:tcPr>
            <w:tcW w:w="5418" w:type="dxa"/>
            <w:vAlign w:val="center"/>
          </w:tcPr>
          <w:p w:rsidR="003F2088" w:rsidRPr="00251614" w:rsidRDefault="003F2088" w:rsidP="003F2088">
            <w:pPr>
              <w:widowControl w:val="0"/>
              <w:jc w:val="right"/>
              <w:rPr>
                <w:b/>
                <w:sz w:val="22"/>
                <w:szCs w:val="22"/>
              </w:rPr>
            </w:pPr>
            <w:r w:rsidRPr="00251614">
              <w:rPr>
                <w:b/>
                <w:sz w:val="22"/>
                <w:szCs w:val="22"/>
              </w:rPr>
              <w:t>Maximum Score</w:t>
            </w:r>
          </w:p>
        </w:tc>
        <w:tc>
          <w:tcPr>
            <w:tcW w:w="1710" w:type="dxa"/>
          </w:tcPr>
          <w:p w:rsidR="003F2088" w:rsidRPr="00251614" w:rsidRDefault="003F2088" w:rsidP="007E3129">
            <w:pPr>
              <w:keepNext/>
              <w:jc w:val="center"/>
              <w:rPr>
                <w:b/>
                <w:sz w:val="22"/>
                <w:szCs w:val="22"/>
              </w:rPr>
            </w:pPr>
            <w:r w:rsidRPr="00251614">
              <w:rPr>
                <w:b/>
                <w:sz w:val="22"/>
                <w:szCs w:val="22"/>
              </w:rPr>
              <w:t>100</w:t>
            </w:r>
          </w:p>
        </w:tc>
      </w:tr>
    </w:tbl>
    <w:p w:rsidR="00C67597" w:rsidRPr="00251614" w:rsidRDefault="00C67597"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3F2088" w:rsidRPr="00251614" w:rsidRDefault="003F2088" w:rsidP="0067317F">
      <w:pPr>
        <w:tabs>
          <w:tab w:val="left" w:leader="underscore" w:pos="5040"/>
          <w:tab w:val="right" w:leader="underscore" w:pos="9360"/>
        </w:tabs>
        <w:spacing w:before="120"/>
        <w:jc w:val="both"/>
        <w:rPr>
          <w:sz w:val="22"/>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3F2088">
      <w:pPr>
        <w:widowControl w:val="0"/>
        <w:ind w:left="720" w:hanging="720"/>
        <w:jc w:val="both"/>
        <w:rPr>
          <w:b/>
          <w:bCs/>
        </w:rPr>
      </w:pPr>
    </w:p>
    <w:p w:rsidR="0097078B" w:rsidRPr="00251614" w:rsidRDefault="0097078B" w:rsidP="00552B85">
      <w:pPr>
        <w:widowControl w:val="0"/>
        <w:ind w:left="720" w:hanging="720"/>
        <w:jc w:val="both"/>
        <w:rPr>
          <w:b/>
          <w:bCs/>
        </w:rPr>
      </w:pPr>
    </w:p>
    <w:p w:rsidR="00C67597" w:rsidRPr="00251614" w:rsidRDefault="00670E27" w:rsidP="00552B85">
      <w:pPr>
        <w:widowControl w:val="0"/>
        <w:ind w:left="720" w:hanging="720"/>
        <w:jc w:val="both"/>
        <w:rPr>
          <w:b/>
          <w:bCs/>
        </w:rPr>
      </w:pPr>
      <w:r w:rsidRPr="00251614">
        <w:rPr>
          <w:b/>
          <w:bCs/>
        </w:rPr>
        <w:t>9</w:t>
      </w:r>
      <w:r w:rsidR="00C67597" w:rsidRPr="00251614">
        <w:rPr>
          <w:b/>
          <w:bCs/>
        </w:rPr>
        <w:t>.0</w:t>
      </w:r>
      <w:r w:rsidR="00C67597" w:rsidRPr="00251614">
        <w:rPr>
          <w:b/>
          <w:bCs/>
        </w:rPr>
        <w:tab/>
        <w:t>RIGHTS</w:t>
      </w:r>
    </w:p>
    <w:p w:rsidR="00C67597" w:rsidRPr="00251614" w:rsidRDefault="00C67597" w:rsidP="00552B85">
      <w:pPr>
        <w:widowControl w:val="0"/>
        <w:jc w:val="both"/>
        <w:rPr>
          <w:sz w:val="20"/>
          <w:szCs w:val="20"/>
        </w:rPr>
      </w:pPr>
    </w:p>
    <w:p w:rsidR="00C67597" w:rsidRPr="00251614" w:rsidRDefault="00C67597" w:rsidP="00552B85">
      <w:pPr>
        <w:pStyle w:val="BodyTextIndent2"/>
        <w:widowControl w:val="0"/>
        <w:spacing w:after="0" w:line="240" w:lineRule="auto"/>
        <w:ind w:left="720"/>
        <w:jc w:val="both"/>
      </w:pPr>
      <w:r w:rsidRPr="00251614">
        <w:t xml:space="preserve">The </w:t>
      </w:r>
      <w:r w:rsidR="00163BF0" w:rsidRPr="00251614">
        <w:t>AOC</w:t>
      </w:r>
      <w:r w:rsidRPr="00251614">
        <w:t xml:space="preserve"> reserves the right to reject </w:t>
      </w:r>
      <w:proofErr w:type="gramStart"/>
      <w:r w:rsidRPr="00251614">
        <w:t>any and all</w:t>
      </w:r>
      <w:proofErr w:type="gramEnd"/>
      <w:r w:rsidRPr="00251614">
        <w:t xml:space="preserve"> proposals, in whole or in part, as well as the right to issue similar RFPs in the future.  This RFP is in no way an agreement, obligation, or contract and in no way is the </w:t>
      </w:r>
      <w:r w:rsidR="00163BF0" w:rsidRPr="00251614">
        <w:t>AOC</w:t>
      </w:r>
      <w:r w:rsidRPr="00251614">
        <w:t xml:space="preserve"> or the State of California responsible for the cost of preparing a proposal.  One copy of each proposal </w:t>
      </w:r>
      <w:proofErr w:type="gramStart"/>
      <w:r w:rsidRPr="00251614">
        <w:t>will be retained</w:t>
      </w:r>
      <w:proofErr w:type="gramEnd"/>
      <w:r w:rsidRPr="00251614">
        <w:t xml:space="preserve"> by the </w:t>
      </w:r>
      <w:r w:rsidR="00163BF0" w:rsidRPr="00251614">
        <w:t>AOC</w:t>
      </w:r>
      <w:r w:rsidRPr="00251614">
        <w:t xml:space="preserve"> for official files and will become a public record.</w:t>
      </w:r>
    </w:p>
    <w:p w:rsidR="00C67597" w:rsidRPr="00251614" w:rsidRDefault="00C67597" w:rsidP="0067317F">
      <w:pPr>
        <w:pStyle w:val="BodyTextIndent2"/>
        <w:spacing w:after="0" w:line="240" w:lineRule="auto"/>
        <w:ind w:left="720"/>
        <w:jc w:val="both"/>
      </w:pPr>
    </w:p>
    <w:p w:rsidR="00C67597" w:rsidRPr="00251614" w:rsidRDefault="00C67597" w:rsidP="0067317F">
      <w:pPr>
        <w:keepNext/>
        <w:ind w:left="720" w:hanging="720"/>
        <w:jc w:val="both"/>
        <w:rPr>
          <w:b/>
          <w:bCs/>
        </w:rPr>
      </w:pPr>
      <w:r w:rsidRPr="00251614">
        <w:rPr>
          <w:b/>
          <w:bCs/>
        </w:rPr>
        <w:t>1</w:t>
      </w:r>
      <w:r w:rsidR="00670E27" w:rsidRPr="00251614">
        <w:rPr>
          <w:b/>
          <w:bCs/>
        </w:rPr>
        <w:t>0</w:t>
      </w:r>
      <w:r w:rsidRPr="00251614">
        <w:rPr>
          <w:b/>
          <w:bCs/>
        </w:rPr>
        <w:t>.0</w:t>
      </w:r>
      <w:r w:rsidRPr="00251614">
        <w:rPr>
          <w:b/>
          <w:bCs/>
        </w:rPr>
        <w:tab/>
        <w:t>CONFIDENTIAL OR PROPRIETARY INFORMATION</w:t>
      </w:r>
    </w:p>
    <w:p w:rsidR="00C67597" w:rsidRPr="00251614" w:rsidRDefault="00C67597" w:rsidP="0067317F">
      <w:pPr>
        <w:pStyle w:val="RFPA"/>
        <w:keepNext/>
        <w:numPr>
          <w:ilvl w:val="0"/>
          <w:numId w:val="0"/>
        </w:numPr>
        <w:ind w:left="720" w:hanging="720"/>
        <w:jc w:val="both"/>
        <w:rPr>
          <w:sz w:val="20"/>
          <w:szCs w:val="20"/>
        </w:rPr>
      </w:pPr>
    </w:p>
    <w:p w:rsidR="00C67597" w:rsidRPr="00251614" w:rsidRDefault="00C67597" w:rsidP="0067317F">
      <w:pPr>
        <w:pStyle w:val="BodyTextIndent"/>
        <w:spacing w:after="240"/>
        <w:ind w:left="720"/>
        <w:jc w:val="both"/>
      </w:pPr>
      <w:r w:rsidRPr="00251614">
        <w:t xml:space="preserve">California judicial branch entities are subject to rule 10.500 of the California Rule of Court (see </w:t>
      </w:r>
      <w:hyperlink r:id="rId13" w:history="1">
        <w:r w:rsidRPr="00251614">
          <w:rPr>
            <w:rStyle w:val="Hyperlink"/>
            <w:color w:val="auto"/>
          </w:rPr>
          <w:t>www.courtinfo.ca.gov/cms/rules/index.cfm?title=ten&amp;linkid=rule10_500</w:t>
        </w:r>
      </w:hyperlink>
      <w:r w:rsidRPr="00251614">
        <w:t xml:space="preserve">), which governs public access to judicial administrative records. </w:t>
      </w:r>
    </w:p>
    <w:p w:rsidR="00C67597" w:rsidRPr="00251614" w:rsidRDefault="00C67597" w:rsidP="0067317F">
      <w:pPr>
        <w:tabs>
          <w:tab w:val="left" w:leader="underscore" w:pos="5040"/>
          <w:tab w:val="right" w:leader="underscore" w:pos="9360"/>
        </w:tabs>
        <w:spacing w:before="120"/>
        <w:ind w:left="720"/>
        <w:jc w:val="both"/>
      </w:pPr>
      <w:r w:rsidRPr="00251614">
        <w:t xml:space="preserve">If information submitted in a proposal contains material noted or marked as confidential and/or proprietary that, in the </w:t>
      </w:r>
      <w:r w:rsidR="00163BF0" w:rsidRPr="00251614">
        <w:t>AOC</w:t>
      </w:r>
      <w:r w:rsidRPr="00251614">
        <w:t xml:space="preserve">’s sole opinion, meets the disclosure exemption requirements of Rule 10.500, then that information </w:t>
      </w:r>
      <w:proofErr w:type="gramStart"/>
      <w:r w:rsidRPr="00251614">
        <w:t>will not be disclosed</w:t>
      </w:r>
      <w:proofErr w:type="gramEnd"/>
      <w:r w:rsidRPr="00251614">
        <w:t xml:space="preserve"> upon a request for access to such records.  If the </w:t>
      </w:r>
      <w:r w:rsidR="00163BF0" w:rsidRPr="00251614">
        <w:t>AOC</w:t>
      </w:r>
      <w:r w:rsidRPr="00251614">
        <w:t xml:space="preserve"> finds or reasonably believes that the material so marked is </w:t>
      </w:r>
      <w:r w:rsidRPr="00251614">
        <w:rPr>
          <w:b/>
        </w:rPr>
        <w:t>not</w:t>
      </w:r>
      <w:r w:rsidRPr="00251614">
        <w:t xml:space="preserve"> exempt from disclosure, the </w:t>
      </w:r>
      <w:r w:rsidR="00163BF0" w:rsidRPr="00251614">
        <w:t>AOC</w:t>
      </w:r>
      <w:r w:rsidRPr="00251614">
        <w:t xml:space="preserve"> will disclose the information regardless of the marking or notation seeking confidential treatment.</w:t>
      </w:r>
    </w:p>
    <w:p w:rsidR="001F0918" w:rsidRPr="00251614" w:rsidRDefault="001F0918" w:rsidP="001F0918">
      <w:pPr>
        <w:widowControl w:val="0"/>
        <w:ind w:left="720" w:hanging="720"/>
        <w:jc w:val="both"/>
        <w:rPr>
          <w:sz w:val="22"/>
        </w:rPr>
      </w:pPr>
    </w:p>
    <w:p w:rsidR="00C67597" w:rsidRPr="00251614" w:rsidRDefault="00C67597" w:rsidP="001F0918">
      <w:pPr>
        <w:widowControl w:val="0"/>
        <w:ind w:left="720" w:hanging="720"/>
        <w:jc w:val="both"/>
        <w:rPr>
          <w:b/>
          <w:bCs/>
        </w:rPr>
      </w:pPr>
      <w:r w:rsidRPr="00251614">
        <w:rPr>
          <w:b/>
          <w:bCs/>
        </w:rPr>
        <w:t>1</w:t>
      </w:r>
      <w:r w:rsidR="00670E27" w:rsidRPr="00251614">
        <w:rPr>
          <w:b/>
          <w:bCs/>
        </w:rPr>
        <w:t>1</w:t>
      </w:r>
      <w:r w:rsidRPr="00251614">
        <w:rPr>
          <w:b/>
          <w:bCs/>
        </w:rPr>
        <w:t>.0</w:t>
      </w:r>
      <w:r w:rsidRPr="00251614">
        <w:rPr>
          <w:b/>
          <w:bCs/>
        </w:rPr>
        <w:tab/>
        <w:t>DISABLED VETERAN BUSINESS ENTERPRISE PARTICIPATION GOALS</w:t>
      </w:r>
    </w:p>
    <w:p w:rsidR="00C67597" w:rsidRPr="00251614" w:rsidRDefault="00C67597" w:rsidP="001F0918">
      <w:pPr>
        <w:pStyle w:val="BodyText"/>
        <w:widowControl w:val="0"/>
        <w:spacing w:after="0"/>
        <w:jc w:val="both"/>
      </w:pPr>
    </w:p>
    <w:p w:rsidR="00C67597" w:rsidRPr="00251614" w:rsidRDefault="00C67597" w:rsidP="001F0918">
      <w:pPr>
        <w:widowControl w:val="0"/>
        <w:ind w:left="720"/>
        <w:jc w:val="both"/>
      </w:pPr>
      <w:r w:rsidRPr="00251614">
        <w:t xml:space="preserve">The </w:t>
      </w:r>
      <w:r w:rsidR="00163BF0" w:rsidRPr="00251614">
        <w:t>AOC</w:t>
      </w:r>
      <w:r w:rsidRPr="00251614">
        <w:t xml:space="preserve"> has waived the inclusion of DVBE participation in this solicitation</w:t>
      </w:r>
      <w:r w:rsidR="00A3785C" w:rsidRPr="00251614">
        <w:t>.</w:t>
      </w:r>
    </w:p>
    <w:p w:rsidR="00C67597" w:rsidRPr="00251614" w:rsidRDefault="00C67597" w:rsidP="00163BF0">
      <w:pPr>
        <w:pStyle w:val="ExhibitA1"/>
        <w:widowControl w:val="0"/>
        <w:numPr>
          <w:ilvl w:val="0"/>
          <w:numId w:val="0"/>
        </w:numPr>
        <w:tabs>
          <w:tab w:val="clear" w:pos="1296"/>
          <w:tab w:val="clear" w:pos="2016"/>
          <w:tab w:val="clear" w:pos="2592"/>
          <w:tab w:val="clear" w:pos="4176"/>
          <w:tab w:val="clear" w:pos="10710"/>
        </w:tabs>
        <w:spacing w:before="240" w:line="360" w:lineRule="auto"/>
        <w:jc w:val="both"/>
        <w:rPr>
          <w:rFonts w:ascii="Times New Roman Bold" w:hAnsi="Times New Roman Bold"/>
          <w:b/>
          <w:caps/>
          <w:szCs w:val="20"/>
          <w:u w:val="none"/>
        </w:rPr>
      </w:pPr>
      <w:r w:rsidRPr="00251614">
        <w:rPr>
          <w:rFonts w:ascii="Times New Roman Bold" w:hAnsi="Times New Roman Bold"/>
          <w:b/>
          <w:caps/>
          <w:szCs w:val="20"/>
          <w:u w:val="none"/>
        </w:rPr>
        <w:lastRenderedPageBreak/>
        <w:t>1</w:t>
      </w:r>
      <w:r w:rsidR="00670E27" w:rsidRPr="00251614">
        <w:rPr>
          <w:rFonts w:ascii="Times New Roman Bold" w:hAnsi="Times New Roman Bold"/>
          <w:b/>
          <w:caps/>
          <w:szCs w:val="20"/>
          <w:u w:val="none"/>
        </w:rPr>
        <w:t>2</w:t>
      </w:r>
      <w:r w:rsidRPr="00251614">
        <w:rPr>
          <w:rFonts w:ascii="Times New Roman Bold" w:hAnsi="Times New Roman Bold"/>
          <w:b/>
          <w:caps/>
          <w:szCs w:val="20"/>
          <w:u w:val="none"/>
        </w:rPr>
        <w:t>.0</w:t>
      </w:r>
      <w:r w:rsidRPr="00251614">
        <w:rPr>
          <w:rFonts w:ascii="Times New Roman Bold" w:hAnsi="Times New Roman Bold"/>
          <w:b/>
          <w:caps/>
          <w:szCs w:val="20"/>
          <w:u w:val="none"/>
        </w:rPr>
        <w:tab/>
        <w:t>PROTESTs</w:t>
      </w:r>
    </w:p>
    <w:p w:rsidR="00C67597" w:rsidRPr="00251614" w:rsidRDefault="00C67597" w:rsidP="0067317F">
      <w:pPr>
        <w:ind w:left="720"/>
        <w:jc w:val="both"/>
        <w:rPr>
          <w:noProof/>
          <w:szCs w:val="20"/>
        </w:rPr>
      </w:pPr>
      <w:r w:rsidRPr="00251614">
        <w:t xml:space="preserve">Any protests </w:t>
      </w:r>
      <w:proofErr w:type="gramStart"/>
      <w:r w:rsidRPr="00251614">
        <w:t>will be handled</w:t>
      </w:r>
      <w:proofErr w:type="gramEnd"/>
      <w:r w:rsidRPr="00251614">
        <w:t xml:space="preserve"> in accordance with Chapter 7 of the Judicial Branch Contract Manual (see </w:t>
      </w:r>
      <w:hyperlink r:id="rId14" w:history="1">
        <w:r w:rsidR="001F2FB9" w:rsidRPr="00251614">
          <w:rPr>
            <w:rStyle w:val="Hyperlink"/>
            <w:color w:val="auto"/>
          </w:rPr>
          <w:t>www.courts.ca.gov/documents/jbcl-manual.pdf</w:t>
        </w:r>
      </w:hyperlink>
      <w:r w:rsidRPr="00251614">
        <w:t xml:space="preserve">). Failure of a Proposer to comply with the protest procedures set forth in that chapter will render a protest inadequate and non-responsive, and will result in rejection of the protest. </w:t>
      </w:r>
      <w:r w:rsidR="001F0918" w:rsidRPr="00251614">
        <w:t xml:space="preserve">The deadline for the </w:t>
      </w:r>
      <w:r w:rsidR="00163BF0" w:rsidRPr="00251614">
        <w:t>AOC</w:t>
      </w:r>
      <w:r w:rsidR="001F0918" w:rsidRPr="00251614">
        <w:t xml:space="preserve"> to receive a solicitation specifications protest is the due date and time for submittal of proposals. Protests </w:t>
      </w:r>
      <w:proofErr w:type="gramStart"/>
      <w:r w:rsidR="001F0918" w:rsidRPr="00251614">
        <w:t>must be sent</w:t>
      </w:r>
      <w:proofErr w:type="gramEnd"/>
      <w:r w:rsidR="001F0918" w:rsidRPr="00251614">
        <w:t xml:space="preserve"> to</w:t>
      </w:r>
      <w:r w:rsidRPr="00251614">
        <w:t xml:space="preserve">: </w:t>
      </w:r>
    </w:p>
    <w:p w:rsidR="00C67597" w:rsidRPr="00251614" w:rsidRDefault="00C67597" w:rsidP="0067317F">
      <w:pPr>
        <w:ind w:left="720"/>
        <w:jc w:val="both"/>
        <w:rPr>
          <w:noProof/>
          <w:szCs w:val="20"/>
        </w:rPr>
      </w:pPr>
    </w:p>
    <w:p w:rsidR="00C67597" w:rsidRPr="00251614" w:rsidRDefault="00163BF0" w:rsidP="001F0918">
      <w:pPr>
        <w:ind w:left="2790"/>
        <w:jc w:val="both"/>
      </w:pPr>
      <w:r w:rsidRPr="00251614">
        <w:t>AOC</w:t>
      </w:r>
      <w:r w:rsidR="00C67597" w:rsidRPr="00251614">
        <w:t xml:space="preserve"> – Business Services </w:t>
      </w:r>
    </w:p>
    <w:p w:rsidR="00C67597" w:rsidRPr="00251614" w:rsidRDefault="00C67597" w:rsidP="001F0918">
      <w:pPr>
        <w:ind w:left="2790"/>
        <w:jc w:val="both"/>
      </w:pPr>
      <w:r w:rsidRPr="00251614">
        <w:t>A</w:t>
      </w:r>
      <w:r w:rsidR="001F0918" w:rsidRPr="00251614">
        <w:t>ttn</w:t>
      </w:r>
      <w:r w:rsidRPr="00251614">
        <w:t>: Protest Hearing Officer</w:t>
      </w:r>
      <w:r w:rsidR="007E3129" w:rsidRPr="00251614">
        <w:t xml:space="preserve">, RFP </w:t>
      </w:r>
      <w:r w:rsidR="007048EC" w:rsidRPr="00251614">
        <w:t>CFCC 03-12</w:t>
      </w:r>
      <w:r w:rsidR="007E3129" w:rsidRPr="00251614">
        <w:t>-LM</w:t>
      </w:r>
      <w:r w:rsidR="007E3129" w:rsidRPr="00251614">
        <w:tab/>
      </w:r>
    </w:p>
    <w:p w:rsidR="00C67597" w:rsidRPr="00251614" w:rsidRDefault="00C67597" w:rsidP="001F0918">
      <w:pPr>
        <w:ind w:left="2790"/>
        <w:jc w:val="both"/>
      </w:pPr>
      <w:r w:rsidRPr="00251614">
        <w:t>455 Golden Gate Avenue, Seventh Floor</w:t>
      </w:r>
    </w:p>
    <w:p w:rsidR="001F0918" w:rsidRPr="00251614" w:rsidRDefault="00C67597" w:rsidP="001F0918">
      <w:pPr>
        <w:widowControl w:val="0"/>
        <w:ind w:left="2790"/>
        <w:jc w:val="both"/>
      </w:pPr>
      <w:r w:rsidRPr="00251614">
        <w:t>San Francisco, CA  94102</w:t>
      </w:r>
      <w:r w:rsidR="001F0918" w:rsidRPr="00251614">
        <w:t>-3688</w:t>
      </w:r>
    </w:p>
    <w:p w:rsidR="001F0918" w:rsidRPr="00251614" w:rsidRDefault="001F0918" w:rsidP="001F0918">
      <w:pPr>
        <w:widowControl w:val="0"/>
        <w:ind w:left="2790"/>
        <w:jc w:val="both"/>
      </w:pPr>
    </w:p>
    <w:p w:rsidR="001F0918" w:rsidRPr="00251614" w:rsidRDefault="001F0918" w:rsidP="001F0918">
      <w:pPr>
        <w:widowControl w:val="0"/>
        <w:ind w:left="2790"/>
        <w:jc w:val="both"/>
      </w:pPr>
    </w:p>
    <w:p w:rsidR="00C67597" w:rsidRPr="00251614" w:rsidRDefault="001F0918" w:rsidP="001F0918">
      <w:pPr>
        <w:widowControl w:val="0"/>
        <w:jc w:val="center"/>
        <w:rPr>
          <w:b/>
          <w:bCs/>
          <w:i/>
        </w:rPr>
      </w:pPr>
      <w:r w:rsidRPr="00251614">
        <w:rPr>
          <w:b/>
          <w:i/>
        </w:rPr>
        <w:t>END OF RFP</w:t>
      </w:r>
    </w:p>
    <w:p w:rsidR="00C67597" w:rsidRPr="00251614" w:rsidRDefault="00C67597" w:rsidP="0067317F">
      <w:pPr>
        <w:keepNext/>
        <w:ind w:left="720" w:hanging="720"/>
        <w:jc w:val="both"/>
      </w:pPr>
    </w:p>
    <w:p w:rsidR="00C662D1" w:rsidRPr="00251614" w:rsidRDefault="00C662D1" w:rsidP="0067317F">
      <w:pPr>
        <w:keepNext/>
        <w:ind w:left="720" w:hanging="720"/>
        <w:jc w:val="both"/>
      </w:pPr>
    </w:p>
    <w:sectPr w:rsidR="00C662D1" w:rsidRPr="00251614" w:rsidSect="00B16A5A">
      <w:headerReference w:type="default" r:id="rId15"/>
      <w:footerReference w:type="default" r:id="rId16"/>
      <w:pgSz w:w="12240" w:h="15840" w:code="1"/>
      <w:pgMar w:top="1440" w:right="1008" w:bottom="720" w:left="1008"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BCD" w:rsidRDefault="00147BCD" w:rsidP="00C37FF7">
      <w:r>
        <w:separator/>
      </w:r>
    </w:p>
  </w:endnote>
  <w:endnote w:type="continuationSeparator" w:id="0">
    <w:p w:rsidR="00147BCD" w:rsidRDefault="00147BCD"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CD" w:rsidRPr="00947F28" w:rsidRDefault="00147BCD">
    <w:pPr>
      <w:pStyle w:val="Footer"/>
      <w:rPr>
        <w:sz w:val="20"/>
        <w:szCs w:val="20"/>
      </w:rPr>
    </w:pPr>
  </w:p>
  <w:p w:rsidR="00147BCD" w:rsidRDefault="00147BC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19767995"/>
      <w:docPartObj>
        <w:docPartGallery w:val="Page Numbers (Bottom of Page)"/>
        <w:docPartUnique/>
      </w:docPartObj>
    </w:sdtPr>
    <w:sdtContent>
      <w:sdt>
        <w:sdtPr>
          <w:rPr>
            <w:sz w:val="20"/>
            <w:szCs w:val="20"/>
          </w:rPr>
          <w:id w:val="19767996"/>
          <w:docPartObj>
            <w:docPartGallery w:val="Page Numbers (Top of Page)"/>
            <w:docPartUnique/>
          </w:docPartObj>
        </w:sdtPr>
        <w:sdtContent>
          <w:p w:rsidR="00147BCD" w:rsidRPr="00947F28" w:rsidRDefault="00147BCD">
            <w:pPr>
              <w:pStyle w:val="Footer"/>
              <w:jc w:val="right"/>
              <w:rPr>
                <w:sz w:val="20"/>
                <w:szCs w:val="20"/>
              </w:rPr>
            </w:pPr>
            <w:r w:rsidRPr="0067317F">
              <w:t xml:space="preserve">Page </w:t>
            </w:r>
            <w:fldSimple w:instr=" PAGE ">
              <w:r w:rsidR="00056AED">
                <w:rPr>
                  <w:noProof/>
                </w:rPr>
                <w:t>3</w:t>
              </w:r>
            </w:fldSimple>
            <w:r w:rsidRPr="0067317F">
              <w:t xml:space="preserve"> of </w:t>
            </w:r>
            <w:fldSimple w:instr=" NUMPAGES  ">
              <w:r w:rsidR="00056AED">
                <w:rPr>
                  <w:noProof/>
                </w:rPr>
                <w:t>9</w:t>
              </w:r>
            </w:fldSimple>
          </w:p>
        </w:sdtContent>
      </w:sdt>
    </w:sdtContent>
  </w:sdt>
  <w:p w:rsidR="00147BCD" w:rsidRPr="00947F28" w:rsidRDefault="00147BCD">
    <w:pPr>
      <w:pStyle w:val="Footer"/>
      <w:rPr>
        <w:sz w:val="20"/>
        <w:szCs w:val="20"/>
      </w:rPr>
    </w:pPr>
  </w:p>
  <w:p w:rsidR="00147BCD" w:rsidRDefault="00147BC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BCD" w:rsidRDefault="00147BCD" w:rsidP="00C37FF7">
      <w:r>
        <w:separator/>
      </w:r>
    </w:p>
  </w:footnote>
  <w:footnote w:type="continuationSeparator" w:id="0">
    <w:p w:rsidR="00147BCD" w:rsidRDefault="00147BCD"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BCD" w:rsidRPr="00C0030A" w:rsidRDefault="00147BCD" w:rsidP="00B844AE">
    <w:pPr>
      <w:pStyle w:val="CommentText"/>
      <w:tabs>
        <w:tab w:val="left" w:pos="1242"/>
      </w:tabs>
      <w:ind w:right="-90"/>
      <w:rPr>
        <w:sz w:val="24"/>
        <w:szCs w:val="24"/>
      </w:rPr>
    </w:pPr>
    <w:r w:rsidRPr="00C0030A">
      <w:rPr>
        <w:sz w:val="24"/>
        <w:szCs w:val="24"/>
      </w:rPr>
      <w:t>RFP Title:    Technical Assistance in Sharing Information in Juvenile Dependency Cases</w:t>
    </w:r>
  </w:p>
  <w:p w:rsidR="00147BCD" w:rsidRPr="00C0030A" w:rsidRDefault="00147BCD" w:rsidP="00B844AE">
    <w:pPr>
      <w:pStyle w:val="CommentText"/>
      <w:tabs>
        <w:tab w:val="left" w:pos="1242"/>
      </w:tabs>
      <w:ind w:right="252"/>
      <w:jc w:val="both"/>
      <w:rPr>
        <w:sz w:val="22"/>
        <w:szCs w:val="22"/>
      </w:rPr>
    </w:pPr>
    <w:r w:rsidRPr="00C0030A">
      <w:rPr>
        <w:sz w:val="24"/>
        <w:szCs w:val="24"/>
      </w:rPr>
      <w:t>RFP No.:     CFCC 03-12-LM</w:t>
    </w:r>
    <w:r w:rsidRPr="00C0030A">
      <w:tab/>
    </w:r>
  </w:p>
  <w:p w:rsidR="00147BCD" w:rsidRDefault="00147BCD" w:rsidP="00B844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34E50E2"/>
    <w:multiLevelType w:val="hybridMultilevel"/>
    <w:tmpl w:val="6B32F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5C3D81"/>
    <w:multiLevelType w:val="hybridMultilevel"/>
    <w:tmpl w:val="5D82C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C52E5A"/>
    <w:multiLevelType w:val="hybridMultilevel"/>
    <w:tmpl w:val="AE44DAA2"/>
    <w:lvl w:ilvl="0" w:tplc="3A64749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ADB01D2"/>
    <w:multiLevelType w:val="hybridMultilevel"/>
    <w:tmpl w:val="85C4530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2740A1"/>
    <w:multiLevelType w:val="hybridMultilevel"/>
    <w:tmpl w:val="74985A44"/>
    <w:lvl w:ilvl="0" w:tplc="471A0680">
      <w:start w:val="1"/>
      <w:numFmt w:val="lowerLetter"/>
      <w:lvlText w:val="%1."/>
      <w:lvlJc w:val="left"/>
      <w:pPr>
        <w:ind w:left="2880" w:hanging="360"/>
      </w:pPr>
      <w:rPr>
        <w:rFonts w:hint="default"/>
        <w:i w:val="0"/>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0076763"/>
    <w:multiLevelType w:val="multilevel"/>
    <w:tmpl w:val="2642FBD0"/>
    <w:lvl w:ilvl="0">
      <w:start w:val="1"/>
      <w:numFmt w:val="decimal"/>
      <w:lvlText w:val="%1"/>
      <w:lvlJc w:val="left"/>
      <w:pPr>
        <w:ind w:left="360" w:hanging="360"/>
      </w:pPr>
      <w:rPr>
        <w:rFonts w:hint="default"/>
        <w:i w:val="0"/>
        <w:color w:val="auto"/>
      </w:rPr>
    </w:lvl>
    <w:lvl w:ilvl="1">
      <w:start w:val="2"/>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2880" w:hanging="72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4680" w:hanging="108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480" w:hanging="144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7">
    <w:nsid w:val="22025008"/>
    <w:multiLevelType w:val="hybridMultilevel"/>
    <w:tmpl w:val="F530F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3C4707"/>
    <w:multiLevelType w:val="hybridMultilevel"/>
    <w:tmpl w:val="52F0264A"/>
    <w:lvl w:ilvl="0" w:tplc="46AED03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1">
    <w:nsid w:val="3D693681"/>
    <w:multiLevelType w:val="hybridMultilevel"/>
    <w:tmpl w:val="84D44E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7">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18">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9">
    <w:nsid w:val="683A4764"/>
    <w:multiLevelType w:val="hybridMultilevel"/>
    <w:tmpl w:val="3196C2CE"/>
    <w:lvl w:ilvl="0" w:tplc="E4B21410">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C024C30"/>
    <w:multiLevelType w:val="hybridMultilevel"/>
    <w:tmpl w:val="09DEE512"/>
    <w:lvl w:ilvl="0" w:tplc="E9AE6806">
      <w:start w:val="1"/>
      <w:numFmt w:val="low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72475A1"/>
    <w:multiLevelType w:val="hybridMultilevel"/>
    <w:tmpl w:val="27182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9FA4F84"/>
    <w:multiLevelType w:val="hybridMultilevel"/>
    <w:tmpl w:val="91E8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2E6AA3"/>
    <w:multiLevelType w:val="hybridMultilevel"/>
    <w:tmpl w:val="6186F17E"/>
    <w:lvl w:ilvl="0" w:tplc="106C58A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8"/>
  </w:num>
  <w:num w:numId="2">
    <w:abstractNumId w:val="15"/>
  </w:num>
  <w:num w:numId="3">
    <w:abstractNumId w:val="14"/>
  </w:num>
  <w:num w:numId="4">
    <w:abstractNumId w:val="16"/>
  </w:num>
  <w:num w:numId="5">
    <w:abstractNumId w:val="0"/>
  </w:num>
  <w:num w:numId="6">
    <w:abstractNumId w:val="17"/>
  </w:num>
  <w:num w:numId="7">
    <w:abstractNumId w:val="12"/>
  </w:num>
  <w:num w:numId="8">
    <w:abstractNumId w:val="9"/>
  </w:num>
  <w:num w:numId="9">
    <w:abstractNumId w:val="21"/>
  </w:num>
  <w:num w:numId="10">
    <w:abstractNumId w:val="11"/>
  </w:num>
  <w:num w:numId="11">
    <w:abstractNumId w:val="20"/>
  </w:num>
  <w:num w:numId="12">
    <w:abstractNumId w:val="19"/>
  </w:num>
  <w:num w:numId="13">
    <w:abstractNumId w:val="6"/>
  </w:num>
  <w:num w:numId="14">
    <w:abstractNumId w:val="8"/>
  </w:num>
  <w:num w:numId="15">
    <w:abstractNumId w:val="10"/>
  </w:num>
  <w:num w:numId="16">
    <w:abstractNumId w:val="13"/>
  </w:num>
  <w:num w:numId="17">
    <w:abstractNumId w:val="7"/>
  </w:num>
  <w:num w:numId="18">
    <w:abstractNumId w:val="4"/>
  </w:num>
  <w:num w:numId="19">
    <w:abstractNumId w:val="22"/>
  </w:num>
  <w:num w:numId="20">
    <w:abstractNumId w:val="1"/>
  </w:num>
  <w:num w:numId="21">
    <w:abstractNumId w:val="2"/>
  </w:num>
  <w:num w:numId="22">
    <w:abstractNumId w:val="3"/>
  </w:num>
  <w:num w:numId="23">
    <w:abstractNumId w:val="5"/>
  </w:num>
  <w:num w:numId="2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211969"/>
  </w:hdrShapeDefaults>
  <w:footnotePr>
    <w:footnote w:id="-1"/>
    <w:footnote w:id="0"/>
  </w:footnotePr>
  <w:endnotePr>
    <w:endnote w:id="-1"/>
    <w:endnote w:id="0"/>
  </w:endnotePr>
  <w:compat/>
  <w:rsids>
    <w:rsidRoot w:val="00C37FF7"/>
    <w:rsid w:val="00004485"/>
    <w:rsid w:val="00006D73"/>
    <w:rsid w:val="000131CA"/>
    <w:rsid w:val="00020CAC"/>
    <w:rsid w:val="00022B15"/>
    <w:rsid w:val="0002344F"/>
    <w:rsid w:val="00023B38"/>
    <w:rsid w:val="00026B6F"/>
    <w:rsid w:val="000277CC"/>
    <w:rsid w:val="00033F8A"/>
    <w:rsid w:val="000356BE"/>
    <w:rsid w:val="0004155A"/>
    <w:rsid w:val="00053778"/>
    <w:rsid w:val="00056AED"/>
    <w:rsid w:val="000648D6"/>
    <w:rsid w:val="00066F1D"/>
    <w:rsid w:val="00070FCA"/>
    <w:rsid w:val="00071914"/>
    <w:rsid w:val="000763AE"/>
    <w:rsid w:val="00080391"/>
    <w:rsid w:val="00082230"/>
    <w:rsid w:val="000837E4"/>
    <w:rsid w:val="000A645A"/>
    <w:rsid w:val="000B0813"/>
    <w:rsid w:val="000B2276"/>
    <w:rsid w:val="000D13F3"/>
    <w:rsid w:val="000D177F"/>
    <w:rsid w:val="000D43CC"/>
    <w:rsid w:val="000D453B"/>
    <w:rsid w:val="000D4C75"/>
    <w:rsid w:val="000D5FD6"/>
    <w:rsid w:val="000D6483"/>
    <w:rsid w:val="000E091D"/>
    <w:rsid w:val="000E3444"/>
    <w:rsid w:val="000E3B11"/>
    <w:rsid w:val="000E4F7E"/>
    <w:rsid w:val="000E7644"/>
    <w:rsid w:val="00101C48"/>
    <w:rsid w:val="0012621F"/>
    <w:rsid w:val="001303B1"/>
    <w:rsid w:val="00132205"/>
    <w:rsid w:val="00133441"/>
    <w:rsid w:val="00133F5A"/>
    <w:rsid w:val="001368F1"/>
    <w:rsid w:val="00142C87"/>
    <w:rsid w:val="00147BCD"/>
    <w:rsid w:val="00151D65"/>
    <w:rsid w:val="001607FE"/>
    <w:rsid w:val="001630E7"/>
    <w:rsid w:val="00163BF0"/>
    <w:rsid w:val="00166197"/>
    <w:rsid w:val="0017478E"/>
    <w:rsid w:val="00181FDA"/>
    <w:rsid w:val="001826CD"/>
    <w:rsid w:val="001857F1"/>
    <w:rsid w:val="001A0AB3"/>
    <w:rsid w:val="001B1213"/>
    <w:rsid w:val="001C1E56"/>
    <w:rsid w:val="001E612A"/>
    <w:rsid w:val="001E79C4"/>
    <w:rsid w:val="001F0918"/>
    <w:rsid w:val="001F2FB9"/>
    <w:rsid w:val="001F5AD5"/>
    <w:rsid w:val="00200348"/>
    <w:rsid w:val="0020192C"/>
    <w:rsid w:val="00204551"/>
    <w:rsid w:val="00204B2E"/>
    <w:rsid w:val="002102F5"/>
    <w:rsid w:val="00212299"/>
    <w:rsid w:val="00221FE9"/>
    <w:rsid w:val="00225026"/>
    <w:rsid w:val="0023018F"/>
    <w:rsid w:val="00233D32"/>
    <w:rsid w:val="00246470"/>
    <w:rsid w:val="00251614"/>
    <w:rsid w:val="00251877"/>
    <w:rsid w:val="00251CC8"/>
    <w:rsid w:val="00253633"/>
    <w:rsid w:val="002622C4"/>
    <w:rsid w:val="00262320"/>
    <w:rsid w:val="00271257"/>
    <w:rsid w:val="00285905"/>
    <w:rsid w:val="00291CE7"/>
    <w:rsid w:val="00292053"/>
    <w:rsid w:val="002929E9"/>
    <w:rsid w:val="002945D7"/>
    <w:rsid w:val="002B525D"/>
    <w:rsid w:val="002C0855"/>
    <w:rsid w:val="002C5D55"/>
    <w:rsid w:val="002C64BD"/>
    <w:rsid w:val="002D07F1"/>
    <w:rsid w:val="002D0CF1"/>
    <w:rsid w:val="002D65A8"/>
    <w:rsid w:val="002D69F9"/>
    <w:rsid w:val="002E3613"/>
    <w:rsid w:val="002E7965"/>
    <w:rsid w:val="002F27BD"/>
    <w:rsid w:val="002F3868"/>
    <w:rsid w:val="003020A2"/>
    <w:rsid w:val="00311FBE"/>
    <w:rsid w:val="0031272D"/>
    <w:rsid w:val="00320741"/>
    <w:rsid w:val="003251CC"/>
    <w:rsid w:val="00327099"/>
    <w:rsid w:val="0032785B"/>
    <w:rsid w:val="00330F73"/>
    <w:rsid w:val="00333A7A"/>
    <w:rsid w:val="003364C3"/>
    <w:rsid w:val="0034220C"/>
    <w:rsid w:val="00345098"/>
    <w:rsid w:val="00345D33"/>
    <w:rsid w:val="00352D01"/>
    <w:rsid w:val="00360184"/>
    <w:rsid w:val="0036121D"/>
    <w:rsid w:val="003615CA"/>
    <w:rsid w:val="0036272E"/>
    <w:rsid w:val="00376819"/>
    <w:rsid w:val="00376D17"/>
    <w:rsid w:val="00380DB4"/>
    <w:rsid w:val="0039122C"/>
    <w:rsid w:val="00395B94"/>
    <w:rsid w:val="003A4D99"/>
    <w:rsid w:val="003B218F"/>
    <w:rsid w:val="003B7F13"/>
    <w:rsid w:val="003C14B3"/>
    <w:rsid w:val="003D5784"/>
    <w:rsid w:val="003E3614"/>
    <w:rsid w:val="003E46FF"/>
    <w:rsid w:val="003E5035"/>
    <w:rsid w:val="003E69C0"/>
    <w:rsid w:val="003F0CC3"/>
    <w:rsid w:val="003F2088"/>
    <w:rsid w:val="003F72AE"/>
    <w:rsid w:val="00400CA2"/>
    <w:rsid w:val="004170E8"/>
    <w:rsid w:val="0042042E"/>
    <w:rsid w:val="00430199"/>
    <w:rsid w:val="0044047E"/>
    <w:rsid w:val="004425FB"/>
    <w:rsid w:val="00444BFF"/>
    <w:rsid w:val="004476A1"/>
    <w:rsid w:val="004516A9"/>
    <w:rsid w:val="0045329E"/>
    <w:rsid w:val="00455CBF"/>
    <w:rsid w:val="004642C5"/>
    <w:rsid w:val="004759BD"/>
    <w:rsid w:val="00485AE2"/>
    <w:rsid w:val="004901E6"/>
    <w:rsid w:val="004A337A"/>
    <w:rsid w:val="004A4AFF"/>
    <w:rsid w:val="004B0F7E"/>
    <w:rsid w:val="004B38F7"/>
    <w:rsid w:val="004B52A6"/>
    <w:rsid w:val="004B7FA3"/>
    <w:rsid w:val="004C7A32"/>
    <w:rsid w:val="004D570E"/>
    <w:rsid w:val="004D7027"/>
    <w:rsid w:val="004E669D"/>
    <w:rsid w:val="004F4BD3"/>
    <w:rsid w:val="00501367"/>
    <w:rsid w:val="00501FF0"/>
    <w:rsid w:val="00510171"/>
    <w:rsid w:val="00520022"/>
    <w:rsid w:val="00532899"/>
    <w:rsid w:val="00533D5A"/>
    <w:rsid w:val="005425B3"/>
    <w:rsid w:val="00543AB3"/>
    <w:rsid w:val="00552B85"/>
    <w:rsid w:val="00557794"/>
    <w:rsid w:val="00557D1A"/>
    <w:rsid w:val="005609CD"/>
    <w:rsid w:val="005636E3"/>
    <w:rsid w:val="00565246"/>
    <w:rsid w:val="00570D14"/>
    <w:rsid w:val="00571656"/>
    <w:rsid w:val="00574253"/>
    <w:rsid w:val="00576CE2"/>
    <w:rsid w:val="005927A5"/>
    <w:rsid w:val="005946B6"/>
    <w:rsid w:val="00595811"/>
    <w:rsid w:val="00595822"/>
    <w:rsid w:val="005A377A"/>
    <w:rsid w:val="005A6016"/>
    <w:rsid w:val="005A747B"/>
    <w:rsid w:val="005B04DF"/>
    <w:rsid w:val="005B761B"/>
    <w:rsid w:val="005D1774"/>
    <w:rsid w:val="005E0774"/>
    <w:rsid w:val="005E4DED"/>
    <w:rsid w:val="005E60B7"/>
    <w:rsid w:val="005F28D8"/>
    <w:rsid w:val="005F3F8D"/>
    <w:rsid w:val="005F597D"/>
    <w:rsid w:val="005F5C25"/>
    <w:rsid w:val="005F64B7"/>
    <w:rsid w:val="005F6E88"/>
    <w:rsid w:val="0060304D"/>
    <w:rsid w:val="00607ACF"/>
    <w:rsid w:val="00610ED2"/>
    <w:rsid w:val="006155AC"/>
    <w:rsid w:val="00624AEA"/>
    <w:rsid w:val="00626B27"/>
    <w:rsid w:val="00626F88"/>
    <w:rsid w:val="00633EFF"/>
    <w:rsid w:val="006340A5"/>
    <w:rsid w:val="00640DD7"/>
    <w:rsid w:val="00643A38"/>
    <w:rsid w:val="00646261"/>
    <w:rsid w:val="00650CA9"/>
    <w:rsid w:val="006513D0"/>
    <w:rsid w:val="00652F20"/>
    <w:rsid w:val="006537F3"/>
    <w:rsid w:val="006562BF"/>
    <w:rsid w:val="00670E27"/>
    <w:rsid w:val="0067317F"/>
    <w:rsid w:val="00675C38"/>
    <w:rsid w:val="006827CE"/>
    <w:rsid w:val="0068288F"/>
    <w:rsid w:val="006841FF"/>
    <w:rsid w:val="006861B1"/>
    <w:rsid w:val="0069295C"/>
    <w:rsid w:val="006933F9"/>
    <w:rsid w:val="00696261"/>
    <w:rsid w:val="006A5249"/>
    <w:rsid w:val="006A7E63"/>
    <w:rsid w:val="006B572B"/>
    <w:rsid w:val="006C33CC"/>
    <w:rsid w:val="006D02BE"/>
    <w:rsid w:val="006D39C7"/>
    <w:rsid w:val="006D6F0B"/>
    <w:rsid w:val="006D6F23"/>
    <w:rsid w:val="006E03D0"/>
    <w:rsid w:val="006E1F73"/>
    <w:rsid w:val="006E24D0"/>
    <w:rsid w:val="006F0B7C"/>
    <w:rsid w:val="006F6D6E"/>
    <w:rsid w:val="006F6D81"/>
    <w:rsid w:val="007033E4"/>
    <w:rsid w:val="00704619"/>
    <w:rsid w:val="007048EC"/>
    <w:rsid w:val="00726BE2"/>
    <w:rsid w:val="00726E7C"/>
    <w:rsid w:val="00740861"/>
    <w:rsid w:val="0075051E"/>
    <w:rsid w:val="0075335D"/>
    <w:rsid w:val="00753F60"/>
    <w:rsid w:val="00762829"/>
    <w:rsid w:val="007704FD"/>
    <w:rsid w:val="007758AC"/>
    <w:rsid w:val="00775AC3"/>
    <w:rsid w:val="0079041A"/>
    <w:rsid w:val="007935DA"/>
    <w:rsid w:val="007A0851"/>
    <w:rsid w:val="007A1267"/>
    <w:rsid w:val="007A3BFB"/>
    <w:rsid w:val="007A3FA2"/>
    <w:rsid w:val="007A4AA2"/>
    <w:rsid w:val="007A6178"/>
    <w:rsid w:val="007B0E96"/>
    <w:rsid w:val="007B5C23"/>
    <w:rsid w:val="007B7AC8"/>
    <w:rsid w:val="007C0767"/>
    <w:rsid w:val="007C4712"/>
    <w:rsid w:val="007D2C73"/>
    <w:rsid w:val="007D41A0"/>
    <w:rsid w:val="007E3129"/>
    <w:rsid w:val="007E5408"/>
    <w:rsid w:val="007E6CEB"/>
    <w:rsid w:val="007F6EFA"/>
    <w:rsid w:val="008057C2"/>
    <w:rsid w:val="0080611E"/>
    <w:rsid w:val="00806692"/>
    <w:rsid w:val="008131DB"/>
    <w:rsid w:val="00816663"/>
    <w:rsid w:val="00825BC4"/>
    <w:rsid w:val="00830A0C"/>
    <w:rsid w:val="00833948"/>
    <w:rsid w:val="00842D60"/>
    <w:rsid w:val="008465EC"/>
    <w:rsid w:val="008802E3"/>
    <w:rsid w:val="0088206E"/>
    <w:rsid w:val="00883DFB"/>
    <w:rsid w:val="00893C52"/>
    <w:rsid w:val="00894A81"/>
    <w:rsid w:val="008A1B07"/>
    <w:rsid w:val="008B2582"/>
    <w:rsid w:val="008B3420"/>
    <w:rsid w:val="008C086D"/>
    <w:rsid w:val="008D6462"/>
    <w:rsid w:val="008D7DAB"/>
    <w:rsid w:val="008F4B6E"/>
    <w:rsid w:val="00902769"/>
    <w:rsid w:val="00914A4E"/>
    <w:rsid w:val="009165E6"/>
    <w:rsid w:val="009211B9"/>
    <w:rsid w:val="00923385"/>
    <w:rsid w:val="009238F8"/>
    <w:rsid w:val="00930FAC"/>
    <w:rsid w:val="009316E4"/>
    <w:rsid w:val="0093651C"/>
    <w:rsid w:val="00945916"/>
    <w:rsid w:val="00945B36"/>
    <w:rsid w:val="00947B1E"/>
    <w:rsid w:val="00947F28"/>
    <w:rsid w:val="009541D4"/>
    <w:rsid w:val="00954F1C"/>
    <w:rsid w:val="00967812"/>
    <w:rsid w:val="00967E54"/>
    <w:rsid w:val="009706E1"/>
    <w:rsid w:val="0097078B"/>
    <w:rsid w:val="0098211F"/>
    <w:rsid w:val="00992280"/>
    <w:rsid w:val="009B203F"/>
    <w:rsid w:val="009B4BB5"/>
    <w:rsid w:val="009B7587"/>
    <w:rsid w:val="009C08D0"/>
    <w:rsid w:val="009C38A6"/>
    <w:rsid w:val="009C4927"/>
    <w:rsid w:val="009D31B3"/>
    <w:rsid w:val="009E0951"/>
    <w:rsid w:val="009E6B6B"/>
    <w:rsid w:val="009F2DCB"/>
    <w:rsid w:val="009F6FA6"/>
    <w:rsid w:val="00A02FEB"/>
    <w:rsid w:val="00A10751"/>
    <w:rsid w:val="00A1600B"/>
    <w:rsid w:val="00A34A6E"/>
    <w:rsid w:val="00A3785C"/>
    <w:rsid w:val="00A41F86"/>
    <w:rsid w:val="00A42DC6"/>
    <w:rsid w:val="00A44BAE"/>
    <w:rsid w:val="00A46B2E"/>
    <w:rsid w:val="00A50B42"/>
    <w:rsid w:val="00A55A9B"/>
    <w:rsid w:val="00A66B5A"/>
    <w:rsid w:val="00A74DB8"/>
    <w:rsid w:val="00A76A59"/>
    <w:rsid w:val="00A93A4F"/>
    <w:rsid w:val="00A9408B"/>
    <w:rsid w:val="00AA07A8"/>
    <w:rsid w:val="00AA1A5A"/>
    <w:rsid w:val="00AB2FC2"/>
    <w:rsid w:val="00AB5BA4"/>
    <w:rsid w:val="00AC3517"/>
    <w:rsid w:val="00AC44D4"/>
    <w:rsid w:val="00AD59DB"/>
    <w:rsid w:val="00B014E6"/>
    <w:rsid w:val="00B031D3"/>
    <w:rsid w:val="00B104DF"/>
    <w:rsid w:val="00B1346D"/>
    <w:rsid w:val="00B15D6E"/>
    <w:rsid w:val="00B16A5A"/>
    <w:rsid w:val="00B20247"/>
    <w:rsid w:val="00B215F4"/>
    <w:rsid w:val="00B23242"/>
    <w:rsid w:val="00B244B8"/>
    <w:rsid w:val="00B263C4"/>
    <w:rsid w:val="00B33C18"/>
    <w:rsid w:val="00B407B5"/>
    <w:rsid w:val="00B41390"/>
    <w:rsid w:val="00B453D5"/>
    <w:rsid w:val="00B50DF5"/>
    <w:rsid w:val="00B51506"/>
    <w:rsid w:val="00B56734"/>
    <w:rsid w:val="00B60F34"/>
    <w:rsid w:val="00B71932"/>
    <w:rsid w:val="00B7231E"/>
    <w:rsid w:val="00B8213C"/>
    <w:rsid w:val="00B844AE"/>
    <w:rsid w:val="00B90602"/>
    <w:rsid w:val="00B92834"/>
    <w:rsid w:val="00B94738"/>
    <w:rsid w:val="00B94BA2"/>
    <w:rsid w:val="00BA17D7"/>
    <w:rsid w:val="00BB0779"/>
    <w:rsid w:val="00BB3660"/>
    <w:rsid w:val="00BB5083"/>
    <w:rsid w:val="00BD0D2D"/>
    <w:rsid w:val="00BD308C"/>
    <w:rsid w:val="00BD3DD2"/>
    <w:rsid w:val="00BD65B9"/>
    <w:rsid w:val="00BE0F79"/>
    <w:rsid w:val="00BE1290"/>
    <w:rsid w:val="00BE53E9"/>
    <w:rsid w:val="00BE64DE"/>
    <w:rsid w:val="00BF12E9"/>
    <w:rsid w:val="00C0030A"/>
    <w:rsid w:val="00C02295"/>
    <w:rsid w:val="00C041EE"/>
    <w:rsid w:val="00C05278"/>
    <w:rsid w:val="00C10B54"/>
    <w:rsid w:val="00C24A3B"/>
    <w:rsid w:val="00C37FF7"/>
    <w:rsid w:val="00C6169D"/>
    <w:rsid w:val="00C662D1"/>
    <w:rsid w:val="00C67597"/>
    <w:rsid w:val="00C738C0"/>
    <w:rsid w:val="00C82A56"/>
    <w:rsid w:val="00CA43E2"/>
    <w:rsid w:val="00CB4253"/>
    <w:rsid w:val="00CC5FCC"/>
    <w:rsid w:val="00CD41DA"/>
    <w:rsid w:val="00CD4A05"/>
    <w:rsid w:val="00CE56DF"/>
    <w:rsid w:val="00CF5093"/>
    <w:rsid w:val="00CF70E4"/>
    <w:rsid w:val="00D01A76"/>
    <w:rsid w:val="00D03F7A"/>
    <w:rsid w:val="00D1041F"/>
    <w:rsid w:val="00D11E73"/>
    <w:rsid w:val="00D174E6"/>
    <w:rsid w:val="00D205D6"/>
    <w:rsid w:val="00D22A15"/>
    <w:rsid w:val="00D44364"/>
    <w:rsid w:val="00D4710E"/>
    <w:rsid w:val="00D523F5"/>
    <w:rsid w:val="00D63972"/>
    <w:rsid w:val="00D70833"/>
    <w:rsid w:val="00D7152A"/>
    <w:rsid w:val="00D85E8A"/>
    <w:rsid w:val="00D920E3"/>
    <w:rsid w:val="00D95A36"/>
    <w:rsid w:val="00D97DAA"/>
    <w:rsid w:val="00DA51F4"/>
    <w:rsid w:val="00DB73B4"/>
    <w:rsid w:val="00DC08A1"/>
    <w:rsid w:val="00DD5E6F"/>
    <w:rsid w:val="00DE06A6"/>
    <w:rsid w:val="00DE3BF2"/>
    <w:rsid w:val="00DF77F8"/>
    <w:rsid w:val="00E00E57"/>
    <w:rsid w:val="00E02441"/>
    <w:rsid w:val="00E02D10"/>
    <w:rsid w:val="00E0447C"/>
    <w:rsid w:val="00E07049"/>
    <w:rsid w:val="00E1339D"/>
    <w:rsid w:val="00E17172"/>
    <w:rsid w:val="00E26ED9"/>
    <w:rsid w:val="00E325A1"/>
    <w:rsid w:val="00E34A19"/>
    <w:rsid w:val="00E358F8"/>
    <w:rsid w:val="00E435D3"/>
    <w:rsid w:val="00E44069"/>
    <w:rsid w:val="00E46FDC"/>
    <w:rsid w:val="00E56A5B"/>
    <w:rsid w:val="00E72BA3"/>
    <w:rsid w:val="00E82E49"/>
    <w:rsid w:val="00E83970"/>
    <w:rsid w:val="00E90B7E"/>
    <w:rsid w:val="00E91A91"/>
    <w:rsid w:val="00E93684"/>
    <w:rsid w:val="00E96B3D"/>
    <w:rsid w:val="00EA2384"/>
    <w:rsid w:val="00EA31A4"/>
    <w:rsid w:val="00EB067C"/>
    <w:rsid w:val="00EB32AF"/>
    <w:rsid w:val="00EB713B"/>
    <w:rsid w:val="00EC4775"/>
    <w:rsid w:val="00ED7B5F"/>
    <w:rsid w:val="00EE3D95"/>
    <w:rsid w:val="00EE4622"/>
    <w:rsid w:val="00EE688C"/>
    <w:rsid w:val="00F0059D"/>
    <w:rsid w:val="00F07639"/>
    <w:rsid w:val="00F277AB"/>
    <w:rsid w:val="00F30230"/>
    <w:rsid w:val="00F34996"/>
    <w:rsid w:val="00F41053"/>
    <w:rsid w:val="00F45452"/>
    <w:rsid w:val="00F45810"/>
    <w:rsid w:val="00F5629F"/>
    <w:rsid w:val="00F70A06"/>
    <w:rsid w:val="00F73B08"/>
    <w:rsid w:val="00F83A2F"/>
    <w:rsid w:val="00F85DDD"/>
    <w:rsid w:val="00F95688"/>
    <w:rsid w:val="00FA39C6"/>
    <w:rsid w:val="00FA6747"/>
    <w:rsid w:val="00FC04EB"/>
    <w:rsid w:val="00FC2632"/>
    <w:rsid w:val="00FC4A81"/>
    <w:rsid w:val="00FD3DAD"/>
    <w:rsid w:val="00FF1876"/>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19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uiPriority w:val="99"/>
    <w:rsid w:val="00C37FF7"/>
    <w:pPr>
      <w:tabs>
        <w:tab w:val="center" w:pos="4320"/>
        <w:tab w:val="right" w:pos="8640"/>
      </w:tabs>
    </w:pPr>
  </w:style>
  <w:style w:type="character" w:customStyle="1" w:styleId="HeaderChar">
    <w:name w:val="Header Char"/>
    <w:basedOn w:val="DefaultParagraphFont"/>
    <w:link w:val="Header"/>
    <w:uiPriority w:val="99"/>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0">
    <w:name w:val="normal"/>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b/>
      <w:bCs/>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930FAC"/>
    <w:pPr>
      <w:spacing w:line="240" w:lineRule="auto"/>
    </w:pPr>
    <w:rPr>
      <w:rFonts w:ascii="Times New Roman" w:eastAsia="Times New Roman" w:hAnsi="Times New Roman"/>
      <w:lang w:bidi="ar-SA"/>
    </w:rPr>
  </w:style>
  <w:style w:type="table" w:styleId="TableGrid">
    <w:name w:val="Table Grid"/>
    <w:basedOn w:val="TableNormal"/>
    <w:uiPriority w:val="59"/>
    <w:rsid w:val="00930FA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JCCArialSubhead">
    <w:name w:val="JCC/Arial Subhead"/>
    <w:rsid w:val="00930FAC"/>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930FAC"/>
    <w:pPr>
      <w:tabs>
        <w:tab w:val="left" w:pos="360"/>
      </w:tabs>
      <w:spacing w:line="300" w:lineRule="atLeast"/>
    </w:pPr>
    <w:rPr>
      <w:szCs w:val="20"/>
    </w:rPr>
  </w:style>
  <w:style w:type="paragraph" w:styleId="BodyText2">
    <w:name w:val="Body Text 2"/>
    <w:basedOn w:val="Normal"/>
    <w:link w:val="BodyText2Char"/>
    <w:uiPriority w:val="99"/>
    <w:unhideWhenUsed/>
    <w:rsid w:val="00251877"/>
    <w:pPr>
      <w:spacing w:after="120" w:line="480" w:lineRule="auto"/>
    </w:pPr>
  </w:style>
  <w:style w:type="character" w:customStyle="1" w:styleId="BodyText2Char">
    <w:name w:val="Body Text 2 Char"/>
    <w:basedOn w:val="DefaultParagraphFont"/>
    <w:link w:val="BodyText2"/>
    <w:uiPriority w:val="99"/>
    <w:rsid w:val="00251877"/>
    <w:rPr>
      <w:rFonts w:ascii="Times New Roman" w:eastAsia="Times New Roman" w:hAnsi="Times New Roman"/>
      <w:lang w:bidi="ar-SA"/>
    </w:rPr>
  </w:style>
  <w:style w:type="paragraph" w:customStyle="1" w:styleId="Style4">
    <w:name w:val="Style4"/>
    <w:basedOn w:val="Heading1"/>
    <w:autoRedefine/>
    <w:rsid w:val="00F30230"/>
    <w:pPr>
      <w:keepNext w:val="0"/>
      <w:spacing w:before="0" w:after="0"/>
      <w:ind w:right="72"/>
      <w:jc w:val="center"/>
      <w:outlineLvl w:val="9"/>
    </w:pPr>
    <w:rPr>
      <w:rFonts w:ascii="Times New Roman" w:eastAsia="Times New Roman" w:hAnsi="Times New Roman"/>
      <w:b w:val="0"/>
      <w:bCs w:val="0"/>
      <w:color w:val="000000"/>
      <w:kern w:val="0"/>
      <w:sz w:val="22"/>
      <w:szCs w:val="24"/>
    </w:rPr>
  </w:style>
  <w:style w:type="paragraph" w:customStyle="1" w:styleId="ExhibitC1">
    <w:name w:val="ExhibitC1"/>
    <w:basedOn w:val="Normal"/>
    <w:rsid w:val="00C67597"/>
    <w:pPr>
      <w:numPr>
        <w:numId w:val="15"/>
      </w:numPr>
    </w:pPr>
    <w:rPr>
      <w:noProof/>
      <w:szCs w:val="20"/>
      <w:u w:val="single"/>
    </w:rPr>
  </w:style>
  <w:style w:type="paragraph" w:customStyle="1" w:styleId="ExhibitC2">
    <w:name w:val="ExhibitC2"/>
    <w:basedOn w:val="Normal"/>
    <w:rsid w:val="00C67597"/>
    <w:pPr>
      <w:numPr>
        <w:ilvl w:val="1"/>
        <w:numId w:val="15"/>
      </w:numPr>
    </w:pPr>
    <w:rPr>
      <w:noProof/>
      <w:szCs w:val="20"/>
    </w:rPr>
  </w:style>
  <w:style w:type="paragraph" w:customStyle="1" w:styleId="ExhibitC3">
    <w:name w:val="ExhibitC3"/>
    <w:basedOn w:val="Normal"/>
    <w:rsid w:val="00C67597"/>
    <w:pPr>
      <w:keepNext/>
      <w:numPr>
        <w:ilvl w:val="2"/>
        <w:numId w:val="15"/>
      </w:numPr>
      <w:tabs>
        <w:tab w:val="left" w:pos="2592"/>
        <w:tab w:val="left" w:pos="4176"/>
        <w:tab w:val="left" w:pos="10710"/>
      </w:tabs>
      <w:ind w:right="187"/>
      <w:outlineLvl w:val="0"/>
    </w:pPr>
    <w:rPr>
      <w:szCs w:val="20"/>
    </w:rPr>
  </w:style>
  <w:style w:type="paragraph" w:customStyle="1" w:styleId="ExhibitC4">
    <w:name w:val="ExhibitC4"/>
    <w:basedOn w:val="Normal"/>
    <w:rsid w:val="00C67597"/>
    <w:pPr>
      <w:numPr>
        <w:ilvl w:val="3"/>
        <w:numId w:val="15"/>
      </w:numPr>
      <w:spacing w:before="120" w:after="120"/>
    </w:pPr>
    <w:rPr>
      <w:szCs w:val="20"/>
    </w:rPr>
  </w:style>
  <w:style w:type="paragraph" w:customStyle="1" w:styleId="ExhibitC5">
    <w:name w:val="ExhibitC5"/>
    <w:basedOn w:val="Normal"/>
    <w:rsid w:val="00C67597"/>
    <w:pPr>
      <w:numPr>
        <w:ilvl w:val="4"/>
        <w:numId w:val="15"/>
      </w:numPr>
      <w:spacing w:before="120" w:after="120"/>
    </w:pPr>
    <w:rPr>
      <w:szCs w:val="20"/>
    </w:rPr>
  </w:style>
  <w:style w:type="paragraph" w:customStyle="1" w:styleId="ExhibitC6">
    <w:name w:val="ExhibitC6"/>
    <w:basedOn w:val="Normal"/>
    <w:rsid w:val="00C67597"/>
    <w:pPr>
      <w:numPr>
        <w:ilvl w:val="5"/>
        <w:numId w:val="15"/>
      </w:numPr>
      <w:spacing w:before="120" w:after="120"/>
    </w:pPr>
    <w:rPr>
      <w:szCs w:val="20"/>
    </w:rPr>
  </w:style>
  <w:style w:type="paragraph" w:customStyle="1" w:styleId="ExhibitC7">
    <w:name w:val="ExhibitC7"/>
    <w:basedOn w:val="Normal"/>
    <w:rsid w:val="00C67597"/>
    <w:pPr>
      <w:numPr>
        <w:ilvl w:val="6"/>
        <w:numId w:val="15"/>
      </w:numPr>
      <w:spacing w:before="120" w:after="120"/>
    </w:pPr>
    <w:rPr>
      <w:szCs w:val="20"/>
    </w:rPr>
  </w:style>
</w:styles>
</file>

<file path=word/webSettings.xml><?xml version="1.0" encoding="utf-8"?>
<w:webSettings xmlns:r="http://schemas.openxmlformats.org/officeDocument/2006/relationships" xmlns:w="http://schemas.openxmlformats.org/wordprocessingml/2006/main">
  <w:divs>
    <w:div w:id="969092007">
      <w:bodyDiv w:val="1"/>
      <w:marLeft w:val="0"/>
      <w:marRight w:val="0"/>
      <w:marTop w:val="0"/>
      <w:marBottom w:val="0"/>
      <w:divBdr>
        <w:top w:val="none" w:sz="0" w:space="0" w:color="auto"/>
        <w:left w:val="none" w:sz="0" w:space="0" w:color="auto"/>
        <w:bottom w:val="none" w:sz="0" w:space="0" w:color="auto"/>
        <w:right w:val="none" w:sz="0" w:space="0" w:color="auto"/>
      </w:divBdr>
    </w:div>
    <w:div w:id="9837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ourtinfo.ca.gov/cms/rules/index.cfm?title=ten&amp;linkid=rule10_50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licitations@jud.c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cfcc-publications.ht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urts.ca.gov/documents/jbcl-manual.pdf" TargetMode="Externa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6860E-35CA-46B0-BD19-F59DA6342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2595</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Linda McBain</cp:lastModifiedBy>
  <cp:revision>6</cp:revision>
  <cp:lastPrinted>2012-04-24T16:56:00Z</cp:lastPrinted>
  <dcterms:created xsi:type="dcterms:W3CDTF">2012-04-24T16:43:00Z</dcterms:created>
  <dcterms:modified xsi:type="dcterms:W3CDTF">2012-04-24T16:56:00Z</dcterms:modified>
</cp:coreProperties>
</file>