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A5" w:rsidRPr="00C57A84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4"/>
          <w:szCs w:val="24"/>
        </w:rPr>
      </w:pPr>
      <w:r w:rsidRPr="00C57A84">
        <w:rPr>
          <w:b/>
          <w:bCs/>
          <w:color w:val="auto"/>
          <w:sz w:val="24"/>
          <w:szCs w:val="24"/>
        </w:rPr>
        <w:t>ADMINISTRATIVE OFFICE OF THE COURTS</w:t>
      </w:r>
    </w:p>
    <w:p w:rsidR="004757A5" w:rsidRPr="00C57A84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16"/>
          <w:szCs w:val="16"/>
        </w:rPr>
      </w:pPr>
    </w:p>
    <w:p w:rsidR="004757A5" w:rsidRDefault="00C57A84" w:rsidP="00C57A84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RFP </w:t>
      </w:r>
      <w:r w:rsidR="004757A5" w:rsidRPr="00110C1C">
        <w:rPr>
          <w:b/>
          <w:bCs/>
          <w:color w:val="auto"/>
          <w:sz w:val="28"/>
          <w:szCs w:val="28"/>
        </w:rPr>
        <w:t>QUESTIONS AND ANSWERS</w:t>
      </w:r>
    </w:p>
    <w:p w:rsidR="00C57A84" w:rsidRPr="00C57A84" w:rsidRDefault="00F30975" w:rsidP="00C57A84">
      <w:pPr>
        <w:autoSpaceDE w:val="0"/>
        <w:autoSpaceDN w:val="0"/>
        <w:adjustRightInd w:val="0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Amador County Dependency Representation</w:t>
      </w:r>
    </w:p>
    <w:p w:rsidR="004757A5" w:rsidRPr="00C57A84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16"/>
          <w:szCs w:val="16"/>
        </w:rPr>
      </w:pPr>
    </w:p>
    <w:p w:rsidR="00263C8D" w:rsidRPr="00110C1C" w:rsidRDefault="004E47B5" w:rsidP="00263C8D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110C1C">
        <w:rPr>
          <w:b/>
          <w:bCs/>
          <w:color w:val="auto"/>
          <w:sz w:val="28"/>
          <w:szCs w:val="28"/>
        </w:rPr>
        <w:t xml:space="preserve">RFP# </w:t>
      </w:r>
      <w:r w:rsidR="00BA01D9">
        <w:rPr>
          <w:b/>
          <w:bCs/>
          <w:color w:val="auto"/>
          <w:sz w:val="28"/>
          <w:szCs w:val="28"/>
        </w:rPr>
        <w:t>CFCC-012414-ACDR-CF</w:t>
      </w:r>
    </w:p>
    <w:p w:rsidR="00D60CFF" w:rsidRPr="00D60CFF" w:rsidRDefault="00D60CFF" w:rsidP="00C07721">
      <w:pPr>
        <w:autoSpaceDE w:val="0"/>
        <w:autoSpaceDN w:val="0"/>
        <w:adjustRightInd w:val="0"/>
        <w:jc w:val="center"/>
        <w:rPr>
          <w:color w:val="0000FF"/>
          <w:sz w:val="16"/>
          <w:szCs w:val="16"/>
        </w:rPr>
      </w:pPr>
    </w:p>
    <w:p w:rsidR="004757A5" w:rsidRPr="00110C1C" w:rsidRDefault="00795AA5" w:rsidP="004757A5">
      <w:pPr>
        <w:autoSpaceDE w:val="0"/>
        <w:autoSpaceDN w:val="0"/>
        <w:adjustRightInd w:val="0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March 4</w:t>
      </w:r>
      <w:r w:rsidR="00623D70">
        <w:rPr>
          <w:b/>
          <w:color w:val="auto"/>
          <w:sz w:val="24"/>
          <w:szCs w:val="24"/>
        </w:rPr>
        <w:t>, 2014</w:t>
      </w:r>
    </w:p>
    <w:p w:rsidR="004757A5" w:rsidRPr="00110C1C" w:rsidRDefault="004757A5" w:rsidP="004757A5">
      <w:pPr>
        <w:pBdr>
          <w:bottom w:val="thinThickSmallGap" w:sz="24" w:space="1" w:color="auto"/>
        </w:pBdr>
        <w:autoSpaceDE w:val="0"/>
        <w:autoSpaceDN w:val="0"/>
        <w:adjustRightInd w:val="0"/>
        <w:spacing w:after="240"/>
        <w:rPr>
          <w:color w:val="auto"/>
        </w:rPr>
      </w:pPr>
    </w:p>
    <w:p w:rsidR="00DB3F84" w:rsidRPr="00110C1C" w:rsidRDefault="00DB3F84" w:rsidP="00263C8D">
      <w:pPr>
        <w:rPr>
          <w:color w:val="auto"/>
        </w:rPr>
      </w:pPr>
    </w:p>
    <w:p w:rsidR="00623D70" w:rsidRPr="009E309F" w:rsidRDefault="00BA01D9" w:rsidP="00623D70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240"/>
        <w:ind w:hanging="720"/>
        <w:rPr>
          <w:color w:val="0000FF"/>
          <w:sz w:val="22"/>
          <w:szCs w:val="22"/>
        </w:rPr>
      </w:pPr>
      <w:r>
        <w:rPr>
          <w:color w:val="auto"/>
          <w:sz w:val="22"/>
          <w:szCs w:val="22"/>
        </w:rPr>
        <w:t>How many Cases have more than two parents with attorneys appointed?</w:t>
      </w:r>
    </w:p>
    <w:p w:rsidR="002D1BDC" w:rsidRPr="00CB50A8" w:rsidRDefault="008676BC" w:rsidP="00623D70">
      <w:pPr>
        <w:autoSpaceDE w:val="0"/>
        <w:autoSpaceDN w:val="0"/>
        <w:adjustRightInd w:val="0"/>
        <w:spacing w:after="240"/>
        <w:ind w:left="1800" w:hanging="1080"/>
        <w:rPr>
          <w:color w:val="0000FF"/>
          <w:sz w:val="22"/>
          <w:szCs w:val="22"/>
        </w:rPr>
      </w:pPr>
      <w:r w:rsidRPr="00CB50A8">
        <w:rPr>
          <w:color w:val="0000FF"/>
          <w:sz w:val="22"/>
          <w:szCs w:val="22"/>
        </w:rPr>
        <w:t>Answer:</w:t>
      </w:r>
      <w:r w:rsidRPr="00CB50A8">
        <w:rPr>
          <w:color w:val="0000FF"/>
          <w:sz w:val="22"/>
          <w:szCs w:val="22"/>
        </w:rPr>
        <w:tab/>
      </w:r>
      <w:r w:rsidR="00506B67" w:rsidRPr="00CB50A8">
        <w:rPr>
          <w:color w:val="0000FF"/>
          <w:sz w:val="22"/>
          <w:szCs w:val="22"/>
        </w:rPr>
        <w:t>Please see Attachment 4, Section 9, which estimates approximately 47 child clients and 56 parent clients receiving court appointed dependency representation. This produces a ratio of 1.19 parent clients for each child client.</w:t>
      </w:r>
    </w:p>
    <w:p w:rsidR="00623D70" w:rsidRPr="009E309F" w:rsidRDefault="00BA01D9" w:rsidP="00623D70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240"/>
        <w:ind w:hanging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How many cases have m</w:t>
      </w:r>
      <w:r w:rsidR="0018184D">
        <w:rPr>
          <w:color w:val="auto"/>
          <w:sz w:val="22"/>
          <w:szCs w:val="22"/>
        </w:rPr>
        <w:t>ore than one [multiple] children’s attorneys</w:t>
      </w:r>
      <w:r>
        <w:rPr>
          <w:color w:val="auto"/>
          <w:sz w:val="22"/>
          <w:szCs w:val="22"/>
        </w:rPr>
        <w:t xml:space="preserve"> appointed?</w:t>
      </w:r>
    </w:p>
    <w:p w:rsidR="00623D70" w:rsidRPr="00CB50A8" w:rsidRDefault="00623D70" w:rsidP="00623D70">
      <w:pPr>
        <w:autoSpaceDE w:val="0"/>
        <w:autoSpaceDN w:val="0"/>
        <w:adjustRightInd w:val="0"/>
        <w:spacing w:after="240"/>
        <w:ind w:left="1800" w:hanging="1080"/>
        <w:rPr>
          <w:color w:val="0000FF"/>
          <w:sz w:val="22"/>
          <w:szCs w:val="22"/>
        </w:rPr>
      </w:pPr>
      <w:r w:rsidRPr="00CB50A8">
        <w:rPr>
          <w:color w:val="0000FF"/>
          <w:sz w:val="22"/>
          <w:szCs w:val="22"/>
        </w:rPr>
        <w:t>Answer:</w:t>
      </w:r>
      <w:r w:rsidRPr="00CB50A8">
        <w:rPr>
          <w:color w:val="0000FF"/>
          <w:sz w:val="22"/>
          <w:szCs w:val="22"/>
        </w:rPr>
        <w:tab/>
      </w:r>
      <w:r w:rsidR="00506B67" w:rsidRPr="00CB50A8">
        <w:rPr>
          <w:color w:val="0000FF"/>
          <w:sz w:val="22"/>
          <w:szCs w:val="22"/>
        </w:rPr>
        <w:t>In Amador County, each child is assigned their own case number and, for counting purposes, treated as a separate case</w:t>
      </w:r>
      <w:r w:rsidR="00720FF8" w:rsidRPr="00CB50A8">
        <w:rPr>
          <w:color w:val="0000FF"/>
          <w:sz w:val="22"/>
          <w:szCs w:val="22"/>
        </w:rPr>
        <w:t>. Therefore, each case will only have one child’s attorney appointed. As of January 2014, based on information from the court’s case management system, there are approxim</w:t>
      </w:r>
      <w:r w:rsidR="0019036E" w:rsidRPr="00CB50A8">
        <w:rPr>
          <w:color w:val="0000FF"/>
          <w:sz w:val="22"/>
          <w:szCs w:val="22"/>
        </w:rPr>
        <w:t>ately 103 open cases in Amador C</w:t>
      </w:r>
      <w:r w:rsidR="00720FF8" w:rsidRPr="00CB50A8">
        <w:rPr>
          <w:color w:val="0000FF"/>
          <w:sz w:val="22"/>
          <w:szCs w:val="22"/>
        </w:rPr>
        <w:t>ounty</w:t>
      </w:r>
      <w:r w:rsidR="0019036E" w:rsidRPr="00CB50A8">
        <w:rPr>
          <w:color w:val="0000FF"/>
          <w:sz w:val="22"/>
          <w:szCs w:val="22"/>
        </w:rPr>
        <w:t>.</w:t>
      </w:r>
    </w:p>
    <w:p w:rsidR="008676BC" w:rsidRPr="009E309F" w:rsidRDefault="00BA01D9" w:rsidP="0018184D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240"/>
        <w:ind w:hanging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What time of day are detention hearings held</w:t>
      </w:r>
      <w:r w:rsidR="00C56C36" w:rsidRPr="009E309F">
        <w:rPr>
          <w:color w:val="auto"/>
          <w:sz w:val="22"/>
          <w:szCs w:val="22"/>
        </w:rPr>
        <w:t>?</w:t>
      </w:r>
    </w:p>
    <w:p w:rsidR="005D3BF8" w:rsidRPr="00CB50A8" w:rsidRDefault="008676BC" w:rsidP="00BA01D9">
      <w:pPr>
        <w:autoSpaceDE w:val="0"/>
        <w:autoSpaceDN w:val="0"/>
        <w:adjustRightInd w:val="0"/>
        <w:spacing w:after="240"/>
        <w:ind w:left="1800" w:right="-86" w:hanging="1080"/>
        <w:rPr>
          <w:color w:val="0000FF"/>
          <w:sz w:val="22"/>
          <w:szCs w:val="22"/>
        </w:rPr>
      </w:pPr>
      <w:r w:rsidRPr="00CB50A8">
        <w:rPr>
          <w:color w:val="0000FF"/>
          <w:sz w:val="22"/>
          <w:szCs w:val="22"/>
        </w:rPr>
        <w:t>Answer:</w:t>
      </w:r>
      <w:r w:rsidRPr="00CB50A8">
        <w:rPr>
          <w:color w:val="0000FF"/>
          <w:sz w:val="22"/>
          <w:szCs w:val="22"/>
        </w:rPr>
        <w:tab/>
      </w:r>
      <w:r w:rsidR="00EE75BE" w:rsidRPr="00CB50A8">
        <w:rPr>
          <w:color w:val="0000FF"/>
          <w:sz w:val="22"/>
          <w:szCs w:val="22"/>
        </w:rPr>
        <w:t xml:space="preserve">Contested and uncontested matters including but not limited to hearings for detention, jurisdiction, disposition, review, </w:t>
      </w:r>
      <w:r w:rsidR="000F5195" w:rsidRPr="003432B0">
        <w:rPr>
          <w:color w:val="0000FF"/>
          <w:sz w:val="22"/>
          <w:szCs w:val="22"/>
        </w:rPr>
        <w:t>Welfare Institution Code</w:t>
      </w:r>
      <w:r w:rsidR="000F5195" w:rsidRPr="000F5195">
        <w:rPr>
          <w:color w:val="0000FF"/>
          <w:sz w:val="22"/>
          <w:szCs w:val="22"/>
        </w:rPr>
        <w:t xml:space="preserve"> </w:t>
      </w:r>
      <w:r w:rsidR="00EE75BE" w:rsidRPr="000F5195">
        <w:rPr>
          <w:color w:val="0000FF"/>
          <w:sz w:val="22"/>
          <w:szCs w:val="22"/>
        </w:rPr>
        <w:t>366.26</w:t>
      </w:r>
      <w:r w:rsidR="00EE75BE" w:rsidRPr="00CB50A8">
        <w:rPr>
          <w:color w:val="0000FF"/>
          <w:sz w:val="22"/>
          <w:szCs w:val="22"/>
        </w:rPr>
        <w:t xml:space="preserve">, and post-permanency are held on the </w:t>
      </w:r>
      <w:r w:rsidR="004511EB" w:rsidRPr="00CB50A8">
        <w:rPr>
          <w:color w:val="0000FF"/>
          <w:sz w:val="22"/>
          <w:szCs w:val="22"/>
        </w:rPr>
        <w:t>first Thursday of the month from 8:30 a.m. to 12 noon; and the second and fourth Thursday of the month from 8:30 a.m. to 12 noon and 1:30 to 3:00 p.m.</w:t>
      </w:r>
    </w:p>
    <w:p w:rsidR="008676BC" w:rsidRPr="009E309F" w:rsidRDefault="00BA01D9" w:rsidP="004F789C">
      <w:pPr>
        <w:numPr>
          <w:ilvl w:val="0"/>
          <w:numId w:val="1"/>
        </w:numPr>
        <w:autoSpaceDE w:val="0"/>
        <w:autoSpaceDN w:val="0"/>
        <w:adjustRightInd w:val="0"/>
        <w:spacing w:after="240"/>
        <w:ind w:hanging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Approximately how much was spent by current providers last year for travel to see minor clients and parent clients, respectively</w:t>
      </w:r>
      <w:r w:rsidR="00C56C36" w:rsidRPr="009E309F">
        <w:rPr>
          <w:color w:val="auto"/>
          <w:sz w:val="22"/>
          <w:szCs w:val="22"/>
        </w:rPr>
        <w:t>?</w:t>
      </w:r>
    </w:p>
    <w:p w:rsidR="008676BC" w:rsidRPr="00CB50A8" w:rsidRDefault="008676BC" w:rsidP="00BA01D9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  <w:sz w:val="22"/>
          <w:szCs w:val="22"/>
        </w:rPr>
      </w:pPr>
      <w:r w:rsidRPr="00CB50A8">
        <w:rPr>
          <w:color w:val="0000FF"/>
          <w:sz w:val="22"/>
          <w:szCs w:val="22"/>
        </w:rPr>
        <w:t>Answer:</w:t>
      </w:r>
      <w:r w:rsidRPr="00CB50A8">
        <w:rPr>
          <w:color w:val="0000FF"/>
          <w:sz w:val="22"/>
          <w:szCs w:val="22"/>
        </w:rPr>
        <w:tab/>
      </w:r>
      <w:r w:rsidR="006F79BA" w:rsidRPr="00CB50A8">
        <w:rPr>
          <w:color w:val="0000FF"/>
          <w:sz w:val="22"/>
          <w:szCs w:val="22"/>
        </w:rPr>
        <w:t>The Administrative Office of the Courts does not reimburse for any overhead, per diem, travel or other direct or indirect out-of-pocket costs incurred by Contractor, its agents, e</w:t>
      </w:r>
      <w:r w:rsidR="00CE377C" w:rsidRPr="00CB50A8">
        <w:rPr>
          <w:color w:val="0000FF"/>
          <w:sz w:val="22"/>
          <w:szCs w:val="22"/>
        </w:rPr>
        <w:t>mployees or Subcontractors, excep</w:t>
      </w:r>
      <w:r w:rsidR="006F79BA" w:rsidRPr="00CB50A8">
        <w:rPr>
          <w:color w:val="0000FF"/>
          <w:sz w:val="22"/>
          <w:szCs w:val="22"/>
        </w:rPr>
        <w:t>t for pre-approved out-of-state travel and court-ordered professional services.</w:t>
      </w:r>
      <w:r w:rsidR="00CE377C" w:rsidRPr="00CB50A8">
        <w:rPr>
          <w:color w:val="0000FF"/>
          <w:sz w:val="22"/>
          <w:szCs w:val="22"/>
        </w:rPr>
        <w:t xml:space="preserve"> No out of state travel </w:t>
      </w:r>
      <w:r w:rsidR="006905D3" w:rsidRPr="00CB50A8">
        <w:rPr>
          <w:color w:val="0000FF"/>
          <w:sz w:val="22"/>
          <w:szCs w:val="22"/>
        </w:rPr>
        <w:t xml:space="preserve">costs </w:t>
      </w:r>
      <w:r w:rsidR="00CE377C" w:rsidRPr="00CB50A8">
        <w:rPr>
          <w:color w:val="0000FF"/>
          <w:sz w:val="22"/>
          <w:szCs w:val="22"/>
        </w:rPr>
        <w:t>were incurred last year in Amador County.</w:t>
      </w:r>
    </w:p>
    <w:p w:rsidR="008676BC" w:rsidRDefault="00BA01D9" w:rsidP="004F789C">
      <w:pPr>
        <w:numPr>
          <w:ilvl w:val="0"/>
          <w:numId w:val="1"/>
        </w:numPr>
        <w:autoSpaceDE w:val="0"/>
        <w:autoSpaceDN w:val="0"/>
        <w:adjustRightInd w:val="0"/>
        <w:spacing w:after="240"/>
        <w:ind w:hanging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How much was spent by current providers on expert fees last year?</w:t>
      </w:r>
    </w:p>
    <w:p w:rsidR="00BA01D9" w:rsidRPr="00CB50A8" w:rsidRDefault="006F79BA" w:rsidP="006F79BA">
      <w:pPr>
        <w:autoSpaceDE w:val="0"/>
        <w:autoSpaceDN w:val="0"/>
        <w:adjustRightInd w:val="0"/>
        <w:spacing w:after="240"/>
        <w:ind w:left="1710" w:hanging="990"/>
        <w:rPr>
          <w:color w:val="0000FF"/>
          <w:sz w:val="22"/>
          <w:szCs w:val="22"/>
        </w:rPr>
      </w:pPr>
      <w:r w:rsidRPr="00CB50A8">
        <w:rPr>
          <w:color w:val="0000FF"/>
          <w:sz w:val="22"/>
          <w:szCs w:val="22"/>
        </w:rPr>
        <w:t xml:space="preserve">Answer:    </w:t>
      </w:r>
      <w:r w:rsidR="002149E8" w:rsidRPr="00CB50A8">
        <w:rPr>
          <w:color w:val="0000FF"/>
          <w:sz w:val="22"/>
          <w:szCs w:val="22"/>
        </w:rPr>
        <w:t xml:space="preserve">Based on information gathered from invoices for expert witness costs submitted to the Administrative Office of the Courts, </w:t>
      </w:r>
      <w:r w:rsidR="00EE2944" w:rsidRPr="00CB50A8">
        <w:rPr>
          <w:color w:val="0000FF"/>
          <w:sz w:val="22"/>
          <w:szCs w:val="22"/>
        </w:rPr>
        <w:t>expert witnesses were not used in the past year in Amador County.</w:t>
      </w:r>
    </w:p>
    <w:p w:rsidR="006905D3" w:rsidRDefault="006905D3" w:rsidP="006F79BA">
      <w:pPr>
        <w:autoSpaceDE w:val="0"/>
        <w:autoSpaceDN w:val="0"/>
        <w:adjustRightInd w:val="0"/>
        <w:spacing w:after="240"/>
        <w:ind w:left="1710" w:hanging="990"/>
        <w:rPr>
          <w:color w:val="0070C0"/>
          <w:sz w:val="22"/>
          <w:szCs w:val="22"/>
        </w:rPr>
      </w:pPr>
    </w:p>
    <w:p w:rsidR="00BA01D9" w:rsidRPr="009E309F" w:rsidRDefault="00BA01D9" w:rsidP="004F789C">
      <w:pPr>
        <w:numPr>
          <w:ilvl w:val="0"/>
          <w:numId w:val="1"/>
        </w:numPr>
        <w:autoSpaceDE w:val="0"/>
        <w:autoSpaceDN w:val="0"/>
        <w:adjustRightInd w:val="0"/>
        <w:spacing w:after="240"/>
        <w:ind w:hanging="7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How many minors are placed out of county?  How many minors are placed out of state?</w:t>
      </w:r>
    </w:p>
    <w:p w:rsidR="00102512" w:rsidRPr="00CB50A8" w:rsidRDefault="008676BC" w:rsidP="00102512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  <w:sz w:val="22"/>
          <w:szCs w:val="22"/>
        </w:rPr>
      </w:pPr>
      <w:r w:rsidRPr="00CB50A8">
        <w:rPr>
          <w:color w:val="0000FF"/>
          <w:sz w:val="22"/>
          <w:szCs w:val="22"/>
        </w:rPr>
        <w:t>Answer:</w:t>
      </w:r>
      <w:r w:rsidRPr="00CB50A8">
        <w:rPr>
          <w:color w:val="0000FF"/>
          <w:sz w:val="22"/>
          <w:szCs w:val="22"/>
        </w:rPr>
        <w:tab/>
      </w:r>
      <w:r w:rsidR="006F79BA" w:rsidRPr="00CB50A8">
        <w:rPr>
          <w:color w:val="0000FF"/>
          <w:sz w:val="22"/>
          <w:szCs w:val="22"/>
        </w:rPr>
        <w:t>P</w:t>
      </w:r>
      <w:r w:rsidR="000F5195">
        <w:rPr>
          <w:color w:val="0000FF"/>
          <w:sz w:val="22"/>
          <w:szCs w:val="22"/>
        </w:rPr>
        <w:t>lease see the table below for a</w:t>
      </w:r>
      <w:r w:rsidR="00CB406E">
        <w:rPr>
          <w:color w:val="0000FF"/>
          <w:sz w:val="22"/>
          <w:szCs w:val="22"/>
        </w:rPr>
        <w:t>n</w:t>
      </w:r>
      <w:r w:rsidR="000F5195">
        <w:rPr>
          <w:color w:val="0000FF"/>
          <w:sz w:val="22"/>
          <w:szCs w:val="22"/>
        </w:rPr>
        <w:t xml:space="preserve"> </w:t>
      </w:r>
      <w:r w:rsidR="006F79BA" w:rsidRPr="00CB50A8">
        <w:rPr>
          <w:color w:val="0000FF"/>
          <w:sz w:val="22"/>
          <w:szCs w:val="22"/>
        </w:rPr>
        <w:t xml:space="preserve">estimate of </w:t>
      </w:r>
      <w:r w:rsidR="00102512">
        <w:rPr>
          <w:color w:val="0000FF"/>
          <w:sz w:val="22"/>
          <w:szCs w:val="22"/>
        </w:rPr>
        <w:t xml:space="preserve">Amador minor </w:t>
      </w:r>
      <w:r w:rsidR="006F79BA" w:rsidRPr="00CB50A8">
        <w:rPr>
          <w:color w:val="0000FF"/>
          <w:sz w:val="22"/>
          <w:szCs w:val="22"/>
        </w:rPr>
        <w:t>children placed out of county</w:t>
      </w:r>
      <w:r w:rsidR="008A79A9">
        <w:rPr>
          <w:color w:val="0000FF"/>
          <w:sz w:val="22"/>
          <w:szCs w:val="22"/>
        </w:rPr>
        <w:t>.</w:t>
      </w:r>
      <w:r w:rsidR="00F053F9" w:rsidRPr="003432B0">
        <w:rPr>
          <w:b/>
          <w:color w:val="0000FF"/>
          <w:sz w:val="22"/>
          <w:szCs w:val="22"/>
          <w:vertAlign w:val="superscript"/>
        </w:rPr>
        <w:t>1</w:t>
      </w:r>
      <w:r w:rsidR="006F79BA" w:rsidRPr="00CB50A8">
        <w:rPr>
          <w:color w:val="0000FF"/>
          <w:sz w:val="22"/>
          <w:szCs w:val="22"/>
        </w:rPr>
        <w:t xml:space="preserve">  No minors were placed out of state.</w:t>
      </w:r>
    </w:p>
    <w:tbl>
      <w:tblPr>
        <w:tblStyle w:val="TableGrid"/>
        <w:tblW w:w="8026" w:type="dxa"/>
        <w:tblInd w:w="795" w:type="dxa"/>
        <w:tblCellMar>
          <w:left w:w="58" w:type="dxa"/>
          <w:right w:w="58" w:type="dxa"/>
        </w:tblCellMar>
        <w:tblLook w:val="04A0"/>
      </w:tblPr>
      <w:tblGrid>
        <w:gridCol w:w="2643"/>
        <w:gridCol w:w="2643"/>
        <w:gridCol w:w="2740"/>
      </w:tblGrid>
      <w:tr w:rsidR="00795AA5" w:rsidRPr="00CB50A8" w:rsidTr="00795AA5">
        <w:tc>
          <w:tcPr>
            <w:tcW w:w="2643" w:type="dxa"/>
            <w:vAlign w:val="center"/>
          </w:tcPr>
          <w:p w:rsidR="00795AA5" w:rsidRPr="000F5195" w:rsidRDefault="00795AA5" w:rsidP="001D17AE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b/>
                <w:color w:val="0000FF"/>
              </w:rPr>
            </w:pPr>
            <w:r w:rsidRPr="000F5195">
              <w:rPr>
                <w:b/>
                <w:color w:val="0000FF"/>
              </w:rPr>
              <w:t>County of Placement</w:t>
            </w:r>
          </w:p>
        </w:tc>
        <w:tc>
          <w:tcPr>
            <w:tcW w:w="2643" w:type="dxa"/>
            <w:vAlign w:val="center"/>
          </w:tcPr>
          <w:p w:rsidR="00795AA5" w:rsidRPr="000F5195" w:rsidRDefault="00795AA5" w:rsidP="000F5195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b/>
                <w:color w:val="0000FF"/>
              </w:rPr>
            </w:pPr>
            <w:r w:rsidRPr="000F5195">
              <w:rPr>
                <w:b/>
                <w:color w:val="0000FF"/>
              </w:rPr>
              <w:t xml:space="preserve">Percent of </w:t>
            </w:r>
            <w:r>
              <w:rPr>
                <w:b/>
                <w:color w:val="0000FF"/>
              </w:rPr>
              <w:t xml:space="preserve">Amador </w:t>
            </w:r>
            <w:r w:rsidRPr="000F5195">
              <w:rPr>
                <w:b/>
                <w:color w:val="0000FF"/>
              </w:rPr>
              <w:t>Children</w:t>
            </w:r>
          </w:p>
          <w:p w:rsidR="00795AA5" w:rsidRPr="00CB50A8" w:rsidRDefault="00795AA5" w:rsidP="000F5195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</w:rPr>
            </w:pPr>
            <w:r w:rsidRPr="000F5195">
              <w:rPr>
                <w:b/>
                <w:color w:val="0000FF"/>
              </w:rPr>
              <w:t>Placed Out of County</w:t>
            </w:r>
          </w:p>
        </w:tc>
        <w:tc>
          <w:tcPr>
            <w:tcW w:w="2740" w:type="dxa"/>
            <w:vAlign w:val="center"/>
          </w:tcPr>
          <w:p w:rsidR="00795AA5" w:rsidRPr="000F5195" w:rsidRDefault="00795AA5" w:rsidP="000F5195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b/>
                <w:color w:val="0000FF"/>
              </w:rPr>
            </w:pPr>
            <w:r w:rsidRPr="000F5195">
              <w:rPr>
                <w:b/>
                <w:color w:val="0000FF"/>
              </w:rPr>
              <w:t xml:space="preserve">Number of </w:t>
            </w:r>
            <w:r>
              <w:rPr>
                <w:b/>
                <w:color w:val="0000FF"/>
              </w:rPr>
              <w:t xml:space="preserve">Amador </w:t>
            </w:r>
            <w:r w:rsidRPr="000F5195">
              <w:rPr>
                <w:b/>
                <w:color w:val="0000FF"/>
              </w:rPr>
              <w:t>Children</w:t>
            </w:r>
          </w:p>
          <w:p w:rsidR="00795AA5" w:rsidRPr="000F5195" w:rsidRDefault="00795AA5" w:rsidP="000F5195">
            <w:pPr>
              <w:tabs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b/>
                <w:color w:val="0000FF"/>
              </w:rPr>
            </w:pPr>
            <w:r w:rsidRPr="000F5195">
              <w:rPr>
                <w:b/>
                <w:color w:val="0000FF"/>
              </w:rPr>
              <w:t>Placed Out of County</w:t>
            </w:r>
          </w:p>
        </w:tc>
      </w:tr>
      <w:tr w:rsidR="00795AA5" w:rsidRPr="00CB50A8" w:rsidTr="00795AA5">
        <w:trPr>
          <w:trHeight w:val="360"/>
        </w:trPr>
        <w:tc>
          <w:tcPr>
            <w:tcW w:w="2643" w:type="dxa"/>
            <w:vAlign w:val="center"/>
          </w:tcPr>
          <w:p w:rsidR="00795AA5" w:rsidRPr="00CB50A8" w:rsidRDefault="00795AA5" w:rsidP="001D17AE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Calaveras</w:t>
            </w:r>
          </w:p>
        </w:tc>
        <w:tc>
          <w:tcPr>
            <w:tcW w:w="2643" w:type="dxa"/>
            <w:vAlign w:val="center"/>
          </w:tcPr>
          <w:p w:rsidR="00795AA5" w:rsidRPr="00CB50A8" w:rsidRDefault="00795AA5" w:rsidP="000F5195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4.76%</w:t>
            </w:r>
          </w:p>
        </w:tc>
        <w:tc>
          <w:tcPr>
            <w:tcW w:w="2740" w:type="dxa"/>
            <w:vAlign w:val="center"/>
          </w:tcPr>
          <w:p w:rsidR="00795AA5" w:rsidRPr="00CB50A8" w:rsidRDefault="00795AA5" w:rsidP="000F5195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2</w:t>
            </w:r>
          </w:p>
        </w:tc>
      </w:tr>
      <w:tr w:rsidR="00795AA5" w:rsidRPr="00CB50A8" w:rsidTr="00795AA5">
        <w:trPr>
          <w:trHeight w:val="360"/>
        </w:trPr>
        <w:tc>
          <w:tcPr>
            <w:tcW w:w="2643" w:type="dxa"/>
            <w:vAlign w:val="center"/>
          </w:tcPr>
          <w:p w:rsidR="00795AA5" w:rsidRPr="00CB50A8" w:rsidRDefault="00795AA5" w:rsidP="001D17AE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El Dorado</w:t>
            </w:r>
          </w:p>
        </w:tc>
        <w:tc>
          <w:tcPr>
            <w:tcW w:w="2643" w:type="dxa"/>
            <w:vAlign w:val="center"/>
          </w:tcPr>
          <w:p w:rsidR="00795AA5" w:rsidRPr="00CB50A8" w:rsidRDefault="00795AA5" w:rsidP="000F5195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7.14%</w:t>
            </w:r>
          </w:p>
        </w:tc>
        <w:tc>
          <w:tcPr>
            <w:tcW w:w="2740" w:type="dxa"/>
            <w:vAlign w:val="center"/>
          </w:tcPr>
          <w:p w:rsidR="00795AA5" w:rsidRPr="00CB50A8" w:rsidRDefault="00795AA5" w:rsidP="000F5195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3</w:t>
            </w:r>
          </w:p>
        </w:tc>
      </w:tr>
      <w:tr w:rsidR="00795AA5" w:rsidRPr="00CB50A8" w:rsidTr="00795AA5">
        <w:trPr>
          <w:trHeight w:val="360"/>
        </w:trPr>
        <w:tc>
          <w:tcPr>
            <w:tcW w:w="2643" w:type="dxa"/>
            <w:vAlign w:val="center"/>
          </w:tcPr>
          <w:p w:rsidR="00795AA5" w:rsidRPr="00CB50A8" w:rsidRDefault="00795AA5" w:rsidP="001D17AE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Placer</w:t>
            </w:r>
          </w:p>
        </w:tc>
        <w:tc>
          <w:tcPr>
            <w:tcW w:w="2643" w:type="dxa"/>
            <w:vAlign w:val="center"/>
          </w:tcPr>
          <w:p w:rsidR="00795AA5" w:rsidRPr="00CB50A8" w:rsidRDefault="00795AA5" w:rsidP="000F5195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2.3%</w:t>
            </w:r>
          </w:p>
        </w:tc>
        <w:tc>
          <w:tcPr>
            <w:tcW w:w="2740" w:type="dxa"/>
            <w:vAlign w:val="center"/>
          </w:tcPr>
          <w:p w:rsidR="00795AA5" w:rsidRPr="00CB50A8" w:rsidRDefault="00795AA5" w:rsidP="000F5195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1</w:t>
            </w:r>
          </w:p>
        </w:tc>
      </w:tr>
      <w:tr w:rsidR="00795AA5" w:rsidRPr="00CB50A8" w:rsidTr="00795AA5">
        <w:trPr>
          <w:trHeight w:val="360"/>
        </w:trPr>
        <w:tc>
          <w:tcPr>
            <w:tcW w:w="2643" w:type="dxa"/>
            <w:vAlign w:val="center"/>
          </w:tcPr>
          <w:p w:rsidR="00795AA5" w:rsidRPr="00CB50A8" w:rsidRDefault="00795AA5" w:rsidP="001D17AE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Sacramento</w:t>
            </w:r>
          </w:p>
        </w:tc>
        <w:tc>
          <w:tcPr>
            <w:tcW w:w="2643" w:type="dxa"/>
            <w:vAlign w:val="center"/>
          </w:tcPr>
          <w:p w:rsidR="00795AA5" w:rsidRPr="00CB50A8" w:rsidRDefault="00795AA5" w:rsidP="000F5195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2.3%</w:t>
            </w:r>
          </w:p>
        </w:tc>
        <w:tc>
          <w:tcPr>
            <w:tcW w:w="2740" w:type="dxa"/>
            <w:vAlign w:val="center"/>
          </w:tcPr>
          <w:p w:rsidR="00795AA5" w:rsidRPr="00CB50A8" w:rsidRDefault="00795AA5" w:rsidP="000F5195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1</w:t>
            </w:r>
          </w:p>
        </w:tc>
      </w:tr>
      <w:tr w:rsidR="00795AA5" w:rsidRPr="00CB50A8" w:rsidTr="00795AA5">
        <w:trPr>
          <w:trHeight w:val="360"/>
        </w:trPr>
        <w:tc>
          <w:tcPr>
            <w:tcW w:w="2643" w:type="dxa"/>
            <w:vAlign w:val="center"/>
          </w:tcPr>
          <w:p w:rsidR="00795AA5" w:rsidRPr="00CB50A8" w:rsidRDefault="00795AA5" w:rsidP="001D17AE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San Joaquin</w:t>
            </w:r>
          </w:p>
        </w:tc>
        <w:tc>
          <w:tcPr>
            <w:tcW w:w="2643" w:type="dxa"/>
            <w:vAlign w:val="center"/>
          </w:tcPr>
          <w:p w:rsidR="00795AA5" w:rsidRPr="00CB50A8" w:rsidRDefault="00795AA5" w:rsidP="000F5195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9.52%</w:t>
            </w:r>
          </w:p>
        </w:tc>
        <w:tc>
          <w:tcPr>
            <w:tcW w:w="2740" w:type="dxa"/>
            <w:vAlign w:val="center"/>
          </w:tcPr>
          <w:p w:rsidR="00795AA5" w:rsidRPr="00CB50A8" w:rsidRDefault="00795AA5" w:rsidP="000F5195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4</w:t>
            </w:r>
          </w:p>
        </w:tc>
      </w:tr>
      <w:tr w:rsidR="00795AA5" w:rsidRPr="00CB50A8" w:rsidTr="00795AA5">
        <w:trPr>
          <w:trHeight w:val="360"/>
        </w:trPr>
        <w:tc>
          <w:tcPr>
            <w:tcW w:w="2643" w:type="dxa"/>
            <w:vAlign w:val="center"/>
          </w:tcPr>
          <w:p w:rsidR="00795AA5" w:rsidRPr="00CB50A8" w:rsidRDefault="00795AA5" w:rsidP="001D17AE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Stanislaus</w:t>
            </w:r>
          </w:p>
        </w:tc>
        <w:tc>
          <w:tcPr>
            <w:tcW w:w="2643" w:type="dxa"/>
            <w:vAlign w:val="center"/>
          </w:tcPr>
          <w:p w:rsidR="00795AA5" w:rsidRPr="00CB50A8" w:rsidRDefault="00795AA5" w:rsidP="000F5195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4.76%</w:t>
            </w:r>
          </w:p>
        </w:tc>
        <w:tc>
          <w:tcPr>
            <w:tcW w:w="2740" w:type="dxa"/>
            <w:vAlign w:val="center"/>
          </w:tcPr>
          <w:p w:rsidR="00795AA5" w:rsidRPr="00CB50A8" w:rsidRDefault="00795AA5" w:rsidP="000F5195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2</w:t>
            </w:r>
          </w:p>
        </w:tc>
      </w:tr>
      <w:tr w:rsidR="00795AA5" w:rsidRPr="00CB50A8" w:rsidTr="00795AA5">
        <w:trPr>
          <w:trHeight w:val="360"/>
        </w:trPr>
        <w:tc>
          <w:tcPr>
            <w:tcW w:w="2643" w:type="dxa"/>
            <w:vAlign w:val="center"/>
          </w:tcPr>
          <w:p w:rsidR="00795AA5" w:rsidRPr="00CB50A8" w:rsidRDefault="00795AA5" w:rsidP="001D17AE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Tulare</w:t>
            </w:r>
          </w:p>
        </w:tc>
        <w:tc>
          <w:tcPr>
            <w:tcW w:w="2643" w:type="dxa"/>
            <w:vAlign w:val="center"/>
          </w:tcPr>
          <w:p w:rsidR="00795AA5" w:rsidRPr="00CB50A8" w:rsidRDefault="00795AA5" w:rsidP="000F5195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2.3%</w:t>
            </w:r>
          </w:p>
        </w:tc>
        <w:tc>
          <w:tcPr>
            <w:tcW w:w="2740" w:type="dxa"/>
            <w:vAlign w:val="center"/>
          </w:tcPr>
          <w:p w:rsidR="00795AA5" w:rsidRPr="00CB50A8" w:rsidRDefault="00795AA5" w:rsidP="000F5195">
            <w:pPr>
              <w:autoSpaceDE w:val="0"/>
              <w:autoSpaceDN w:val="0"/>
              <w:adjustRightInd w:val="0"/>
              <w:jc w:val="center"/>
              <w:rPr>
                <w:color w:val="0000FF"/>
                <w:sz w:val="22"/>
                <w:szCs w:val="22"/>
              </w:rPr>
            </w:pPr>
            <w:r w:rsidRPr="00CB50A8">
              <w:rPr>
                <w:color w:val="0000FF"/>
                <w:sz w:val="22"/>
                <w:szCs w:val="22"/>
              </w:rPr>
              <w:t>1</w:t>
            </w:r>
          </w:p>
        </w:tc>
      </w:tr>
      <w:tr w:rsidR="00795AA5" w:rsidRPr="00CB50A8" w:rsidTr="00795AA5">
        <w:trPr>
          <w:trHeight w:val="360"/>
        </w:trPr>
        <w:tc>
          <w:tcPr>
            <w:tcW w:w="2643" w:type="dxa"/>
          </w:tcPr>
          <w:p w:rsidR="00795AA5" w:rsidRPr="00AF09C9" w:rsidRDefault="00795AA5" w:rsidP="003432B0">
            <w:pPr>
              <w:autoSpaceDE w:val="0"/>
              <w:autoSpaceDN w:val="0"/>
              <w:adjustRightInd w:val="0"/>
              <w:ind w:right="172"/>
              <w:jc w:val="right"/>
              <w:rPr>
                <w:b/>
                <w:color w:val="0000FF"/>
                <w:sz w:val="22"/>
                <w:szCs w:val="22"/>
              </w:rPr>
            </w:pPr>
          </w:p>
        </w:tc>
        <w:tc>
          <w:tcPr>
            <w:tcW w:w="2643" w:type="dxa"/>
            <w:vAlign w:val="center"/>
          </w:tcPr>
          <w:p w:rsidR="00795AA5" w:rsidRPr="00353A1A" w:rsidRDefault="00795AA5" w:rsidP="003432B0">
            <w:pPr>
              <w:autoSpaceDE w:val="0"/>
              <w:autoSpaceDN w:val="0"/>
              <w:adjustRightInd w:val="0"/>
              <w:ind w:right="172"/>
              <w:jc w:val="right"/>
              <w:rPr>
                <w:b/>
                <w:color w:val="0000FF"/>
                <w:sz w:val="22"/>
                <w:szCs w:val="22"/>
              </w:rPr>
            </w:pPr>
            <w:r w:rsidRPr="00AF09C9">
              <w:rPr>
                <w:b/>
                <w:color w:val="0000FF"/>
                <w:sz w:val="22"/>
                <w:szCs w:val="22"/>
              </w:rPr>
              <w:t xml:space="preserve">Total </w:t>
            </w:r>
          </w:p>
        </w:tc>
        <w:tc>
          <w:tcPr>
            <w:tcW w:w="2740" w:type="dxa"/>
            <w:vAlign w:val="center"/>
          </w:tcPr>
          <w:p w:rsidR="00795AA5" w:rsidRPr="00795AA5" w:rsidRDefault="00795AA5" w:rsidP="000F5195">
            <w:pPr>
              <w:autoSpaceDE w:val="0"/>
              <w:autoSpaceDN w:val="0"/>
              <w:adjustRightInd w:val="0"/>
              <w:jc w:val="center"/>
              <w:rPr>
                <w:b/>
                <w:color w:val="0000FF"/>
                <w:sz w:val="22"/>
                <w:szCs w:val="22"/>
              </w:rPr>
            </w:pPr>
            <w:r w:rsidRPr="003432B0">
              <w:rPr>
                <w:b/>
                <w:color w:val="0000FF"/>
                <w:sz w:val="22"/>
                <w:szCs w:val="22"/>
              </w:rPr>
              <w:t>14</w:t>
            </w:r>
          </w:p>
        </w:tc>
      </w:tr>
    </w:tbl>
    <w:p w:rsidR="002D2587" w:rsidRPr="000F5195" w:rsidRDefault="00F053F9" w:rsidP="00F053F9">
      <w:pPr>
        <w:pStyle w:val="s6"/>
        <w:spacing w:before="120" w:beforeAutospacing="0" w:after="0" w:afterAutospacing="0"/>
        <w:ind w:left="810" w:hanging="90"/>
        <w:rPr>
          <w:color w:val="0000FF"/>
          <w:sz w:val="20"/>
          <w:szCs w:val="20"/>
        </w:rPr>
      </w:pPr>
      <w:r w:rsidRPr="003432B0">
        <w:rPr>
          <w:b/>
          <w:color w:val="0000FF"/>
          <w:sz w:val="20"/>
          <w:szCs w:val="20"/>
          <w:vertAlign w:val="superscript"/>
        </w:rPr>
        <w:t>1</w:t>
      </w:r>
      <w:r>
        <w:rPr>
          <w:b/>
          <w:color w:val="0000FF"/>
          <w:sz w:val="20"/>
          <w:szCs w:val="20"/>
          <w:vertAlign w:val="superscript"/>
        </w:rPr>
        <w:tab/>
      </w:r>
      <w:r w:rsidR="002D2587" w:rsidRPr="000F5195">
        <w:rPr>
          <w:color w:val="0000FF"/>
          <w:sz w:val="20"/>
          <w:szCs w:val="20"/>
        </w:rPr>
        <w:t xml:space="preserve">Data Source: CWS/CMS </w:t>
      </w:r>
      <w:r w:rsidR="002D2587" w:rsidRPr="003432B0">
        <w:rPr>
          <w:b/>
          <w:color w:val="0000FF"/>
          <w:sz w:val="20"/>
          <w:szCs w:val="20"/>
        </w:rPr>
        <w:t>2013 Quarter 2</w:t>
      </w:r>
      <w:r w:rsidR="002D2587" w:rsidRPr="000F5195">
        <w:rPr>
          <w:color w:val="0000FF"/>
          <w:sz w:val="20"/>
          <w:szCs w:val="20"/>
        </w:rPr>
        <w:t xml:space="preserve"> Extract</w:t>
      </w:r>
    </w:p>
    <w:p w:rsidR="002D2587" w:rsidRPr="00FB3AFA" w:rsidRDefault="00F053F9" w:rsidP="00F053F9">
      <w:pPr>
        <w:pStyle w:val="s6"/>
        <w:spacing w:before="0" w:beforeAutospacing="0" w:after="150" w:afterAutospacing="0"/>
        <w:ind w:left="810" w:hanging="90"/>
        <w:rPr>
          <w:rStyle w:val="s3"/>
          <w:sz w:val="20"/>
          <w:szCs w:val="20"/>
        </w:rPr>
      </w:pPr>
      <w:r>
        <w:tab/>
      </w:r>
      <w:hyperlink r:id="rId8" w:history="1">
        <w:r w:rsidR="002D2587" w:rsidRPr="005038D1">
          <w:rPr>
            <w:rStyle w:val="Hyperlink"/>
            <w:sz w:val="20"/>
            <w:szCs w:val="20"/>
          </w:rPr>
          <w:t>http://cssr.berkeley.edu/CWSCMSreports/Pointintime/fostercare/childwel/grids/data/grid_sXr_jul2013_0.html</w:t>
        </w:r>
      </w:hyperlink>
    </w:p>
    <w:p w:rsidR="00AA6E10" w:rsidRDefault="00AA6E10" w:rsidP="003B04E4">
      <w:pPr>
        <w:tabs>
          <w:tab w:val="left" w:pos="1800"/>
        </w:tabs>
        <w:autoSpaceDE w:val="0"/>
        <w:autoSpaceDN w:val="0"/>
        <w:adjustRightInd w:val="0"/>
        <w:spacing w:after="120"/>
        <w:ind w:left="1800" w:hanging="1080"/>
        <w:rPr>
          <w:color w:val="auto"/>
        </w:rPr>
      </w:pPr>
    </w:p>
    <w:p w:rsidR="00E6360E" w:rsidRDefault="00E6360E" w:rsidP="003B04E4">
      <w:pPr>
        <w:tabs>
          <w:tab w:val="left" w:pos="1800"/>
        </w:tabs>
        <w:autoSpaceDE w:val="0"/>
        <w:autoSpaceDN w:val="0"/>
        <w:adjustRightInd w:val="0"/>
        <w:spacing w:after="120"/>
        <w:ind w:left="1800" w:hanging="1080"/>
        <w:rPr>
          <w:color w:val="auto"/>
        </w:rPr>
      </w:pPr>
    </w:p>
    <w:p w:rsidR="00E6360E" w:rsidRDefault="00E6360E" w:rsidP="003B04E4">
      <w:pPr>
        <w:tabs>
          <w:tab w:val="left" w:pos="1800"/>
        </w:tabs>
        <w:autoSpaceDE w:val="0"/>
        <w:autoSpaceDN w:val="0"/>
        <w:adjustRightInd w:val="0"/>
        <w:spacing w:after="120"/>
        <w:ind w:left="1800" w:hanging="1080"/>
        <w:rPr>
          <w:color w:val="auto"/>
        </w:rPr>
      </w:pPr>
    </w:p>
    <w:p w:rsidR="00A45EB1" w:rsidRPr="00110C1C" w:rsidRDefault="00E9539B" w:rsidP="004F789C">
      <w:pPr>
        <w:autoSpaceDE w:val="0"/>
        <w:autoSpaceDN w:val="0"/>
        <w:adjustRightInd w:val="0"/>
        <w:spacing w:after="240"/>
        <w:jc w:val="center"/>
        <w:rPr>
          <w:i/>
          <w:color w:val="auto"/>
        </w:rPr>
      </w:pPr>
      <w:r w:rsidRPr="00E9539B">
        <w:rPr>
          <w:i/>
          <w:color w:val="auto"/>
        </w:rPr>
        <w:t>[END OF QUESTIONS AND ANSWERS]</w:t>
      </w:r>
    </w:p>
    <w:sectPr w:rsidR="00A45EB1" w:rsidRPr="00110C1C" w:rsidSect="001C72D7">
      <w:headerReference w:type="default" r:id="rId9"/>
      <w:footerReference w:type="default" r:id="rId10"/>
      <w:footerReference w:type="first" r:id="rId11"/>
      <w:pgSz w:w="12240" w:h="15840" w:code="1"/>
      <w:pgMar w:top="162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68C" w:rsidRDefault="005C068C">
      <w:r>
        <w:separator/>
      </w:r>
    </w:p>
  </w:endnote>
  <w:endnote w:type="continuationSeparator" w:id="0">
    <w:p w:rsidR="005C068C" w:rsidRDefault="005C0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195" w:rsidRDefault="000F5195" w:rsidP="00A45EB1">
    <w:pPr>
      <w:pStyle w:val="Footer"/>
      <w:jc w:val="center"/>
    </w:pPr>
    <w:r>
      <w:t xml:space="preserve">Page </w:t>
    </w:r>
    <w:fldSimple w:instr=" PAGE ">
      <w:r w:rsidR="009B0B8D">
        <w:rPr>
          <w:noProof/>
        </w:rPr>
        <w:t>2</w:t>
      </w:r>
    </w:fldSimple>
    <w:r>
      <w:t xml:space="preserve"> of </w:t>
    </w:r>
    <w:fldSimple w:instr=" NUMPAGES ">
      <w:r w:rsidR="009B0B8D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195" w:rsidRDefault="000F5195" w:rsidP="00A45EB1">
    <w:pPr>
      <w:pStyle w:val="Footer"/>
      <w:jc w:val="center"/>
    </w:pPr>
    <w:r>
      <w:t xml:space="preserve">Page </w:t>
    </w:r>
    <w:fldSimple w:instr=" PAGE ">
      <w:r w:rsidR="009B0B8D">
        <w:rPr>
          <w:noProof/>
        </w:rPr>
        <w:t>1</w:t>
      </w:r>
    </w:fldSimple>
    <w:r>
      <w:t xml:space="preserve"> of </w:t>
    </w:r>
    <w:fldSimple w:instr=" NUMPAGES ">
      <w:r w:rsidR="009B0B8D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68C" w:rsidRDefault="005C068C">
      <w:r>
        <w:separator/>
      </w:r>
    </w:p>
  </w:footnote>
  <w:footnote w:type="continuationSeparator" w:id="0">
    <w:p w:rsidR="005C068C" w:rsidRDefault="005C06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195" w:rsidRPr="00C57A84" w:rsidRDefault="000F5195" w:rsidP="006905D3">
    <w:pPr>
      <w:autoSpaceDE w:val="0"/>
      <w:autoSpaceDN w:val="0"/>
      <w:adjustRightInd w:val="0"/>
      <w:jc w:val="center"/>
      <w:rPr>
        <w:b/>
        <w:bCs/>
        <w:color w:val="auto"/>
        <w:sz w:val="24"/>
        <w:szCs w:val="24"/>
      </w:rPr>
    </w:pPr>
    <w:r w:rsidRPr="00C57A84">
      <w:rPr>
        <w:b/>
        <w:bCs/>
        <w:color w:val="auto"/>
        <w:sz w:val="24"/>
        <w:szCs w:val="24"/>
      </w:rPr>
      <w:t>ADMINISTRATIVE OFFICE OF THE COURTS</w:t>
    </w:r>
  </w:p>
  <w:p w:rsidR="000F5195" w:rsidRPr="00C57A84" w:rsidRDefault="000F5195" w:rsidP="006905D3">
    <w:pPr>
      <w:autoSpaceDE w:val="0"/>
      <w:autoSpaceDN w:val="0"/>
      <w:adjustRightInd w:val="0"/>
      <w:jc w:val="center"/>
      <w:rPr>
        <w:b/>
        <w:bCs/>
        <w:color w:val="auto"/>
        <w:sz w:val="16"/>
        <w:szCs w:val="16"/>
      </w:rPr>
    </w:pPr>
  </w:p>
  <w:p w:rsidR="000F5195" w:rsidRDefault="000F5195" w:rsidP="006905D3">
    <w:pPr>
      <w:autoSpaceDE w:val="0"/>
      <w:autoSpaceDN w:val="0"/>
      <w:adjustRightInd w:val="0"/>
      <w:spacing w:line="276" w:lineRule="auto"/>
      <w:jc w:val="center"/>
      <w:rPr>
        <w:b/>
        <w:bCs/>
        <w:color w:val="auto"/>
        <w:sz w:val="28"/>
        <w:szCs w:val="28"/>
      </w:rPr>
    </w:pPr>
    <w:r>
      <w:rPr>
        <w:b/>
        <w:bCs/>
        <w:color w:val="auto"/>
        <w:sz w:val="28"/>
        <w:szCs w:val="28"/>
      </w:rPr>
      <w:t xml:space="preserve">RFP </w:t>
    </w:r>
    <w:r w:rsidRPr="00110C1C">
      <w:rPr>
        <w:b/>
        <w:bCs/>
        <w:color w:val="auto"/>
        <w:sz w:val="28"/>
        <w:szCs w:val="28"/>
      </w:rPr>
      <w:t>QUESTIONS AND ANSWERS</w:t>
    </w:r>
  </w:p>
  <w:p w:rsidR="000F5195" w:rsidRPr="00C57A84" w:rsidRDefault="000F5195" w:rsidP="006905D3">
    <w:pPr>
      <w:autoSpaceDE w:val="0"/>
      <w:autoSpaceDN w:val="0"/>
      <w:adjustRightInd w:val="0"/>
      <w:jc w:val="center"/>
      <w:rPr>
        <w:b/>
        <w:bCs/>
        <w:color w:val="auto"/>
        <w:sz w:val="32"/>
        <w:szCs w:val="32"/>
      </w:rPr>
    </w:pPr>
    <w:r>
      <w:rPr>
        <w:b/>
        <w:bCs/>
        <w:color w:val="auto"/>
        <w:sz w:val="32"/>
        <w:szCs w:val="32"/>
      </w:rPr>
      <w:t>Amador County Dependency Representation</w:t>
    </w:r>
  </w:p>
  <w:p w:rsidR="000F5195" w:rsidRPr="00C57A84" w:rsidRDefault="000F5195" w:rsidP="006905D3">
    <w:pPr>
      <w:autoSpaceDE w:val="0"/>
      <w:autoSpaceDN w:val="0"/>
      <w:adjustRightInd w:val="0"/>
      <w:jc w:val="center"/>
      <w:rPr>
        <w:b/>
        <w:bCs/>
        <w:color w:val="auto"/>
        <w:sz w:val="16"/>
        <w:szCs w:val="16"/>
      </w:rPr>
    </w:pPr>
  </w:p>
  <w:p w:rsidR="000F5195" w:rsidRPr="00110C1C" w:rsidRDefault="000F5195" w:rsidP="006905D3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110C1C">
      <w:rPr>
        <w:b/>
        <w:bCs/>
        <w:color w:val="auto"/>
        <w:sz w:val="28"/>
        <w:szCs w:val="28"/>
      </w:rPr>
      <w:t xml:space="preserve">RFP# </w:t>
    </w:r>
    <w:r>
      <w:rPr>
        <w:b/>
        <w:bCs/>
        <w:color w:val="auto"/>
        <w:sz w:val="28"/>
        <w:szCs w:val="28"/>
      </w:rPr>
      <w:t>CFCC-012414-ACDR-CF</w:t>
    </w:r>
  </w:p>
  <w:p w:rsidR="000F5195" w:rsidRDefault="000F5195" w:rsidP="00A45EB1">
    <w:pPr>
      <w:pBdr>
        <w:bottom w:val="thinThickSmallGap" w:sz="24" w:space="1" w:color="auto"/>
      </w:pBdr>
      <w:autoSpaceDE w:val="0"/>
      <w:autoSpaceDN w:val="0"/>
      <w:adjustRightInd w:val="0"/>
      <w:spacing w:after="240"/>
    </w:pPr>
  </w:p>
  <w:p w:rsidR="000F5195" w:rsidRDefault="000F5195" w:rsidP="00A45E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5EFB"/>
    <w:multiLevelType w:val="hybridMultilevel"/>
    <w:tmpl w:val="077C964E"/>
    <w:lvl w:ilvl="0" w:tplc="5C56DB00">
      <w:start w:val="1"/>
      <w:numFmt w:val="lowerLetter"/>
      <w:pStyle w:val="ListParagraph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1F4464"/>
    <w:multiLevelType w:val="hybridMultilevel"/>
    <w:tmpl w:val="D0BE811E"/>
    <w:lvl w:ilvl="0" w:tplc="FB5EF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017B2F"/>
    <w:multiLevelType w:val="hybridMultilevel"/>
    <w:tmpl w:val="A0DA5800"/>
    <w:lvl w:ilvl="0" w:tplc="62FE09F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E52318"/>
    <w:multiLevelType w:val="hybridMultilevel"/>
    <w:tmpl w:val="FEF81766"/>
    <w:lvl w:ilvl="0" w:tplc="04090011">
      <w:start w:val="1"/>
      <w:numFmt w:val="decimal"/>
      <w:lvlText w:val="%1)"/>
      <w:lvlJc w:val="left"/>
      <w:pPr>
        <w:ind w:left="2772" w:hanging="360"/>
      </w:pPr>
    </w:lvl>
    <w:lvl w:ilvl="1" w:tplc="04090019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4">
    <w:nsid w:val="4DC82631"/>
    <w:multiLevelType w:val="hybridMultilevel"/>
    <w:tmpl w:val="17A67F02"/>
    <w:lvl w:ilvl="0" w:tplc="04090011">
      <w:start w:val="1"/>
      <w:numFmt w:val="decimal"/>
      <w:lvlText w:val="%1)"/>
      <w:lvlJc w:val="left"/>
      <w:pPr>
        <w:ind w:left="2772" w:hanging="360"/>
      </w:pPr>
    </w:lvl>
    <w:lvl w:ilvl="1" w:tplc="04090019" w:tentative="1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5">
    <w:nsid w:val="58BB3435"/>
    <w:multiLevelType w:val="hybridMultilevel"/>
    <w:tmpl w:val="17A67F02"/>
    <w:lvl w:ilvl="0" w:tplc="04090011">
      <w:start w:val="1"/>
      <w:numFmt w:val="decimal"/>
      <w:lvlText w:val="%1)"/>
      <w:lvlJc w:val="left"/>
      <w:pPr>
        <w:ind w:left="2772" w:hanging="360"/>
      </w:pPr>
    </w:lvl>
    <w:lvl w:ilvl="1" w:tplc="04090019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abstractNum w:abstractNumId="6">
    <w:nsid w:val="65524BA3"/>
    <w:multiLevelType w:val="hybridMultilevel"/>
    <w:tmpl w:val="071E49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1">
      <w:start w:val="1"/>
      <w:numFmt w:val="decimal"/>
      <w:lvlText w:val="%3)"/>
      <w:lvlJc w:val="lef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66076A30"/>
    <w:multiLevelType w:val="hybridMultilevel"/>
    <w:tmpl w:val="17A67F02"/>
    <w:lvl w:ilvl="0" w:tplc="04090011">
      <w:start w:val="1"/>
      <w:numFmt w:val="decimal"/>
      <w:lvlText w:val="%1)"/>
      <w:lvlJc w:val="left"/>
      <w:pPr>
        <w:ind w:left="2772" w:hanging="360"/>
      </w:pPr>
    </w:lvl>
    <w:lvl w:ilvl="1" w:tplc="04090019" w:tentative="1">
      <w:start w:val="1"/>
      <w:numFmt w:val="lowerLetter"/>
      <w:lvlText w:val="%2."/>
      <w:lvlJc w:val="left"/>
      <w:pPr>
        <w:ind w:left="3492" w:hanging="360"/>
      </w:pPr>
    </w:lvl>
    <w:lvl w:ilvl="2" w:tplc="0409001B" w:tentative="1">
      <w:start w:val="1"/>
      <w:numFmt w:val="lowerRoman"/>
      <w:lvlText w:val="%3."/>
      <w:lvlJc w:val="right"/>
      <w:pPr>
        <w:ind w:left="4212" w:hanging="180"/>
      </w:pPr>
    </w:lvl>
    <w:lvl w:ilvl="3" w:tplc="0409000F" w:tentative="1">
      <w:start w:val="1"/>
      <w:numFmt w:val="decimal"/>
      <w:lvlText w:val="%4."/>
      <w:lvlJc w:val="left"/>
      <w:pPr>
        <w:ind w:left="4932" w:hanging="360"/>
      </w:pPr>
    </w:lvl>
    <w:lvl w:ilvl="4" w:tplc="04090019" w:tentative="1">
      <w:start w:val="1"/>
      <w:numFmt w:val="lowerLetter"/>
      <w:lvlText w:val="%5."/>
      <w:lvlJc w:val="left"/>
      <w:pPr>
        <w:ind w:left="5652" w:hanging="360"/>
      </w:pPr>
    </w:lvl>
    <w:lvl w:ilvl="5" w:tplc="0409001B" w:tentative="1">
      <w:start w:val="1"/>
      <w:numFmt w:val="lowerRoman"/>
      <w:lvlText w:val="%6."/>
      <w:lvlJc w:val="right"/>
      <w:pPr>
        <w:ind w:left="6372" w:hanging="180"/>
      </w:pPr>
    </w:lvl>
    <w:lvl w:ilvl="6" w:tplc="0409000F" w:tentative="1">
      <w:start w:val="1"/>
      <w:numFmt w:val="decimal"/>
      <w:lvlText w:val="%7."/>
      <w:lvlJc w:val="left"/>
      <w:pPr>
        <w:ind w:left="7092" w:hanging="360"/>
      </w:pPr>
    </w:lvl>
    <w:lvl w:ilvl="7" w:tplc="04090019" w:tentative="1">
      <w:start w:val="1"/>
      <w:numFmt w:val="lowerLetter"/>
      <w:lvlText w:val="%8."/>
      <w:lvlJc w:val="left"/>
      <w:pPr>
        <w:ind w:left="7812" w:hanging="360"/>
      </w:pPr>
    </w:lvl>
    <w:lvl w:ilvl="8" w:tplc="0409001B" w:tentative="1">
      <w:start w:val="1"/>
      <w:numFmt w:val="lowerRoman"/>
      <w:lvlText w:val="%9."/>
      <w:lvlJc w:val="right"/>
      <w:pPr>
        <w:ind w:left="8532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6"/>
  </w:num>
  <w:num w:numId="8">
    <w:abstractNumId w:val="7"/>
  </w:num>
  <w:num w:numId="9">
    <w:abstractNumId w:val="5"/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2"/>
    <w:lvlOverride w:ilvl="0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2"/>
  </w:num>
  <w:num w:numId="28">
    <w:abstractNumId w:val="2"/>
    <w:lvlOverride w:ilvl="0">
      <w:startOverride w:val="1"/>
    </w:lvlOverride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3"/>
  </w:num>
  <w:num w:numId="36">
    <w:abstractNumId w:val="0"/>
  </w:num>
  <w:num w:numId="37">
    <w:abstractNumId w:val="0"/>
  </w:num>
  <w:num w:numId="38">
    <w:abstractNumId w:val="0"/>
  </w:num>
  <w:numIdMacAtCleanup w:val="2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ssehl, Michael">
    <w15:presenceInfo w15:providerId="AD" w15:userId="S-1-5-21-823518204-1788223648-1801674531-5828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proofState w:spelling="clean" w:grammar="clean"/>
  <w:stylePaneFormatFilter w:val="3F01"/>
  <w:trackRevisions/>
  <w:documentProtection w:edit="trackedChanges" w:enforcement="1" w:cryptProviderType="rsaFull" w:cryptAlgorithmClass="hash" w:cryptAlgorithmType="typeAny" w:cryptAlgorithmSid="4" w:cryptSpinCount="100000" w:hash="EzFId5C6HftfHZxlpDeE7D97Vs4=" w:salt="WIEd5ExFLTrDhC9ktPVr+g==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FE288B"/>
    <w:rsid w:val="00004A1E"/>
    <w:rsid w:val="000076E6"/>
    <w:rsid w:val="00016886"/>
    <w:rsid w:val="00016CF5"/>
    <w:rsid w:val="00022B9F"/>
    <w:rsid w:val="00034159"/>
    <w:rsid w:val="00034D65"/>
    <w:rsid w:val="00060427"/>
    <w:rsid w:val="00061FC8"/>
    <w:rsid w:val="00064CDA"/>
    <w:rsid w:val="000708CF"/>
    <w:rsid w:val="00071E54"/>
    <w:rsid w:val="000744FB"/>
    <w:rsid w:val="000809AE"/>
    <w:rsid w:val="00085C89"/>
    <w:rsid w:val="00085DBE"/>
    <w:rsid w:val="00086750"/>
    <w:rsid w:val="00094B12"/>
    <w:rsid w:val="000A606A"/>
    <w:rsid w:val="000A6972"/>
    <w:rsid w:val="000A6D1A"/>
    <w:rsid w:val="000B006B"/>
    <w:rsid w:val="000B1398"/>
    <w:rsid w:val="000B1A0D"/>
    <w:rsid w:val="000B2F3C"/>
    <w:rsid w:val="000C06BD"/>
    <w:rsid w:val="000E2C2B"/>
    <w:rsid w:val="000E4416"/>
    <w:rsid w:val="000E6492"/>
    <w:rsid w:val="000E769D"/>
    <w:rsid w:val="000F081E"/>
    <w:rsid w:val="000F1E1D"/>
    <w:rsid w:val="000F44A4"/>
    <w:rsid w:val="000F5195"/>
    <w:rsid w:val="00102512"/>
    <w:rsid w:val="00105DFF"/>
    <w:rsid w:val="00105FDC"/>
    <w:rsid w:val="00110C1C"/>
    <w:rsid w:val="00115196"/>
    <w:rsid w:val="00117FD0"/>
    <w:rsid w:val="00120F96"/>
    <w:rsid w:val="0012601D"/>
    <w:rsid w:val="001271EB"/>
    <w:rsid w:val="00131CFB"/>
    <w:rsid w:val="0014439C"/>
    <w:rsid w:val="0014582A"/>
    <w:rsid w:val="001468AC"/>
    <w:rsid w:val="001502DD"/>
    <w:rsid w:val="00150935"/>
    <w:rsid w:val="00155890"/>
    <w:rsid w:val="001605D9"/>
    <w:rsid w:val="00160E17"/>
    <w:rsid w:val="00167E11"/>
    <w:rsid w:val="00171E74"/>
    <w:rsid w:val="00172C24"/>
    <w:rsid w:val="0018184D"/>
    <w:rsid w:val="00183D34"/>
    <w:rsid w:val="0019036E"/>
    <w:rsid w:val="001A5496"/>
    <w:rsid w:val="001A7BF4"/>
    <w:rsid w:val="001B0373"/>
    <w:rsid w:val="001B1AA1"/>
    <w:rsid w:val="001B368A"/>
    <w:rsid w:val="001B3B14"/>
    <w:rsid w:val="001B79D4"/>
    <w:rsid w:val="001C0B54"/>
    <w:rsid w:val="001C46C3"/>
    <w:rsid w:val="001C6ECA"/>
    <w:rsid w:val="001C72D7"/>
    <w:rsid w:val="001E0DFC"/>
    <w:rsid w:val="001F3AD9"/>
    <w:rsid w:val="001F441D"/>
    <w:rsid w:val="001F484F"/>
    <w:rsid w:val="001F5C4C"/>
    <w:rsid w:val="001F6AEB"/>
    <w:rsid w:val="0021064E"/>
    <w:rsid w:val="00214895"/>
    <w:rsid w:val="002149E8"/>
    <w:rsid w:val="002263CD"/>
    <w:rsid w:val="00226EA4"/>
    <w:rsid w:val="00227F47"/>
    <w:rsid w:val="00230614"/>
    <w:rsid w:val="00231EA2"/>
    <w:rsid w:val="00232987"/>
    <w:rsid w:val="00240027"/>
    <w:rsid w:val="00241B2D"/>
    <w:rsid w:val="0024595B"/>
    <w:rsid w:val="00250843"/>
    <w:rsid w:val="002602F5"/>
    <w:rsid w:val="00263426"/>
    <w:rsid w:val="00263C8D"/>
    <w:rsid w:val="002648AA"/>
    <w:rsid w:val="00266124"/>
    <w:rsid w:val="002667F6"/>
    <w:rsid w:val="002671B5"/>
    <w:rsid w:val="0027013D"/>
    <w:rsid w:val="002801EE"/>
    <w:rsid w:val="002827E1"/>
    <w:rsid w:val="00297B14"/>
    <w:rsid w:val="002A3361"/>
    <w:rsid w:val="002A55E6"/>
    <w:rsid w:val="002A6568"/>
    <w:rsid w:val="002A69DB"/>
    <w:rsid w:val="002A6C06"/>
    <w:rsid w:val="002A7C04"/>
    <w:rsid w:val="002C069B"/>
    <w:rsid w:val="002C0B5B"/>
    <w:rsid w:val="002C1118"/>
    <w:rsid w:val="002C294F"/>
    <w:rsid w:val="002C4F09"/>
    <w:rsid w:val="002D1BDC"/>
    <w:rsid w:val="002D2587"/>
    <w:rsid w:val="002D3DA7"/>
    <w:rsid w:val="002E0E21"/>
    <w:rsid w:val="002E2A78"/>
    <w:rsid w:val="002E321D"/>
    <w:rsid w:val="002E4973"/>
    <w:rsid w:val="002E6B29"/>
    <w:rsid w:val="002F1E7B"/>
    <w:rsid w:val="002F5EFC"/>
    <w:rsid w:val="0030067A"/>
    <w:rsid w:val="0030177C"/>
    <w:rsid w:val="00313509"/>
    <w:rsid w:val="0031374B"/>
    <w:rsid w:val="003165B2"/>
    <w:rsid w:val="003169EB"/>
    <w:rsid w:val="00321BC8"/>
    <w:rsid w:val="00322457"/>
    <w:rsid w:val="00322749"/>
    <w:rsid w:val="003245A0"/>
    <w:rsid w:val="00324E50"/>
    <w:rsid w:val="00327A61"/>
    <w:rsid w:val="003346DD"/>
    <w:rsid w:val="003353C6"/>
    <w:rsid w:val="00342613"/>
    <w:rsid w:val="003432B0"/>
    <w:rsid w:val="00344121"/>
    <w:rsid w:val="0035097C"/>
    <w:rsid w:val="00350D40"/>
    <w:rsid w:val="00353A1A"/>
    <w:rsid w:val="003677BB"/>
    <w:rsid w:val="003678D4"/>
    <w:rsid w:val="003751BD"/>
    <w:rsid w:val="00376C2A"/>
    <w:rsid w:val="0038146E"/>
    <w:rsid w:val="00381547"/>
    <w:rsid w:val="003865D3"/>
    <w:rsid w:val="003879B6"/>
    <w:rsid w:val="0039062F"/>
    <w:rsid w:val="00391931"/>
    <w:rsid w:val="003945DB"/>
    <w:rsid w:val="00395DBD"/>
    <w:rsid w:val="003A1A70"/>
    <w:rsid w:val="003B04E4"/>
    <w:rsid w:val="003B1B9F"/>
    <w:rsid w:val="003B2D2C"/>
    <w:rsid w:val="003B3192"/>
    <w:rsid w:val="003B590E"/>
    <w:rsid w:val="003B5FEE"/>
    <w:rsid w:val="003B7A81"/>
    <w:rsid w:val="003C19AB"/>
    <w:rsid w:val="003C4EFF"/>
    <w:rsid w:val="003D1A32"/>
    <w:rsid w:val="003D40E5"/>
    <w:rsid w:val="003D4949"/>
    <w:rsid w:val="003E1335"/>
    <w:rsid w:val="003E313F"/>
    <w:rsid w:val="003E7B56"/>
    <w:rsid w:val="003F4FD9"/>
    <w:rsid w:val="003F5221"/>
    <w:rsid w:val="003F7FC2"/>
    <w:rsid w:val="004007FC"/>
    <w:rsid w:val="00402156"/>
    <w:rsid w:val="004023B7"/>
    <w:rsid w:val="004033B4"/>
    <w:rsid w:val="004117C3"/>
    <w:rsid w:val="00416801"/>
    <w:rsid w:val="00416E7C"/>
    <w:rsid w:val="004249AB"/>
    <w:rsid w:val="004259C7"/>
    <w:rsid w:val="0043079E"/>
    <w:rsid w:val="00433092"/>
    <w:rsid w:val="0043407B"/>
    <w:rsid w:val="00437BF6"/>
    <w:rsid w:val="00442090"/>
    <w:rsid w:val="004424BF"/>
    <w:rsid w:val="00442D58"/>
    <w:rsid w:val="004456C9"/>
    <w:rsid w:val="00445729"/>
    <w:rsid w:val="00447024"/>
    <w:rsid w:val="004511EB"/>
    <w:rsid w:val="00457349"/>
    <w:rsid w:val="00466D79"/>
    <w:rsid w:val="004757A5"/>
    <w:rsid w:val="00481F70"/>
    <w:rsid w:val="00484CCB"/>
    <w:rsid w:val="00485650"/>
    <w:rsid w:val="00494706"/>
    <w:rsid w:val="00494900"/>
    <w:rsid w:val="004A0AB2"/>
    <w:rsid w:val="004A24C0"/>
    <w:rsid w:val="004A5C55"/>
    <w:rsid w:val="004A603A"/>
    <w:rsid w:val="004B05A6"/>
    <w:rsid w:val="004B6893"/>
    <w:rsid w:val="004B68BF"/>
    <w:rsid w:val="004B752E"/>
    <w:rsid w:val="004C3364"/>
    <w:rsid w:val="004C4F31"/>
    <w:rsid w:val="004C5393"/>
    <w:rsid w:val="004D33B9"/>
    <w:rsid w:val="004D56FD"/>
    <w:rsid w:val="004E47B5"/>
    <w:rsid w:val="004F33F6"/>
    <w:rsid w:val="004F5620"/>
    <w:rsid w:val="004F789C"/>
    <w:rsid w:val="005002B5"/>
    <w:rsid w:val="005005A9"/>
    <w:rsid w:val="00506289"/>
    <w:rsid w:val="00506B67"/>
    <w:rsid w:val="005078F2"/>
    <w:rsid w:val="00511647"/>
    <w:rsid w:val="00513F2E"/>
    <w:rsid w:val="005236E6"/>
    <w:rsid w:val="00525A77"/>
    <w:rsid w:val="0053510D"/>
    <w:rsid w:val="00536A11"/>
    <w:rsid w:val="005446D4"/>
    <w:rsid w:val="0054673C"/>
    <w:rsid w:val="00550049"/>
    <w:rsid w:val="00552199"/>
    <w:rsid w:val="00553F89"/>
    <w:rsid w:val="00556FE0"/>
    <w:rsid w:val="005573EA"/>
    <w:rsid w:val="00566693"/>
    <w:rsid w:val="005730FF"/>
    <w:rsid w:val="005756C5"/>
    <w:rsid w:val="00594CD6"/>
    <w:rsid w:val="00597808"/>
    <w:rsid w:val="00597AFC"/>
    <w:rsid w:val="005A2D3A"/>
    <w:rsid w:val="005A68C0"/>
    <w:rsid w:val="005B14FF"/>
    <w:rsid w:val="005B3E4F"/>
    <w:rsid w:val="005C068C"/>
    <w:rsid w:val="005C0866"/>
    <w:rsid w:val="005C5AF7"/>
    <w:rsid w:val="005C6A3D"/>
    <w:rsid w:val="005C7BD6"/>
    <w:rsid w:val="005D3BF8"/>
    <w:rsid w:val="005D74A3"/>
    <w:rsid w:val="005E16C6"/>
    <w:rsid w:val="005E2D2D"/>
    <w:rsid w:val="005E715A"/>
    <w:rsid w:val="006008D8"/>
    <w:rsid w:val="006013A8"/>
    <w:rsid w:val="00610910"/>
    <w:rsid w:val="0061444D"/>
    <w:rsid w:val="0061466A"/>
    <w:rsid w:val="00614ED0"/>
    <w:rsid w:val="00614ED8"/>
    <w:rsid w:val="00622253"/>
    <w:rsid w:val="0062332E"/>
    <w:rsid w:val="00623A82"/>
    <w:rsid w:val="00623D70"/>
    <w:rsid w:val="0063177E"/>
    <w:rsid w:val="00636010"/>
    <w:rsid w:val="00641448"/>
    <w:rsid w:val="006438C5"/>
    <w:rsid w:val="00664699"/>
    <w:rsid w:val="006706D1"/>
    <w:rsid w:val="00672C9A"/>
    <w:rsid w:val="00676BF5"/>
    <w:rsid w:val="006771D9"/>
    <w:rsid w:val="00677DA1"/>
    <w:rsid w:val="00680F7F"/>
    <w:rsid w:val="00681903"/>
    <w:rsid w:val="00682629"/>
    <w:rsid w:val="00686E3D"/>
    <w:rsid w:val="00687F3E"/>
    <w:rsid w:val="006905D3"/>
    <w:rsid w:val="006978E2"/>
    <w:rsid w:val="006A3255"/>
    <w:rsid w:val="006A3D32"/>
    <w:rsid w:val="006B0DB7"/>
    <w:rsid w:val="006B211D"/>
    <w:rsid w:val="006B22CC"/>
    <w:rsid w:val="006C02BE"/>
    <w:rsid w:val="006C5AF2"/>
    <w:rsid w:val="006D0210"/>
    <w:rsid w:val="006E4816"/>
    <w:rsid w:val="006E4C12"/>
    <w:rsid w:val="006E6FE9"/>
    <w:rsid w:val="006F64A1"/>
    <w:rsid w:val="006F6E47"/>
    <w:rsid w:val="006F79BA"/>
    <w:rsid w:val="00700D37"/>
    <w:rsid w:val="007022D7"/>
    <w:rsid w:val="00703C70"/>
    <w:rsid w:val="007055EA"/>
    <w:rsid w:val="00714696"/>
    <w:rsid w:val="00720FF8"/>
    <w:rsid w:val="007242C6"/>
    <w:rsid w:val="0073014A"/>
    <w:rsid w:val="007326B4"/>
    <w:rsid w:val="0073297D"/>
    <w:rsid w:val="007356D0"/>
    <w:rsid w:val="00736279"/>
    <w:rsid w:val="007420CA"/>
    <w:rsid w:val="007456C2"/>
    <w:rsid w:val="00745C13"/>
    <w:rsid w:val="00745E64"/>
    <w:rsid w:val="0075410F"/>
    <w:rsid w:val="00756D6B"/>
    <w:rsid w:val="00757505"/>
    <w:rsid w:val="007630A0"/>
    <w:rsid w:val="00765C87"/>
    <w:rsid w:val="00766723"/>
    <w:rsid w:val="0077472D"/>
    <w:rsid w:val="00776831"/>
    <w:rsid w:val="0078033B"/>
    <w:rsid w:val="00783A4A"/>
    <w:rsid w:val="0078522F"/>
    <w:rsid w:val="007859CB"/>
    <w:rsid w:val="00785A9B"/>
    <w:rsid w:val="007871C0"/>
    <w:rsid w:val="00791408"/>
    <w:rsid w:val="00795AA5"/>
    <w:rsid w:val="007979EE"/>
    <w:rsid w:val="007A17F3"/>
    <w:rsid w:val="007A38B4"/>
    <w:rsid w:val="007A58D4"/>
    <w:rsid w:val="007A68F8"/>
    <w:rsid w:val="007A7FB2"/>
    <w:rsid w:val="007B1091"/>
    <w:rsid w:val="007B33DD"/>
    <w:rsid w:val="007C2EE8"/>
    <w:rsid w:val="007C7968"/>
    <w:rsid w:val="007D0AAA"/>
    <w:rsid w:val="007D1FD9"/>
    <w:rsid w:val="007E27CA"/>
    <w:rsid w:val="007E6185"/>
    <w:rsid w:val="007E79EE"/>
    <w:rsid w:val="007F0E6F"/>
    <w:rsid w:val="007F34A4"/>
    <w:rsid w:val="00800578"/>
    <w:rsid w:val="00802BBF"/>
    <w:rsid w:val="008035B9"/>
    <w:rsid w:val="00805DE7"/>
    <w:rsid w:val="008071F9"/>
    <w:rsid w:val="0081146E"/>
    <w:rsid w:val="00811E15"/>
    <w:rsid w:val="008151E2"/>
    <w:rsid w:val="008176AB"/>
    <w:rsid w:val="00835DDD"/>
    <w:rsid w:val="00835EA4"/>
    <w:rsid w:val="0084176A"/>
    <w:rsid w:val="00842F47"/>
    <w:rsid w:val="008430EA"/>
    <w:rsid w:val="00844968"/>
    <w:rsid w:val="00845A82"/>
    <w:rsid w:val="008516C5"/>
    <w:rsid w:val="00852A10"/>
    <w:rsid w:val="0085438D"/>
    <w:rsid w:val="00862880"/>
    <w:rsid w:val="008657E8"/>
    <w:rsid w:val="00866C3E"/>
    <w:rsid w:val="008676BC"/>
    <w:rsid w:val="00885203"/>
    <w:rsid w:val="00885BF7"/>
    <w:rsid w:val="00891BAC"/>
    <w:rsid w:val="008A0452"/>
    <w:rsid w:val="008A0D0D"/>
    <w:rsid w:val="008A0E82"/>
    <w:rsid w:val="008A283C"/>
    <w:rsid w:val="008A3047"/>
    <w:rsid w:val="008A52D2"/>
    <w:rsid w:val="008A79A9"/>
    <w:rsid w:val="008B7A7A"/>
    <w:rsid w:val="008C1955"/>
    <w:rsid w:val="008C3BD7"/>
    <w:rsid w:val="008C4034"/>
    <w:rsid w:val="008C5E74"/>
    <w:rsid w:val="008D53F9"/>
    <w:rsid w:val="008E067B"/>
    <w:rsid w:val="008E4EB7"/>
    <w:rsid w:val="008E5A91"/>
    <w:rsid w:val="008E6773"/>
    <w:rsid w:val="008F2C9C"/>
    <w:rsid w:val="0090210B"/>
    <w:rsid w:val="00904ADF"/>
    <w:rsid w:val="009052BC"/>
    <w:rsid w:val="00910719"/>
    <w:rsid w:val="00911D19"/>
    <w:rsid w:val="00917437"/>
    <w:rsid w:val="00917943"/>
    <w:rsid w:val="00921A37"/>
    <w:rsid w:val="00922DB4"/>
    <w:rsid w:val="009240EB"/>
    <w:rsid w:val="009377A0"/>
    <w:rsid w:val="0094021E"/>
    <w:rsid w:val="00940846"/>
    <w:rsid w:val="0094336D"/>
    <w:rsid w:val="00943A50"/>
    <w:rsid w:val="00952640"/>
    <w:rsid w:val="0095284F"/>
    <w:rsid w:val="009530D9"/>
    <w:rsid w:val="00953390"/>
    <w:rsid w:val="0095589C"/>
    <w:rsid w:val="00963629"/>
    <w:rsid w:val="00965A7F"/>
    <w:rsid w:val="00965DA7"/>
    <w:rsid w:val="00967774"/>
    <w:rsid w:val="00967EF9"/>
    <w:rsid w:val="00970715"/>
    <w:rsid w:val="00972CA6"/>
    <w:rsid w:val="00985C8F"/>
    <w:rsid w:val="0099120A"/>
    <w:rsid w:val="009922F5"/>
    <w:rsid w:val="0099357C"/>
    <w:rsid w:val="00995A0F"/>
    <w:rsid w:val="00995D09"/>
    <w:rsid w:val="009974AD"/>
    <w:rsid w:val="009A0135"/>
    <w:rsid w:val="009A7C11"/>
    <w:rsid w:val="009B0B8D"/>
    <w:rsid w:val="009B22F8"/>
    <w:rsid w:val="009B7A82"/>
    <w:rsid w:val="009C096E"/>
    <w:rsid w:val="009C0FDF"/>
    <w:rsid w:val="009C6A01"/>
    <w:rsid w:val="009C6A8F"/>
    <w:rsid w:val="009D4B90"/>
    <w:rsid w:val="009E0D26"/>
    <w:rsid w:val="009E2EAC"/>
    <w:rsid w:val="009E309F"/>
    <w:rsid w:val="009E7C40"/>
    <w:rsid w:val="009F322A"/>
    <w:rsid w:val="009F38BF"/>
    <w:rsid w:val="009F620B"/>
    <w:rsid w:val="009F76B4"/>
    <w:rsid w:val="00A001BF"/>
    <w:rsid w:val="00A00351"/>
    <w:rsid w:val="00A04EE1"/>
    <w:rsid w:val="00A05114"/>
    <w:rsid w:val="00A07F0F"/>
    <w:rsid w:val="00A1190A"/>
    <w:rsid w:val="00A16362"/>
    <w:rsid w:val="00A217D8"/>
    <w:rsid w:val="00A21ABA"/>
    <w:rsid w:val="00A346B6"/>
    <w:rsid w:val="00A3754F"/>
    <w:rsid w:val="00A45EB1"/>
    <w:rsid w:val="00A46C2A"/>
    <w:rsid w:val="00A513E7"/>
    <w:rsid w:val="00A53B64"/>
    <w:rsid w:val="00A55A36"/>
    <w:rsid w:val="00A6355C"/>
    <w:rsid w:val="00A74129"/>
    <w:rsid w:val="00A82838"/>
    <w:rsid w:val="00A83215"/>
    <w:rsid w:val="00A9147A"/>
    <w:rsid w:val="00A91D03"/>
    <w:rsid w:val="00A96BFF"/>
    <w:rsid w:val="00AA0A4C"/>
    <w:rsid w:val="00AA4CAA"/>
    <w:rsid w:val="00AA6E10"/>
    <w:rsid w:val="00AB28BA"/>
    <w:rsid w:val="00AB290D"/>
    <w:rsid w:val="00AB587A"/>
    <w:rsid w:val="00AC09CE"/>
    <w:rsid w:val="00AC1ED2"/>
    <w:rsid w:val="00AC2791"/>
    <w:rsid w:val="00AC76C8"/>
    <w:rsid w:val="00AC7AEC"/>
    <w:rsid w:val="00AD67EB"/>
    <w:rsid w:val="00AE10C9"/>
    <w:rsid w:val="00AE3ADA"/>
    <w:rsid w:val="00AE4F76"/>
    <w:rsid w:val="00AE5276"/>
    <w:rsid w:val="00AE683D"/>
    <w:rsid w:val="00AE6B7B"/>
    <w:rsid w:val="00AF09C9"/>
    <w:rsid w:val="00AF154A"/>
    <w:rsid w:val="00AF4AC4"/>
    <w:rsid w:val="00AF4F4F"/>
    <w:rsid w:val="00B06B7A"/>
    <w:rsid w:val="00B07CFE"/>
    <w:rsid w:val="00B07EFD"/>
    <w:rsid w:val="00B10BB6"/>
    <w:rsid w:val="00B22EAB"/>
    <w:rsid w:val="00B23383"/>
    <w:rsid w:val="00B251E3"/>
    <w:rsid w:val="00B25DD8"/>
    <w:rsid w:val="00B3289B"/>
    <w:rsid w:val="00B3410E"/>
    <w:rsid w:val="00B40DE3"/>
    <w:rsid w:val="00B41D9E"/>
    <w:rsid w:val="00B437BF"/>
    <w:rsid w:val="00B67F11"/>
    <w:rsid w:val="00B722CB"/>
    <w:rsid w:val="00B72BE5"/>
    <w:rsid w:val="00B749E2"/>
    <w:rsid w:val="00B81917"/>
    <w:rsid w:val="00B84FDE"/>
    <w:rsid w:val="00B94AE1"/>
    <w:rsid w:val="00B95D9C"/>
    <w:rsid w:val="00B96C34"/>
    <w:rsid w:val="00BA01D9"/>
    <w:rsid w:val="00BC09B2"/>
    <w:rsid w:val="00BC2B14"/>
    <w:rsid w:val="00BD0A1E"/>
    <w:rsid w:val="00BD14E4"/>
    <w:rsid w:val="00BE3A09"/>
    <w:rsid w:val="00BF00B8"/>
    <w:rsid w:val="00BF2575"/>
    <w:rsid w:val="00BF5057"/>
    <w:rsid w:val="00BF7815"/>
    <w:rsid w:val="00BF7882"/>
    <w:rsid w:val="00BF7988"/>
    <w:rsid w:val="00C0029E"/>
    <w:rsid w:val="00C05A3D"/>
    <w:rsid w:val="00C07721"/>
    <w:rsid w:val="00C111CF"/>
    <w:rsid w:val="00C129FD"/>
    <w:rsid w:val="00C14F65"/>
    <w:rsid w:val="00C17CDF"/>
    <w:rsid w:val="00C20A44"/>
    <w:rsid w:val="00C20BF5"/>
    <w:rsid w:val="00C22B59"/>
    <w:rsid w:val="00C2391C"/>
    <w:rsid w:val="00C30B1B"/>
    <w:rsid w:val="00C41B2F"/>
    <w:rsid w:val="00C42377"/>
    <w:rsid w:val="00C55D55"/>
    <w:rsid w:val="00C56111"/>
    <w:rsid w:val="00C56C36"/>
    <w:rsid w:val="00C57A84"/>
    <w:rsid w:val="00C61B9D"/>
    <w:rsid w:val="00C62A85"/>
    <w:rsid w:val="00C66A14"/>
    <w:rsid w:val="00C66D68"/>
    <w:rsid w:val="00C71771"/>
    <w:rsid w:val="00C721BE"/>
    <w:rsid w:val="00C72203"/>
    <w:rsid w:val="00C72370"/>
    <w:rsid w:val="00C72884"/>
    <w:rsid w:val="00C731F4"/>
    <w:rsid w:val="00C732B5"/>
    <w:rsid w:val="00C841A0"/>
    <w:rsid w:val="00C842B1"/>
    <w:rsid w:val="00C85F2C"/>
    <w:rsid w:val="00C86F9E"/>
    <w:rsid w:val="00C90DD4"/>
    <w:rsid w:val="00C94790"/>
    <w:rsid w:val="00C97080"/>
    <w:rsid w:val="00C97B5A"/>
    <w:rsid w:val="00CA07A1"/>
    <w:rsid w:val="00CB406E"/>
    <w:rsid w:val="00CB50A8"/>
    <w:rsid w:val="00CC079D"/>
    <w:rsid w:val="00CC28AB"/>
    <w:rsid w:val="00CC32BB"/>
    <w:rsid w:val="00CC3F5F"/>
    <w:rsid w:val="00CC43CA"/>
    <w:rsid w:val="00CC5C83"/>
    <w:rsid w:val="00CD0669"/>
    <w:rsid w:val="00CD3EA3"/>
    <w:rsid w:val="00CD5591"/>
    <w:rsid w:val="00CE0013"/>
    <w:rsid w:val="00CE135E"/>
    <w:rsid w:val="00CE377C"/>
    <w:rsid w:val="00CE3B30"/>
    <w:rsid w:val="00CF7404"/>
    <w:rsid w:val="00D013D8"/>
    <w:rsid w:val="00D01F0A"/>
    <w:rsid w:val="00D159CE"/>
    <w:rsid w:val="00D22A0C"/>
    <w:rsid w:val="00D303F1"/>
    <w:rsid w:val="00D32126"/>
    <w:rsid w:val="00D361BD"/>
    <w:rsid w:val="00D362AD"/>
    <w:rsid w:val="00D37721"/>
    <w:rsid w:val="00D45AAF"/>
    <w:rsid w:val="00D5181D"/>
    <w:rsid w:val="00D60CFF"/>
    <w:rsid w:val="00D62A10"/>
    <w:rsid w:val="00D66831"/>
    <w:rsid w:val="00D8389C"/>
    <w:rsid w:val="00D85FBA"/>
    <w:rsid w:val="00D93042"/>
    <w:rsid w:val="00D93A3C"/>
    <w:rsid w:val="00D953F2"/>
    <w:rsid w:val="00DA0E0F"/>
    <w:rsid w:val="00DA7926"/>
    <w:rsid w:val="00DB1C06"/>
    <w:rsid w:val="00DB3236"/>
    <w:rsid w:val="00DB3F84"/>
    <w:rsid w:val="00DC2719"/>
    <w:rsid w:val="00DD1388"/>
    <w:rsid w:val="00DD1A10"/>
    <w:rsid w:val="00DD2600"/>
    <w:rsid w:val="00DD5EAD"/>
    <w:rsid w:val="00DD7444"/>
    <w:rsid w:val="00DF06CD"/>
    <w:rsid w:val="00DF1728"/>
    <w:rsid w:val="00E02FE3"/>
    <w:rsid w:val="00E036C7"/>
    <w:rsid w:val="00E07604"/>
    <w:rsid w:val="00E07659"/>
    <w:rsid w:val="00E11CB9"/>
    <w:rsid w:val="00E13674"/>
    <w:rsid w:val="00E173FE"/>
    <w:rsid w:val="00E23B25"/>
    <w:rsid w:val="00E254CA"/>
    <w:rsid w:val="00E26DC1"/>
    <w:rsid w:val="00E32047"/>
    <w:rsid w:val="00E32489"/>
    <w:rsid w:val="00E33CD4"/>
    <w:rsid w:val="00E35428"/>
    <w:rsid w:val="00E36201"/>
    <w:rsid w:val="00E4010B"/>
    <w:rsid w:val="00E40B80"/>
    <w:rsid w:val="00E42080"/>
    <w:rsid w:val="00E45969"/>
    <w:rsid w:val="00E479E0"/>
    <w:rsid w:val="00E57B55"/>
    <w:rsid w:val="00E57E5D"/>
    <w:rsid w:val="00E609DE"/>
    <w:rsid w:val="00E618CB"/>
    <w:rsid w:val="00E6360E"/>
    <w:rsid w:val="00E77AD0"/>
    <w:rsid w:val="00E824BB"/>
    <w:rsid w:val="00E90343"/>
    <w:rsid w:val="00E93214"/>
    <w:rsid w:val="00E9539B"/>
    <w:rsid w:val="00EA184C"/>
    <w:rsid w:val="00EA3BCD"/>
    <w:rsid w:val="00EA56FC"/>
    <w:rsid w:val="00EC22A0"/>
    <w:rsid w:val="00EC7FE4"/>
    <w:rsid w:val="00ED059A"/>
    <w:rsid w:val="00ED64B4"/>
    <w:rsid w:val="00ED7252"/>
    <w:rsid w:val="00EE0FC6"/>
    <w:rsid w:val="00EE1800"/>
    <w:rsid w:val="00EE23EC"/>
    <w:rsid w:val="00EE2944"/>
    <w:rsid w:val="00EE40AD"/>
    <w:rsid w:val="00EE44C6"/>
    <w:rsid w:val="00EE6770"/>
    <w:rsid w:val="00EE75BE"/>
    <w:rsid w:val="00EF04E7"/>
    <w:rsid w:val="00F0023B"/>
    <w:rsid w:val="00F003DC"/>
    <w:rsid w:val="00F053F9"/>
    <w:rsid w:val="00F07777"/>
    <w:rsid w:val="00F1331E"/>
    <w:rsid w:val="00F21295"/>
    <w:rsid w:val="00F229FE"/>
    <w:rsid w:val="00F234EC"/>
    <w:rsid w:val="00F2617E"/>
    <w:rsid w:val="00F30975"/>
    <w:rsid w:val="00F30B36"/>
    <w:rsid w:val="00F32312"/>
    <w:rsid w:val="00F331C6"/>
    <w:rsid w:val="00F33B87"/>
    <w:rsid w:val="00F37B47"/>
    <w:rsid w:val="00F42B0C"/>
    <w:rsid w:val="00F4567A"/>
    <w:rsid w:val="00F50967"/>
    <w:rsid w:val="00F562E5"/>
    <w:rsid w:val="00F64D1C"/>
    <w:rsid w:val="00F85955"/>
    <w:rsid w:val="00F9561F"/>
    <w:rsid w:val="00FA2A01"/>
    <w:rsid w:val="00FA5BAC"/>
    <w:rsid w:val="00FA69C0"/>
    <w:rsid w:val="00FB02E6"/>
    <w:rsid w:val="00FB3A84"/>
    <w:rsid w:val="00FB595E"/>
    <w:rsid w:val="00FB5D5B"/>
    <w:rsid w:val="00FB693E"/>
    <w:rsid w:val="00FC2504"/>
    <w:rsid w:val="00FC2583"/>
    <w:rsid w:val="00FC493D"/>
    <w:rsid w:val="00FD0303"/>
    <w:rsid w:val="00FD3434"/>
    <w:rsid w:val="00FD35A1"/>
    <w:rsid w:val="00FD599C"/>
    <w:rsid w:val="00FE288B"/>
    <w:rsid w:val="00FF1ADE"/>
    <w:rsid w:val="00FF3D00"/>
    <w:rsid w:val="00FF3E16"/>
    <w:rsid w:val="00FF439C"/>
    <w:rsid w:val="00FF4A5A"/>
    <w:rsid w:val="00FF5D7F"/>
    <w:rsid w:val="00FF6FF9"/>
    <w:rsid w:val="00FF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B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E288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rsid w:val="00A45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E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09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A50"/>
    <w:pPr>
      <w:numPr>
        <w:numId w:val="13"/>
      </w:numPr>
      <w:autoSpaceDE w:val="0"/>
      <w:autoSpaceDN w:val="0"/>
      <w:adjustRightInd w:val="0"/>
      <w:spacing w:after="240"/>
      <w:contextualSpacing/>
    </w:pPr>
    <w:rPr>
      <w:color w:val="auto"/>
    </w:rPr>
  </w:style>
  <w:style w:type="character" w:styleId="CommentReference">
    <w:name w:val="annotation reference"/>
    <w:basedOn w:val="DefaultParagraphFont"/>
    <w:rsid w:val="00985C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5C8F"/>
  </w:style>
  <w:style w:type="character" w:customStyle="1" w:styleId="CommentTextChar">
    <w:name w:val="Comment Text Char"/>
    <w:basedOn w:val="DefaultParagraphFont"/>
    <w:link w:val="CommentText"/>
    <w:rsid w:val="00985C8F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985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5C8F"/>
    <w:rPr>
      <w:b/>
      <w:bCs/>
      <w:color w:val="000000"/>
    </w:rPr>
  </w:style>
  <w:style w:type="paragraph" w:styleId="Revision">
    <w:name w:val="Revision"/>
    <w:hidden/>
    <w:uiPriority w:val="99"/>
    <w:semiHidden/>
    <w:rsid w:val="00985C8F"/>
    <w:rPr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8676BC"/>
    <w:rPr>
      <w:rFonts w:ascii="Consolas" w:eastAsiaTheme="minorHAnsi" w:hAnsi="Consolas" w:cs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76BC"/>
    <w:rPr>
      <w:rFonts w:ascii="Consolas" w:eastAsiaTheme="minorHAnsi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rsid w:val="008676BC"/>
    <w:rPr>
      <w:color w:val="0000FF" w:themeColor="hyperlink"/>
      <w:u w:val="single"/>
    </w:rPr>
  </w:style>
  <w:style w:type="paragraph" w:customStyle="1" w:styleId="SCMSANSWER">
    <w:name w:val="+SCMS_ANSWER"/>
    <w:link w:val="SCMSANSWERChar"/>
    <w:rsid w:val="00466D79"/>
    <w:pPr>
      <w:widowControl w:val="0"/>
      <w:spacing w:before="120" w:after="120"/>
      <w:ind w:left="432" w:right="432"/>
    </w:pPr>
    <w:rPr>
      <w:rFonts w:ascii="Tahoma" w:hAnsi="Tahoma"/>
      <w:bCs/>
      <w:snapToGrid w:val="0"/>
      <w:color w:val="000000" w:themeColor="text1"/>
    </w:rPr>
  </w:style>
  <w:style w:type="character" w:customStyle="1" w:styleId="SCMSANSWERChar">
    <w:name w:val="+SCMS_ANSWER Char"/>
    <w:basedOn w:val="DefaultParagraphFont"/>
    <w:link w:val="SCMSANSWER"/>
    <w:rsid w:val="00466D79"/>
    <w:rPr>
      <w:rFonts w:ascii="Tahoma" w:hAnsi="Tahoma"/>
      <w:bCs/>
      <w:snapToGrid w:val="0"/>
      <w:color w:val="000000" w:themeColor="text1"/>
    </w:rPr>
  </w:style>
  <w:style w:type="table" w:styleId="TableGrid">
    <w:name w:val="Table Grid"/>
    <w:basedOn w:val="TableNormal"/>
    <w:rsid w:val="003B0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semiHidden/>
    <w:unhideWhenUsed/>
    <w:rsid w:val="00513F2E"/>
    <w:rPr>
      <w:color w:val="800080" w:themeColor="followedHyperlink"/>
      <w:u w:val="single"/>
    </w:rPr>
  </w:style>
  <w:style w:type="character" w:customStyle="1" w:styleId="s3">
    <w:name w:val="s3"/>
    <w:basedOn w:val="DefaultParagraphFont"/>
    <w:rsid w:val="002D2587"/>
  </w:style>
  <w:style w:type="paragraph" w:customStyle="1" w:styleId="s6">
    <w:name w:val="s6"/>
    <w:basedOn w:val="Normal"/>
    <w:rsid w:val="002D2587"/>
    <w:pPr>
      <w:spacing w:before="100" w:beforeAutospacing="1" w:after="100" w:afterAutospacing="1"/>
    </w:pPr>
    <w:rPr>
      <w:rFonts w:eastAsiaTheme="minorHAnsi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sr.berkeley.edu/CWSCMSreports/Pointintime/fostercare/childwel/grids/data/grid_sXr_jul2013_0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FD262-4251-4409-B661-4304BA77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are our questions regarding the RFP:</vt:lpstr>
    </vt:vector>
  </TitlesOfParts>
  <Company>Administrative Office of the Courts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are our questions regarding the RFP:</dc:title>
  <dc:creator>Administrative Office of the Courts</dc:creator>
  <cp:lastModifiedBy>Cynthia Feick</cp:lastModifiedBy>
  <cp:revision>4</cp:revision>
  <cp:lastPrinted>2014-03-03T23:52:00Z</cp:lastPrinted>
  <dcterms:created xsi:type="dcterms:W3CDTF">2014-03-04T01:10:00Z</dcterms:created>
  <dcterms:modified xsi:type="dcterms:W3CDTF">2014-03-04T16:09:00Z</dcterms:modified>
</cp:coreProperties>
</file>