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r w:rsidRPr="00E13A1E">
        <w:rPr>
          <w:rFonts w:eastAsia="Times New Roman"/>
          <w:b/>
          <w:sz w:val="32"/>
          <w:szCs w:val="32"/>
          <w:lang w:bidi="en-US"/>
        </w:rPr>
        <w:t>RFP Attachment A</w:t>
      </w: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p>
    <w:p w:rsidR="00DD1380" w:rsidRPr="00E13A1E" w:rsidRDefault="00DD1380" w:rsidP="00DD1380">
      <w:pPr>
        <w:spacing w:line="276" w:lineRule="auto"/>
        <w:jc w:val="center"/>
        <w:rPr>
          <w:rFonts w:eastAsia="Times New Roman"/>
          <w:b/>
          <w:sz w:val="32"/>
          <w:szCs w:val="32"/>
          <w:lang w:bidi="en-US"/>
        </w:rPr>
      </w:pPr>
      <w:r w:rsidRPr="00E13A1E">
        <w:rPr>
          <w:rFonts w:eastAsia="Times New Roman"/>
          <w:b/>
          <w:sz w:val="32"/>
          <w:szCs w:val="32"/>
          <w:lang w:bidi="en-US"/>
        </w:rPr>
        <w:t>Administrative Rules</w:t>
      </w:r>
    </w:p>
    <w:p w:rsidR="00DD1380" w:rsidRPr="00E13A1E" w:rsidRDefault="00DD1380" w:rsidP="00DD1380">
      <w:pPr>
        <w:spacing w:line="276" w:lineRule="auto"/>
        <w:jc w:val="center"/>
        <w:rPr>
          <w:rFonts w:eastAsia="Times New Roman"/>
          <w:b/>
          <w:sz w:val="32"/>
          <w:szCs w:val="32"/>
          <w:lang w:bidi="en-US"/>
        </w:rPr>
      </w:pPr>
      <w:r w:rsidRPr="00E13A1E">
        <w:rPr>
          <w:rFonts w:eastAsia="Times New Roman"/>
          <w:b/>
          <w:sz w:val="32"/>
          <w:szCs w:val="32"/>
          <w:lang w:bidi="en-US"/>
        </w:rPr>
        <w:t>Governing Requests for Proposals</w:t>
      </w:r>
    </w:p>
    <w:p w:rsidR="00DD1380" w:rsidRPr="00E13A1E" w:rsidRDefault="00DD1380" w:rsidP="00204BA7">
      <w:pPr>
        <w:widowControl w:val="0"/>
        <w:rPr>
          <w:b/>
        </w:rPr>
      </w:pPr>
    </w:p>
    <w:p w:rsidR="00DD1380" w:rsidRPr="00E13A1E" w:rsidRDefault="00DD1380" w:rsidP="00204BA7">
      <w:pPr>
        <w:widowControl w:val="0"/>
        <w:rPr>
          <w:b/>
        </w:rPr>
      </w:pPr>
    </w:p>
    <w:p w:rsidR="00DD1380" w:rsidRPr="00E13A1E" w:rsidRDefault="00DD1380" w:rsidP="00204BA7">
      <w:pPr>
        <w:widowControl w:val="0"/>
        <w:rPr>
          <w:b/>
        </w:rPr>
      </w:pPr>
    </w:p>
    <w:p w:rsidR="00DD1380" w:rsidRPr="00E13A1E" w:rsidRDefault="00DD1380" w:rsidP="00204BA7">
      <w:pPr>
        <w:widowControl w:val="0"/>
        <w:rPr>
          <w:b/>
        </w:rPr>
        <w:sectPr w:rsidR="00DD1380" w:rsidRPr="00E13A1E" w:rsidSect="007551E2">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864" w:left="864" w:header="720" w:footer="720" w:gutter="0"/>
          <w:pgNumType w:start="1"/>
          <w:cols w:space="720"/>
          <w:docGrid w:linePitch="360"/>
        </w:sectPr>
      </w:pPr>
    </w:p>
    <w:p w:rsidR="0008728D" w:rsidRPr="00E13A1E" w:rsidRDefault="0008728D" w:rsidP="00204BA7">
      <w:pPr>
        <w:pStyle w:val="Outlinearabic"/>
        <w:widowControl w:val="0"/>
        <w:numPr>
          <w:ilvl w:val="0"/>
          <w:numId w:val="26"/>
        </w:numPr>
        <w:ind w:hanging="720"/>
        <w:rPr>
          <w:i/>
        </w:rPr>
      </w:pPr>
      <w:r w:rsidRPr="00E13A1E">
        <w:rPr>
          <w:b/>
        </w:rPr>
        <w:lastRenderedPageBreak/>
        <w:t>GENERAL</w:t>
      </w:r>
    </w:p>
    <w:p w:rsidR="0008728D" w:rsidRPr="00E13A1E" w:rsidRDefault="0008728D" w:rsidP="00385E3A">
      <w:pPr>
        <w:keepNext/>
      </w:pPr>
    </w:p>
    <w:p w:rsidR="0008728D" w:rsidRPr="00E13A1E" w:rsidRDefault="0008728D" w:rsidP="00FC77EF">
      <w:pPr>
        <w:pStyle w:val="Outlinearabic"/>
        <w:numPr>
          <w:ilvl w:val="0"/>
          <w:numId w:val="20"/>
        </w:numPr>
        <w:ind w:left="1440" w:hanging="720"/>
      </w:pPr>
      <w:r w:rsidRPr="00E13A1E">
        <w:t>This solicitation document, the evaluation of proposals, and the award of any contract shall conform with current competitive bidding procedures as they relate to the procurement of goods and services.</w:t>
      </w:r>
    </w:p>
    <w:p w:rsidR="0008728D" w:rsidRPr="00E13A1E" w:rsidRDefault="0008728D" w:rsidP="00385E3A"/>
    <w:p w:rsidR="0008728D" w:rsidRPr="00E13A1E" w:rsidRDefault="0008728D" w:rsidP="00FC77EF">
      <w:pPr>
        <w:pStyle w:val="Outlinearabic"/>
        <w:numPr>
          <w:ilvl w:val="0"/>
          <w:numId w:val="20"/>
        </w:numPr>
        <w:ind w:left="1440" w:hanging="720"/>
      </w:pPr>
      <w:r w:rsidRPr="00E13A1E">
        <w:t>In addition to explaining the Administrative Office of the Courts’ requirements, the solicitation document includes instructions which prescribe the format and content of proposals.</w:t>
      </w:r>
    </w:p>
    <w:p w:rsidR="0008728D" w:rsidRPr="00E13A1E" w:rsidRDefault="0008728D" w:rsidP="00385E3A">
      <w:pPr>
        <w:pStyle w:val="Heading2"/>
        <w:spacing w:before="0" w:after="0"/>
        <w:ind w:left="720" w:hanging="720"/>
        <w:rPr>
          <w:rFonts w:ascii="Times New Roman" w:hAnsi="Times New Roman" w:cs="Times New Roman"/>
          <w:b w:val="0"/>
          <w:i w:val="0"/>
          <w:sz w:val="24"/>
          <w:szCs w:val="24"/>
        </w:rPr>
      </w:pPr>
    </w:p>
    <w:p w:rsidR="0008728D" w:rsidRPr="00E13A1E" w:rsidRDefault="0008728D" w:rsidP="00204BA7">
      <w:pPr>
        <w:pStyle w:val="Outlinearabic"/>
        <w:widowControl w:val="0"/>
        <w:numPr>
          <w:ilvl w:val="0"/>
          <w:numId w:val="26"/>
        </w:numPr>
        <w:ind w:hanging="720"/>
        <w:rPr>
          <w:b/>
          <w:u w:val="single"/>
        </w:rPr>
      </w:pPr>
      <w:r w:rsidRPr="00E13A1E">
        <w:rPr>
          <w:b/>
        </w:rPr>
        <w:t>COMMUNICATIONS WITH AOC REGARDING THE RFP</w:t>
      </w:r>
    </w:p>
    <w:p w:rsidR="0008728D" w:rsidRPr="00E13A1E" w:rsidRDefault="0008728D" w:rsidP="00385E3A">
      <w:pPr>
        <w:pStyle w:val="Header"/>
        <w:tabs>
          <w:tab w:val="clear" w:pos="4320"/>
          <w:tab w:val="clear" w:pos="8640"/>
          <w:tab w:val="left" w:pos="720"/>
          <w:tab w:val="left" w:pos="768"/>
          <w:tab w:val="right" w:pos="5099"/>
        </w:tabs>
      </w:pPr>
    </w:p>
    <w:p w:rsidR="0008728D" w:rsidRPr="00E13A1E" w:rsidRDefault="0008728D" w:rsidP="00FC77EF">
      <w:pPr>
        <w:pStyle w:val="Outlinearabic"/>
        <w:numPr>
          <w:ilvl w:val="0"/>
          <w:numId w:val="28"/>
        </w:numPr>
        <w:ind w:left="1440" w:hanging="720"/>
      </w:pPr>
      <w:r w:rsidRPr="00E13A1E">
        <w:t xml:space="preserve">Except as </w:t>
      </w:r>
      <w:r w:rsidR="00CA62A7" w:rsidRPr="00E13A1E">
        <w:t>specified</w:t>
      </w:r>
      <w:r w:rsidRPr="00E13A1E">
        <w:t xml:space="preserve"> elsewhere in this RFP, including directions pertaining to the submittal of Proposals, proposers shall use the </w:t>
      </w:r>
      <w:r w:rsidR="00CA62A7" w:rsidRPr="00E13A1E">
        <w:t>AOC’s solicitations mailbox (</w:t>
      </w:r>
      <w:r w:rsidRPr="00E13A1E">
        <w:t>“</w:t>
      </w:r>
      <w:r w:rsidRPr="00E13A1E">
        <w:rPr>
          <w:b/>
        </w:rPr>
        <w:t>Solicitations Mailbox</w:t>
      </w:r>
      <w:r w:rsidRPr="00E13A1E">
        <w:t>”</w:t>
      </w:r>
      <w:r w:rsidR="00CA62A7" w:rsidRPr="00E13A1E">
        <w:t>)</w:t>
      </w:r>
      <w:r w:rsidRPr="00E13A1E">
        <w:t xml:space="preserve"> identified </w:t>
      </w:r>
      <w:r w:rsidR="00814B89" w:rsidRPr="00E13A1E">
        <w:t>below</w:t>
      </w:r>
      <w:r w:rsidRPr="00E13A1E">
        <w:t>, for any communications with the AOC regarding the RFP and award.  Proposers must include the RFP Number in subject line of any communication.</w:t>
      </w:r>
    </w:p>
    <w:p w:rsidR="00814B89" w:rsidRPr="00E13A1E" w:rsidRDefault="00814B89" w:rsidP="00814B89">
      <w:pPr>
        <w:pStyle w:val="Outlinearabic"/>
        <w:ind w:left="1170" w:firstLine="0"/>
      </w:pPr>
    </w:p>
    <w:p w:rsidR="00814B89" w:rsidRPr="00E13A1E" w:rsidRDefault="00814B89" w:rsidP="00FC77EF">
      <w:pPr>
        <w:pStyle w:val="Outlinearabic"/>
        <w:numPr>
          <w:ilvl w:val="0"/>
          <w:numId w:val="28"/>
        </w:numPr>
        <w:ind w:left="1440" w:hanging="720"/>
      </w:pPr>
      <w:r w:rsidRPr="00E13A1E">
        <w:t>Prospective service providers shall not contact any AOC personnel or its consultants for meetings, conferences, or discussions that are specifically related to this RFP at any time prior to any Notice of Intent to Award a contract.  Unauthorized contact with AOC personnel or its consultants may be cause for rejection of the vendor’s proposal.</w:t>
      </w:r>
    </w:p>
    <w:p w:rsidR="00814B89" w:rsidRPr="00E13A1E" w:rsidRDefault="00814B89" w:rsidP="00385E3A">
      <w:pPr>
        <w:ind w:left="1620" w:hanging="450"/>
      </w:pPr>
    </w:p>
    <w:p w:rsidR="0008728D" w:rsidRPr="00E13A1E" w:rsidRDefault="0008728D" w:rsidP="00204BA7">
      <w:pPr>
        <w:pStyle w:val="Outlinearabic"/>
        <w:widowControl w:val="0"/>
        <w:numPr>
          <w:ilvl w:val="0"/>
          <w:numId w:val="26"/>
        </w:numPr>
        <w:ind w:hanging="720"/>
        <w:rPr>
          <w:b/>
          <w:u w:val="single"/>
        </w:rPr>
      </w:pPr>
      <w:r w:rsidRPr="00E13A1E">
        <w:rPr>
          <w:b/>
        </w:rPr>
        <w:t>QUESTIONS REGARDING THE RFP</w:t>
      </w:r>
    </w:p>
    <w:p w:rsidR="0008728D" w:rsidRPr="00E13A1E" w:rsidRDefault="0008728D" w:rsidP="00385E3A">
      <w:pPr>
        <w:pStyle w:val="Header"/>
        <w:tabs>
          <w:tab w:val="clear" w:pos="4320"/>
          <w:tab w:val="clear" w:pos="8640"/>
          <w:tab w:val="left" w:pos="720"/>
          <w:tab w:val="left" w:pos="768"/>
          <w:tab w:val="right" w:pos="5099"/>
        </w:tabs>
      </w:pPr>
    </w:p>
    <w:p w:rsidR="002E7457" w:rsidRPr="00E13A1E" w:rsidRDefault="002E7457" w:rsidP="00FC77EF">
      <w:pPr>
        <w:pStyle w:val="Outlinearabic"/>
        <w:numPr>
          <w:ilvl w:val="0"/>
          <w:numId w:val="21"/>
        </w:numPr>
        <w:ind w:left="1440" w:hanging="720"/>
      </w:pPr>
      <w:r w:rsidRPr="00E13A1E">
        <w:t xml:space="preserve">Proposers interested in responding to the solicitation may submit questions via email to the Solicitations Mailbox, identified </w:t>
      </w:r>
      <w:r w:rsidR="008A1A4E" w:rsidRPr="00E13A1E">
        <w:t>below</w:t>
      </w:r>
      <w:r w:rsidRPr="00E13A1E">
        <w:t xml:space="preserve">, on procedural matters related to the RFP or requests for clarification or modification of this solicitation no later than the due date and time, as set forth on the RFP cover memo.  </w:t>
      </w:r>
      <w:r w:rsidR="00607B5B" w:rsidRPr="00E13A1E">
        <w:rPr>
          <w:rFonts w:eastAsia="Times New Roman"/>
        </w:rPr>
        <w:t xml:space="preserve">If a vendor submitting a proposal believes that one or more of the solicitation document’s requirements is onerous or unfair, or that it unnecessarily precludes less costly or alternative solutions, the vendor may submit a written request that the solicitation document be changed.  </w:t>
      </w:r>
      <w:r w:rsidRPr="00E13A1E">
        <w:t>If the proposer is requesting a change, the request must set forth the recommended change and the proposer’s reasons for proposing the change.  Questions or requests submitted after the due date and time will not be answered.</w:t>
      </w:r>
    </w:p>
    <w:p w:rsidR="002E7457" w:rsidRPr="00E13A1E" w:rsidRDefault="002E7457" w:rsidP="002E7457">
      <w:pPr>
        <w:pStyle w:val="Outlinearabic"/>
        <w:ind w:left="1170" w:firstLine="0"/>
      </w:pPr>
    </w:p>
    <w:p w:rsidR="008A1A4E" w:rsidRPr="00E13A1E" w:rsidRDefault="008A1A4E" w:rsidP="00FC77EF">
      <w:pPr>
        <w:pStyle w:val="Outlinearabic"/>
        <w:numPr>
          <w:ilvl w:val="0"/>
          <w:numId w:val="21"/>
        </w:numPr>
        <w:ind w:left="1440" w:hanging="720"/>
      </w:pPr>
      <w:r w:rsidRPr="00E13A1E">
        <w:rPr>
          <w:rFonts w:eastAsia="Times New Roman"/>
          <w:b/>
          <w:lang w:val="fr-FR"/>
        </w:rPr>
        <w:t xml:space="preserve">Solicitations </w:t>
      </w:r>
      <w:r w:rsidR="005722F7" w:rsidRPr="00E13A1E">
        <w:rPr>
          <w:rFonts w:eastAsia="Times New Roman"/>
          <w:b/>
          <w:lang w:val="fr-FR"/>
        </w:rPr>
        <w:t>M</w:t>
      </w:r>
      <w:r w:rsidRPr="00E13A1E">
        <w:rPr>
          <w:rFonts w:eastAsia="Times New Roman"/>
          <w:b/>
          <w:lang w:val="fr-FR"/>
        </w:rPr>
        <w:t>ailbox:</w:t>
      </w:r>
      <w:r w:rsidRPr="00E13A1E">
        <w:rPr>
          <w:rFonts w:eastAsia="Times New Roman"/>
          <w:i/>
          <w:lang w:val="fr-FR"/>
        </w:rPr>
        <w:tab/>
      </w:r>
      <w:hyperlink r:id="rId13" w:history="1">
        <w:r w:rsidRPr="00E13A1E">
          <w:rPr>
            <w:rFonts w:eastAsia="Times New Roman"/>
            <w:i/>
            <w:u w:val="single"/>
            <w:lang w:val="fr-FR"/>
          </w:rPr>
          <w:t>solicitations@jud.ca.gov</w:t>
        </w:r>
      </w:hyperlink>
    </w:p>
    <w:p w:rsidR="008A1A4E" w:rsidRPr="00E13A1E" w:rsidRDefault="008A1A4E" w:rsidP="008A1A4E">
      <w:pPr>
        <w:pStyle w:val="ListParagraph"/>
        <w:rPr>
          <w:i/>
        </w:rPr>
      </w:pPr>
    </w:p>
    <w:p w:rsidR="008A1A4E" w:rsidRPr="00E13A1E" w:rsidRDefault="008A1A4E" w:rsidP="00FC77EF">
      <w:pPr>
        <w:pStyle w:val="Outlinearabic"/>
        <w:numPr>
          <w:ilvl w:val="0"/>
          <w:numId w:val="21"/>
        </w:numPr>
        <w:ind w:left="1440" w:hanging="720"/>
      </w:pPr>
      <w:r w:rsidRPr="00E13A1E">
        <w:rPr>
          <w:rFonts w:eastAsia="Times New Roman"/>
        </w:rPr>
        <w:t xml:space="preserve">All questions and requests must be submitted by e-mail to the Solicitations </w:t>
      </w:r>
      <w:r w:rsidR="00CA62A7" w:rsidRPr="00E13A1E">
        <w:rPr>
          <w:rFonts w:eastAsia="Times New Roman"/>
        </w:rPr>
        <w:t>M</w:t>
      </w:r>
      <w:r w:rsidRPr="00E13A1E">
        <w:rPr>
          <w:rFonts w:eastAsia="Times New Roman"/>
        </w:rPr>
        <w:t>ailbox and received no later than the date and time specified on the RFP coversheet.  Questions or requests submitted after the due date may not be answered.</w:t>
      </w:r>
    </w:p>
    <w:p w:rsidR="008A1A4E" w:rsidRPr="00E13A1E" w:rsidRDefault="008A1A4E" w:rsidP="008A1A4E">
      <w:pPr>
        <w:pStyle w:val="ListParagraph"/>
      </w:pPr>
    </w:p>
    <w:p w:rsidR="008A1A4E" w:rsidRPr="00E13A1E" w:rsidRDefault="008A1A4E" w:rsidP="00FC77EF">
      <w:pPr>
        <w:pStyle w:val="Outlinearabic"/>
        <w:numPr>
          <w:ilvl w:val="0"/>
          <w:numId w:val="21"/>
        </w:numPr>
        <w:ind w:left="1440" w:hanging="720"/>
      </w:pPr>
      <w:r w:rsidRPr="00E13A1E">
        <w:rPr>
          <w:rFonts w:eastAsia="Times New Roman"/>
        </w:rPr>
        <w:t xml:space="preserve">All e-mail submissions sent to the Solicitations </w:t>
      </w:r>
      <w:r w:rsidR="00CA62A7" w:rsidRPr="00E13A1E">
        <w:rPr>
          <w:rFonts w:eastAsia="Times New Roman"/>
        </w:rPr>
        <w:t>M</w:t>
      </w:r>
      <w:r w:rsidRPr="00E13A1E">
        <w:rPr>
          <w:rFonts w:eastAsia="Times New Roman"/>
        </w:rPr>
        <w:t xml:space="preserve">ailbox </w:t>
      </w:r>
      <w:r w:rsidR="00814B89" w:rsidRPr="00E13A1E">
        <w:rPr>
          <w:rFonts w:eastAsia="Times New Roman"/>
        </w:rPr>
        <w:t>must</w:t>
      </w:r>
      <w:r w:rsidRPr="00E13A1E">
        <w:rPr>
          <w:rFonts w:eastAsia="Times New Roman"/>
        </w:rPr>
        <w:t xml:space="preserve"> contain the RFP number and other appropriate identifying information in the e-mail subject line.  In the body of the e-</w:t>
      </w:r>
      <w:r w:rsidRPr="00E13A1E">
        <w:rPr>
          <w:rFonts w:eastAsia="Times New Roman"/>
        </w:rPr>
        <w:lastRenderedPageBreak/>
        <w:t>mail message, always include paragraph numbers whenever references are made to content of this RFP.  Failure to include the RFP number as well as other sufficient identifying information in the e-mail subject line may result in the AOC’s taking no action on a proposer’s e-mail submission.</w:t>
      </w:r>
    </w:p>
    <w:p w:rsidR="008A1A4E" w:rsidRPr="00E13A1E" w:rsidRDefault="008A1A4E" w:rsidP="008A1A4E">
      <w:pPr>
        <w:pStyle w:val="ListParagraph"/>
      </w:pPr>
    </w:p>
    <w:p w:rsidR="002E7457" w:rsidRPr="00E13A1E" w:rsidRDefault="008A1A4E" w:rsidP="00FC77EF">
      <w:pPr>
        <w:pStyle w:val="Outlinearabic"/>
        <w:numPr>
          <w:ilvl w:val="0"/>
          <w:numId w:val="21"/>
        </w:numPr>
        <w:ind w:left="1440" w:hanging="720"/>
      </w:pPr>
      <w:r w:rsidRPr="00E13A1E">
        <w:rPr>
          <w:rFonts w:eastAsia="Times New Roman"/>
        </w:rPr>
        <w:t xml:space="preserve">If a </w:t>
      </w:r>
      <w:r w:rsidR="00607B5B" w:rsidRPr="00E13A1E">
        <w:rPr>
          <w:rFonts w:eastAsia="Times New Roman"/>
        </w:rPr>
        <w:t>vendor</w:t>
      </w:r>
      <w:r w:rsidRPr="00E13A1E">
        <w:rPr>
          <w:rFonts w:eastAsia="Times New Roman"/>
        </w:rPr>
        <w:t xml:space="preserve">’s question relates to a proprietary aspect of its proposal and the </w:t>
      </w:r>
      <w:r w:rsidR="00607B5B" w:rsidRPr="00E13A1E">
        <w:rPr>
          <w:rFonts w:eastAsia="Times New Roman"/>
        </w:rPr>
        <w:t>vendor</w:t>
      </w:r>
      <w:r w:rsidRPr="00E13A1E">
        <w:rPr>
          <w:rFonts w:eastAsia="Times New Roman"/>
        </w:rPr>
        <w:t xml:space="preserve"> believes that the question would expose proprietary information if disclosed to competitors, the proposer may submit the question in writing, conspicuously marking it as “CONFIDENTIAL.”  With the question, the proposer must </w:t>
      </w:r>
      <w:r w:rsidR="005722F7" w:rsidRPr="00E13A1E">
        <w:rPr>
          <w:rFonts w:eastAsia="Times New Roman"/>
        </w:rPr>
        <w:t xml:space="preserve">also </w:t>
      </w:r>
      <w:r w:rsidRPr="00E13A1E">
        <w:rPr>
          <w:rFonts w:eastAsia="Times New Roman"/>
        </w:rPr>
        <w:t xml:space="preserve">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w:t>
      </w:r>
      <w:r w:rsidR="005722F7" w:rsidRPr="00E13A1E">
        <w:rPr>
          <w:rFonts w:eastAsia="Times New Roman"/>
        </w:rPr>
        <w:t>as posed</w:t>
      </w:r>
      <w:r w:rsidRPr="00E13A1E">
        <w:rPr>
          <w:rFonts w:eastAsia="Times New Roman"/>
        </w:rPr>
        <w:t xml:space="preserve"> and the proposer will be so notified, at which time the proposer may withdraw the question or restate the question so as to make it non-proprietary or non-confidential.</w:t>
      </w:r>
    </w:p>
    <w:p w:rsidR="005722F7" w:rsidRPr="00E13A1E" w:rsidRDefault="005722F7" w:rsidP="005722F7">
      <w:pPr>
        <w:pStyle w:val="ListParagraph"/>
      </w:pPr>
    </w:p>
    <w:p w:rsidR="005722F7" w:rsidRPr="00E13A1E" w:rsidRDefault="005722F7" w:rsidP="00FC77EF">
      <w:pPr>
        <w:pStyle w:val="Outlinearabic"/>
        <w:numPr>
          <w:ilvl w:val="0"/>
          <w:numId w:val="21"/>
        </w:numPr>
        <w:ind w:left="1440" w:hanging="720"/>
      </w:pPr>
      <w:r w:rsidRPr="00E13A1E">
        <w:rPr>
          <w:rFonts w:eastAsia="Times New Roman"/>
        </w:rPr>
        <w:t xml:space="preserve">Without disclosing the source of the question or request, an AOC Contracting Officer will post a copy of both the questions and the AOC’s responses on the California Courts Website </w:t>
      </w:r>
      <w:r w:rsidR="00AC4B8F" w:rsidRPr="00E13A1E">
        <w:rPr>
          <w:rFonts w:eastAsia="Times New Roman"/>
        </w:rPr>
        <w:t>(“</w:t>
      </w:r>
      <w:r w:rsidR="00AC4B8F" w:rsidRPr="00E13A1E">
        <w:rPr>
          <w:rFonts w:eastAsia="Times New Roman"/>
          <w:b/>
        </w:rPr>
        <w:t>Court</w:t>
      </w:r>
      <w:r w:rsidR="00992119" w:rsidRPr="00E13A1E">
        <w:rPr>
          <w:rFonts w:eastAsia="Times New Roman"/>
          <w:b/>
        </w:rPr>
        <w:t>s</w:t>
      </w:r>
      <w:r w:rsidR="00AC4B8F" w:rsidRPr="00E13A1E">
        <w:rPr>
          <w:rFonts w:eastAsia="Times New Roman"/>
          <w:b/>
        </w:rPr>
        <w:t xml:space="preserve"> Website</w:t>
      </w:r>
      <w:r w:rsidR="00AC4B8F" w:rsidRPr="00E13A1E">
        <w:rPr>
          <w:rFonts w:eastAsia="Times New Roman"/>
        </w:rPr>
        <w:t xml:space="preserve">”) located at </w:t>
      </w:r>
      <w:r w:rsidR="00992119" w:rsidRPr="00E13A1E">
        <w:rPr>
          <w:u w:val="single"/>
        </w:rPr>
        <w:t>http://www.courts.ca.gov/rfps.htm</w:t>
      </w:r>
      <w:r w:rsidRPr="00E13A1E">
        <w:rPr>
          <w:rFonts w:eastAsia="Times New Roman"/>
        </w:rPr>
        <w:t>.  The AOC reserves the right to edit questions for clarity and relevance.  The AOC, at its discretion, may elect not to address some questions.</w:t>
      </w:r>
    </w:p>
    <w:p w:rsidR="005722F7" w:rsidRPr="00E13A1E" w:rsidRDefault="005722F7" w:rsidP="005722F7">
      <w:pPr>
        <w:pStyle w:val="ListParagraph"/>
      </w:pPr>
    </w:p>
    <w:p w:rsidR="0008728D" w:rsidRPr="00E13A1E" w:rsidRDefault="0008728D" w:rsidP="00204BA7">
      <w:pPr>
        <w:pStyle w:val="Outlinearabic"/>
        <w:widowControl w:val="0"/>
        <w:numPr>
          <w:ilvl w:val="0"/>
          <w:numId w:val="26"/>
        </w:numPr>
        <w:ind w:hanging="720"/>
        <w:rPr>
          <w:b/>
          <w:u w:val="single"/>
        </w:rPr>
      </w:pPr>
      <w:r w:rsidRPr="00E13A1E">
        <w:rPr>
          <w:b/>
        </w:rPr>
        <w:t>ERRORS IN THE RFP</w:t>
      </w:r>
    </w:p>
    <w:p w:rsidR="0008728D" w:rsidRPr="00E13A1E" w:rsidRDefault="0008728D" w:rsidP="005722F7">
      <w:pPr>
        <w:pStyle w:val="Header"/>
        <w:widowControl w:val="0"/>
        <w:tabs>
          <w:tab w:val="clear" w:pos="4320"/>
          <w:tab w:val="clear" w:pos="8640"/>
          <w:tab w:val="left" w:pos="806"/>
          <w:tab w:val="right" w:pos="4086"/>
        </w:tabs>
      </w:pPr>
    </w:p>
    <w:p w:rsidR="0008728D" w:rsidRPr="00E13A1E" w:rsidRDefault="0008728D" w:rsidP="005722F7">
      <w:pPr>
        <w:widowControl w:val="0"/>
        <w:ind w:left="1440" w:hanging="720"/>
      </w:pPr>
      <w:r w:rsidRPr="00E13A1E">
        <w:t>1.</w:t>
      </w:r>
      <w:r w:rsidRPr="00E13A1E">
        <w:tab/>
        <w:t xml:space="preserve">If, prior to the date fixed for submission of proposals, a proposer discovers any ambiguity, conflict, discrepancy, omission, or error in this solicitation document, the proposer shall immediately notify the AOC via email to the Solicitations Mailbox, identified </w:t>
      </w:r>
      <w:r w:rsidR="005722F7" w:rsidRPr="00E13A1E">
        <w:t>above</w:t>
      </w:r>
      <w:r w:rsidRPr="00E13A1E">
        <w:t xml:space="preserve"> and request modification or clarification of the RFP.  </w:t>
      </w:r>
      <w:r w:rsidR="002E7457" w:rsidRPr="00E13A1E">
        <w:rPr>
          <w:rFonts w:eastAsia="Times New Roman"/>
        </w:rPr>
        <w:t xml:space="preserve">If a proposer is requesting a modification, the request must state the recommended modification and the proposer’s reasons for proposing the </w:t>
      </w:r>
      <w:r w:rsidR="008A1A4E" w:rsidRPr="00E13A1E">
        <w:rPr>
          <w:rFonts w:eastAsia="Times New Roman"/>
        </w:rPr>
        <w:t>modification</w:t>
      </w:r>
      <w:r w:rsidR="002E7457" w:rsidRPr="00E13A1E">
        <w:rPr>
          <w:rFonts w:eastAsia="Times New Roman"/>
        </w:rPr>
        <w:t xml:space="preserve">.  </w:t>
      </w:r>
      <w:r w:rsidRPr="00E13A1E">
        <w:t>Without disclosing the source of the request, the AOC may modify the solicitation document prior to the date fixed for submission of proposals by releasing an addendum to the solicitation.</w:t>
      </w:r>
    </w:p>
    <w:p w:rsidR="0008728D" w:rsidRPr="00E13A1E" w:rsidRDefault="0008728D" w:rsidP="005722F7">
      <w:pPr>
        <w:pStyle w:val="Header"/>
        <w:widowControl w:val="0"/>
        <w:tabs>
          <w:tab w:val="clear" w:pos="4320"/>
          <w:tab w:val="clear" w:pos="8640"/>
        </w:tabs>
        <w:ind w:left="1440" w:hanging="720"/>
      </w:pPr>
    </w:p>
    <w:p w:rsidR="0008728D" w:rsidRPr="00E13A1E" w:rsidRDefault="0008728D" w:rsidP="005722F7">
      <w:pPr>
        <w:widowControl w:val="0"/>
        <w:ind w:left="1440" w:hanging="720"/>
      </w:pPr>
      <w:r w:rsidRPr="00E13A1E">
        <w:t>2.</w:t>
      </w:r>
      <w:r w:rsidRPr="00E13A1E">
        <w:tab/>
        <w:t>If a proposer fails to notify the AOC of an error in the RFP known to proposer, or an error that reasonably should have been known to proposer, prior to the date fixed for submission of proposals, proposer shall propose at its own risk.  Furthermore, if proposer is awarded the agreement, proposer shall not be entitled to additional compensation or time by reason of the error or its later correction.</w:t>
      </w:r>
    </w:p>
    <w:p w:rsidR="0008728D" w:rsidRPr="00E13A1E" w:rsidRDefault="0008728D" w:rsidP="005722F7">
      <w:pPr>
        <w:widowControl w:val="0"/>
        <w:ind w:left="1440" w:hanging="720"/>
        <w:rPr>
          <w:b/>
        </w:rPr>
      </w:pPr>
    </w:p>
    <w:p w:rsidR="0008728D" w:rsidRPr="00E13A1E" w:rsidRDefault="0008728D" w:rsidP="00A02A60">
      <w:pPr>
        <w:pStyle w:val="Outlinearabic"/>
        <w:keepNext/>
        <w:keepLines/>
        <w:numPr>
          <w:ilvl w:val="0"/>
          <w:numId w:val="26"/>
        </w:numPr>
        <w:ind w:hanging="720"/>
        <w:rPr>
          <w:b/>
        </w:rPr>
      </w:pPr>
      <w:r w:rsidRPr="00E13A1E">
        <w:rPr>
          <w:b/>
        </w:rPr>
        <w:lastRenderedPageBreak/>
        <w:t>ADDENDA</w:t>
      </w:r>
    </w:p>
    <w:p w:rsidR="0008728D" w:rsidRPr="00E13A1E" w:rsidRDefault="0008728D" w:rsidP="00A02A60">
      <w:pPr>
        <w:keepNext/>
        <w:keepLines/>
      </w:pPr>
    </w:p>
    <w:p w:rsidR="009514F8" w:rsidRPr="00E13A1E" w:rsidRDefault="0008728D" w:rsidP="00A02A60">
      <w:pPr>
        <w:keepNext/>
        <w:keepLines/>
        <w:ind w:left="1440" w:right="-180" w:hanging="720"/>
      </w:pPr>
      <w:r w:rsidRPr="00E13A1E">
        <w:t>1.</w:t>
      </w:r>
      <w:r w:rsidRPr="00E13A1E">
        <w:tab/>
      </w:r>
      <w:r w:rsidR="009514F8" w:rsidRPr="00E13A1E">
        <w:t>The AOC may modify the solicitation document prior to the due date and time for submission of proposals, as set forth in the RFP cover memo, by posting an addendum on the Court</w:t>
      </w:r>
      <w:r w:rsidR="00992119" w:rsidRPr="00E13A1E">
        <w:t>s</w:t>
      </w:r>
      <w:r w:rsidR="009514F8" w:rsidRPr="00E13A1E">
        <w:t xml:space="preserve"> </w:t>
      </w:r>
      <w:r w:rsidR="00AC4B8F" w:rsidRPr="00E13A1E">
        <w:t>Website</w:t>
      </w:r>
      <w:r w:rsidR="009514F8" w:rsidRPr="00E13A1E">
        <w:t>.  It is each prop</w:t>
      </w:r>
      <w:r w:rsidR="00D64799" w:rsidRPr="00E13A1E">
        <w:t>o</w:t>
      </w:r>
      <w:r w:rsidR="009514F8" w:rsidRPr="00E13A1E">
        <w:t>ser’s responsibility to inform itself of any addendum prior to its submission of a proposal</w:t>
      </w:r>
      <w:r w:rsidR="00621994" w:rsidRPr="00E13A1E">
        <w:t>.</w:t>
      </w:r>
    </w:p>
    <w:p w:rsidR="0008728D" w:rsidRPr="00E13A1E" w:rsidRDefault="0008728D" w:rsidP="005722F7">
      <w:pPr>
        <w:widowControl w:val="0"/>
        <w:ind w:left="1440" w:hanging="720"/>
      </w:pPr>
    </w:p>
    <w:p w:rsidR="0008728D" w:rsidRPr="00E13A1E" w:rsidRDefault="0008728D" w:rsidP="005722F7">
      <w:pPr>
        <w:widowControl w:val="0"/>
        <w:ind w:left="1440" w:hanging="720"/>
      </w:pPr>
      <w:r w:rsidRPr="00E13A1E">
        <w:t>2.</w:t>
      </w:r>
      <w:r w:rsidRPr="00E13A1E">
        <w:tab/>
        <w:t>If any proposer determines that an addendum unnecessarily restricts its ability to propose, the proposer shall immediately notify the AOC via email to the Solicitations Mailbox, identified on the cover memo of this RFP, no later than one day following</w:t>
      </w:r>
      <w:r w:rsidR="009514F8" w:rsidRPr="00E13A1E">
        <w:t xml:space="preserve"> issuance of the addendum.</w:t>
      </w:r>
    </w:p>
    <w:p w:rsidR="0008728D" w:rsidRPr="00E13A1E" w:rsidRDefault="0008728D" w:rsidP="005722F7">
      <w:pPr>
        <w:widowControl w:val="0"/>
        <w:ind w:left="1440" w:hanging="720"/>
      </w:pPr>
    </w:p>
    <w:p w:rsidR="0008728D" w:rsidRPr="00E13A1E" w:rsidRDefault="0008728D" w:rsidP="00204BA7">
      <w:pPr>
        <w:pStyle w:val="Outlinearabic"/>
        <w:widowControl w:val="0"/>
        <w:numPr>
          <w:ilvl w:val="0"/>
          <w:numId w:val="26"/>
        </w:numPr>
        <w:ind w:hanging="720"/>
        <w:rPr>
          <w:b/>
        </w:rPr>
      </w:pPr>
      <w:r w:rsidRPr="00E13A1E">
        <w:rPr>
          <w:b/>
        </w:rPr>
        <w:t>WITHDRAWAL AND RESUBMISSION/MODIFICATION OF PROPOSALS</w:t>
      </w:r>
    </w:p>
    <w:p w:rsidR="00CE296B" w:rsidRPr="00E13A1E" w:rsidRDefault="00CE296B" w:rsidP="00385E3A">
      <w:pPr>
        <w:keepNext/>
        <w:keepLines/>
        <w:widowControl w:val="0"/>
      </w:pPr>
    </w:p>
    <w:p w:rsidR="0008728D" w:rsidRPr="00E13A1E" w:rsidRDefault="0008728D" w:rsidP="00FC77EF">
      <w:pPr>
        <w:pStyle w:val="Outlinearabic"/>
        <w:keepNext/>
        <w:keepLines/>
        <w:widowControl w:val="0"/>
        <w:ind w:left="720" w:firstLine="0"/>
      </w:pPr>
      <w:r w:rsidRPr="00E13A1E">
        <w:t>A proposer may withdraw its proposal at any time prior to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8728D" w:rsidRPr="00E13A1E" w:rsidRDefault="0008728D" w:rsidP="00385E3A">
      <w:pPr>
        <w:keepNext/>
        <w:keepLines/>
        <w:widowControl w:val="0"/>
        <w:tabs>
          <w:tab w:val="left" w:pos="720"/>
          <w:tab w:val="right" w:pos="4297"/>
        </w:tabs>
      </w:pPr>
    </w:p>
    <w:p w:rsidR="0008728D" w:rsidRPr="00E13A1E" w:rsidRDefault="0008728D" w:rsidP="00204BA7">
      <w:pPr>
        <w:pStyle w:val="Outlinearabic"/>
        <w:widowControl w:val="0"/>
        <w:numPr>
          <w:ilvl w:val="0"/>
          <w:numId w:val="26"/>
        </w:numPr>
        <w:ind w:hanging="720"/>
        <w:rPr>
          <w:b/>
          <w:u w:val="single"/>
        </w:rPr>
      </w:pPr>
      <w:r w:rsidRPr="00E13A1E">
        <w:rPr>
          <w:b/>
        </w:rPr>
        <w:t>ERRORS IN THE PROPOSAL</w:t>
      </w:r>
    </w:p>
    <w:p w:rsidR="0008728D" w:rsidRPr="00E13A1E" w:rsidRDefault="0008728D" w:rsidP="00385E3A">
      <w:pPr>
        <w:pStyle w:val="Header"/>
        <w:widowControl w:val="0"/>
        <w:tabs>
          <w:tab w:val="clear" w:pos="4320"/>
          <w:tab w:val="clear" w:pos="8640"/>
          <w:tab w:val="left" w:pos="754"/>
          <w:tab w:val="right" w:pos="4297"/>
        </w:tabs>
      </w:pPr>
    </w:p>
    <w:p w:rsidR="0008728D" w:rsidRPr="00E13A1E" w:rsidRDefault="0008728D" w:rsidP="00FC77EF">
      <w:pPr>
        <w:pStyle w:val="BodyTextIndent"/>
        <w:widowControl w:val="0"/>
        <w:spacing w:after="0"/>
        <w:ind w:left="720"/>
      </w:pPr>
      <w:r w:rsidRPr="00E13A1E">
        <w:t>If errors are found in a proposal, the AOC may reject the proposal; however, AOC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814B89" w:rsidRPr="00E13A1E" w:rsidRDefault="00814B89" w:rsidP="00814B89">
      <w:pPr>
        <w:pStyle w:val="BodyTextIndent"/>
        <w:widowControl w:val="0"/>
        <w:spacing w:after="0"/>
        <w:ind w:left="720" w:hanging="720"/>
      </w:pPr>
    </w:p>
    <w:p w:rsidR="00392F1C" w:rsidRPr="00E13A1E" w:rsidRDefault="00392F1C" w:rsidP="00204BA7">
      <w:pPr>
        <w:pStyle w:val="Outlinearabic"/>
        <w:widowControl w:val="0"/>
        <w:numPr>
          <w:ilvl w:val="0"/>
          <w:numId w:val="26"/>
        </w:numPr>
        <w:ind w:hanging="720"/>
        <w:rPr>
          <w:b/>
        </w:rPr>
      </w:pPr>
      <w:r w:rsidRPr="00E13A1E">
        <w:rPr>
          <w:b/>
        </w:rPr>
        <w:t>CLARIFICATION OF PROPOSALS</w:t>
      </w:r>
    </w:p>
    <w:p w:rsidR="00392F1C" w:rsidRPr="00E13A1E" w:rsidRDefault="00392F1C" w:rsidP="00392F1C"/>
    <w:p w:rsidR="00392F1C" w:rsidRPr="00E13A1E" w:rsidRDefault="00392F1C" w:rsidP="00392F1C">
      <w:pPr>
        <w:pStyle w:val="ListParagraph"/>
        <w:numPr>
          <w:ilvl w:val="0"/>
          <w:numId w:val="19"/>
        </w:numPr>
        <w:tabs>
          <w:tab w:val="num" w:pos="1440"/>
        </w:tabs>
        <w:ind w:left="1440" w:hanging="720"/>
        <w:rPr>
          <w:bCs/>
        </w:rPr>
      </w:pPr>
      <w:r w:rsidRPr="00E13A1E">
        <w:rPr>
          <w:bCs/>
        </w:rPr>
        <w:t>It may be necessary for the AOC to interview prospective service providers to clarify aspects of their submittal.  If conducted, interviews may be conducted by phone or by in-person discussions or presentations, at the AOC’s discretion.  The AOC will notify prospective service providers regarding any interview arrangements.</w:t>
      </w:r>
    </w:p>
    <w:p w:rsidR="00392F1C" w:rsidRPr="00E13A1E" w:rsidRDefault="00392F1C" w:rsidP="00392F1C">
      <w:pPr>
        <w:rPr>
          <w:bCs/>
        </w:rPr>
      </w:pPr>
    </w:p>
    <w:p w:rsidR="00392F1C" w:rsidRPr="00E13A1E" w:rsidRDefault="00392F1C" w:rsidP="00392F1C">
      <w:pPr>
        <w:pStyle w:val="ListParagraph"/>
        <w:numPr>
          <w:ilvl w:val="0"/>
          <w:numId w:val="19"/>
        </w:numPr>
        <w:tabs>
          <w:tab w:val="num" w:pos="1440"/>
        </w:tabs>
        <w:ind w:left="1440" w:hanging="720"/>
        <w:rPr>
          <w:bCs/>
        </w:rPr>
      </w:pPr>
      <w:r w:rsidRPr="00E13A1E">
        <w:rPr>
          <w:bCs/>
        </w:rPr>
        <w:t>It may also be necessary for the AOC to request additional documentation or information in order to clarify aspects of a proposal or a vendor’s ability to perform the required services.  Should the AOC request such documentation or information, proposer shall provide the requested documentation or information no later than the date specified by such request.</w:t>
      </w:r>
    </w:p>
    <w:p w:rsidR="00392F1C" w:rsidRPr="00E13A1E" w:rsidRDefault="00392F1C" w:rsidP="00392F1C">
      <w:pPr>
        <w:rPr>
          <w:bCs/>
        </w:rPr>
      </w:pPr>
    </w:p>
    <w:p w:rsidR="00392F1C" w:rsidRPr="00E13A1E" w:rsidRDefault="00392F1C" w:rsidP="00392F1C">
      <w:pPr>
        <w:pStyle w:val="ListParagraph"/>
        <w:numPr>
          <w:ilvl w:val="0"/>
          <w:numId w:val="19"/>
        </w:numPr>
        <w:tabs>
          <w:tab w:val="num" w:pos="1440"/>
        </w:tabs>
        <w:ind w:left="1440" w:hanging="720"/>
        <w:rPr>
          <w:bCs/>
        </w:rPr>
      </w:pPr>
      <w:r w:rsidRPr="00E13A1E">
        <w:rPr>
          <w:bCs/>
        </w:rPr>
        <w:lastRenderedPageBreak/>
        <w:t>Failure of a proposer to participate in an interview, if requested, or provide requested documentation or information by the AOC’s specified date may result in the vendor’s proposal being disqualified for further evaluation.</w:t>
      </w:r>
    </w:p>
    <w:p w:rsidR="00A91FB5" w:rsidRPr="00E13A1E" w:rsidRDefault="00A91FB5" w:rsidP="00A91FB5">
      <w:pPr>
        <w:pStyle w:val="ListParagraph"/>
        <w:rPr>
          <w:bCs/>
        </w:rPr>
      </w:pPr>
    </w:p>
    <w:p w:rsidR="00A91FB5" w:rsidRPr="00E13A1E" w:rsidRDefault="00A91FB5" w:rsidP="00392F1C">
      <w:pPr>
        <w:pStyle w:val="ListParagraph"/>
        <w:numPr>
          <w:ilvl w:val="0"/>
          <w:numId w:val="19"/>
        </w:numPr>
        <w:tabs>
          <w:tab w:val="num" w:pos="1440"/>
        </w:tabs>
        <w:ind w:left="1440" w:hanging="720"/>
        <w:rPr>
          <w:bCs/>
        </w:rPr>
      </w:pPr>
      <w:r w:rsidRPr="00E13A1E">
        <w:rPr>
          <w:bCs/>
        </w:rPr>
        <w:t xml:space="preserve">The AOC’s process of clarifying proposals, whether conducted by interview or by requesting additional documentation or information, shall in no way be considered </w:t>
      </w:r>
      <w:r w:rsidR="00DF25E6" w:rsidRPr="00E13A1E">
        <w:rPr>
          <w:bCs/>
        </w:rPr>
        <w:t xml:space="preserve">as </w:t>
      </w:r>
      <w:r w:rsidRPr="00E13A1E">
        <w:rPr>
          <w:bCs/>
        </w:rPr>
        <w:t>an invitation or opportunity of the proposer to alter, modify or revise their submitted proposal.  Any submitted proposals so altered, modified or revised may result in the vendor’s proposal being disqualified for further evaluation.</w:t>
      </w:r>
    </w:p>
    <w:p w:rsidR="00392F1C" w:rsidRPr="00E13A1E" w:rsidRDefault="00392F1C" w:rsidP="00392F1C"/>
    <w:p w:rsidR="00927835" w:rsidRPr="00E13A1E" w:rsidRDefault="00927835" w:rsidP="00204BA7">
      <w:pPr>
        <w:pStyle w:val="Outlinearabic"/>
        <w:widowControl w:val="0"/>
        <w:numPr>
          <w:ilvl w:val="0"/>
          <w:numId w:val="26"/>
        </w:numPr>
        <w:ind w:hanging="720"/>
        <w:rPr>
          <w:b/>
        </w:rPr>
      </w:pPr>
      <w:r w:rsidRPr="00E13A1E">
        <w:rPr>
          <w:b/>
        </w:rPr>
        <w:t>EVALUATION PROCESS</w:t>
      </w:r>
    </w:p>
    <w:p w:rsidR="00927835" w:rsidRPr="00E13A1E" w:rsidRDefault="00927835" w:rsidP="00927835">
      <w:pPr>
        <w:pStyle w:val="Outlinearabic"/>
        <w:widowControl w:val="0"/>
        <w:ind w:left="0" w:firstLine="0"/>
      </w:pPr>
    </w:p>
    <w:p w:rsidR="00927835" w:rsidRPr="00E13A1E" w:rsidRDefault="00927835" w:rsidP="00927835">
      <w:pPr>
        <w:pStyle w:val="Outlinearabic"/>
        <w:ind w:left="1440" w:hanging="720"/>
      </w:pPr>
      <w:r w:rsidRPr="00E13A1E">
        <w:t>1.</w:t>
      </w:r>
      <w:r w:rsidRPr="00E13A1E">
        <w:tab/>
        <w:t>An evaluation team will review in detail all proposals that are received to determine the extent to which they comply with solicitation document requirements.</w:t>
      </w:r>
    </w:p>
    <w:p w:rsidR="00927835" w:rsidRPr="00E13A1E" w:rsidRDefault="00927835" w:rsidP="00927835">
      <w:pPr>
        <w:ind w:left="1440" w:hanging="720"/>
      </w:pPr>
    </w:p>
    <w:p w:rsidR="00927835" w:rsidRPr="00E13A1E" w:rsidRDefault="00927835" w:rsidP="00927835">
      <w:pPr>
        <w:pStyle w:val="Outlinearabic"/>
        <w:ind w:left="1440" w:hanging="720"/>
      </w:pPr>
      <w:r w:rsidRPr="00E13A1E">
        <w:t>2.</w:t>
      </w:r>
      <w:r w:rsidRPr="00E13A1E">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927835" w:rsidRPr="00E13A1E" w:rsidRDefault="00927835" w:rsidP="00927835">
      <w:pPr>
        <w:ind w:left="1440" w:hanging="720"/>
      </w:pPr>
    </w:p>
    <w:p w:rsidR="00927835" w:rsidRPr="00E13A1E" w:rsidRDefault="00927835" w:rsidP="00927835">
      <w:pPr>
        <w:pStyle w:val="Outlinearabic"/>
        <w:ind w:left="1440" w:hanging="720"/>
      </w:pPr>
      <w:r w:rsidRPr="00E13A1E">
        <w:t>3.</w:t>
      </w:r>
      <w:r w:rsidRPr="00E13A1E">
        <w:tab/>
        <w:t>Proposals that contain false or misleading statements may be rejected if in the AOC’s opinion the information was intended to mislead the state regarding a requirement of the solicitation document.</w:t>
      </w:r>
    </w:p>
    <w:p w:rsidR="00927835" w:rsidRPr="00E13A1E" w:rsidRDefault="00927835" w:rsidP="00927835">
      <w:pPr>
        <w:ind w:left="1440" w:hanging="720"/>
      </w:pPr>
    </w:p>
    <w:p w:rsidR="00927835" w:rsidRPr="00E13A1E" w:rsidRDefault="00927835" w:rsidP="00927835">
      <w:pPr>
        <w:pStyle w:val="Outlinearabic"/>
        <w:ind w:left="1440" w:hanging="720"/>
      </w:pPr>
      <w:r w:rsidRPr="00E13A1E">
        <w:t>4.</w:t>
      </w:r>
      <w:r w:rsidRPr="00E13A1E">
        <w:tab/>
        <w:t>Cost sheets will be checked only if a proposal is determined to be otherwise qualified.  All figures entered on the cost sheets must be clearly legible.</w:t>
      </w:r>
    </w:p>
    <w:p w:rsidR="00927835" w:rsidRPr="00E13A1E" w:rsidRDefault="00927835" w:rsidP="00927835">
      <w:pPr>
        <w:pStyle w:val="Outlinesmallletter"/>
        <w:ind w:left="1440" w:hanging="720"/>
      </w:pPr>
    </w:p>
    <w:p w:rsidR="00927835" w:rsidRPr="00E13A1E" w:rsidRDefault="00927835" w:rsidP="00927835">
      <w:pPr>
        <w:pStyle w:val="Outlinearabic"/>
        <w:ind w:left="1440" w:hanging="720"/>
      </w:pPr>
      <w:r w:rsidRPr="00E13A1E">
        <w:t>5.</w:t>
      </w:r>
      <w:r w:rsidRPr="00E13A1E">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927835" w:rsidRPr="00E13A1E" w:rsidRDefault="00927835" w:rsidP="00927835">
      <w:pPr>
        <w:pStyle w:val="Outlinearabic"/>
        <w:ind w:left="1440" w:hanging="720"/>
      </w:pPr>
    </w:p>
    <w:p w:rsidR="00A91FB5" w:rsidRPr="00E13A1E" w:rsidRDefault="00A91FB5" w:rsidP="00A91FB5">
      <w:pPr>
        <w:pStyle w:val="Outlinearabic"/>
        <w:widowControl w:val="0"/>
        <w:numPr>
          <w:ilvl w:val="0"/>
          <w:numId w:val="26"/>
        </w:numPr>
        <w:ind w:hanging="720"/>
        <w:rPr>
          <w:b/>
        </w:rPr>
      </w:pPr>
      <w:r w:rsidRPr="00E13A1E">
        <w:rPr>
          <w:b/>
        </w:rPr>
        <w:t>PAYMENT</w:t>
      </w:r>
    </w:p>
    <w:p w:rsidR="00A91FB5" w:rsidRPr="00E13A1E" w:rsidRDefault="00A91FB5" w:rsidP="00A91FB5">
      <w:pPr>
        <w:keepNext/>
      </w:pPr>
    </w:p>
    <w:p w:rsidR="00A91FB5" w:rsidRPr="00E13A1E" w:rsidRDefault="00A91FB5" w:rsidP="00FC77EF">
      <w:pPr>
        <w:pStyle w:val="Outlinearabic"/>
        <w:ind w:left="1440" w:hanging="720"/>
      </w:pPr>
      <w:r w:rsidRPr="00E13A1E">
        <w:t>1.</w:t>
      </w:r>
      <w:r w:rsidRPr="00E13A1E">
        <w:tab/>
        <w:t>Payment terms will be specified in any agreement that may ensue as a result of this solicitation document.</w:t>
      </w:r>
    </w:p>
    <w:p w:rsidR="00A91FB5" w:rsidRPr="00E13A1E" w:rsidRDefault="00A91FB5" w:rsidP="00A91FB5"/>
    <w:p w:rsidR="00A91FB5" w:rsidRPr="00E13A1E" w:rsidRDefault="00A91FB5" w:rsidP="00FC77EF">
      <w:pPr>
        <w:pStyle w:val="Outlinearabic"/>
        <w:ind w:left="1440" w:hanging="720"/>
      </w:pPr>
      <w:r w:rsidRPr="00E13A1E">
        <w:t>2.</w:t>
      </w:r>
      <w:r w:rsidRPr="00E13A1E">
        <w:tab/>
      </w:r>
      <w:r w:rsidRPr="00E13A1E">
        <w:rPr>
          <w:bCs/>
        </w:rPr>
        <w:t>THE STATE DOES NOT MAKE ANY ADVANCE PAYMENT FOR SERVICES</w:t>
      </w:r>
      <w:r w:rsidRPr="00E13A1E">
        <w:t xml:space="preserve">.  Payment is normally made based upon completion of tasks as provide in the agreement between the AOC and the selected proposer.  The AOC may withhold ten percent of each invoice until receipt and acceptance of the final product.  The amount of the withhold may </w:t>
      </w:r>
      <w:r w:rsidRPr="00E13A1E">
        <w:lastRenderedPageBreak/>
        <w:t>depend upon the length of the project and the payment schedule provide in the agreement between the AOC and the selected proposer.</w:t>
      </w:r>
    </w:p>
    <w:p w:rsidR="00A91FB5" w:rsidRPr="00E13A1E" w:rsidRDefault="00A91FB5" w:rsidP="00A91FB5">
      <w:pPr>
        <w:ind w:left="1620" w:hanging="450"/>
      </w:pPr>
    </w:p>
    <w:p w:rsidR="0008728D" w:rsidRPr="00E13A1E" w:rsidRDefault="0008728D" w:rsidP="00CA62A7">
      <w:pPr>
        <w:pStyle w:val="Outlinearabic"/>
        <w:keepNext/>
        <w:keepLines/>
        <w:widowControl w:val="0"/>
        <w:numPr>
          <w:ilvl w:val="0"/>
          <w:numId w:val="26"/>
        </w:numPr>
        <w:ind w:hanging="720"/>
        <w:rPr>
          <w:b/>
        </w:rPr>
      </w:pPr>
      <w:r w:rsidRPr="00E13A1E">
        <w:rPr>
          <w:b/>
        </w:rPr>
        <w:t xml:space="preserve">RIGHT TO REJECT </w:t>
      </w:r>
      <w:r w:rsidR="00BD77E1" w:rsidRPr="00E13A1E">
        <w:rPr>
          <w:b/>
        </w:rPr>
        <w:t>P</w:t>
      </w:r>
      <w:r w:rsidR="008C0955" w:rsidRPr="00E13A1E">
        <w:rPr>
          <w:b/>
        </w:rPr>
        <w:t>ROPOSALS</w:t>
      </w:r>
    </w:p>
    <w:p w:rsidR="0008728D" w:rsidRPr="00E13A1E" w:rsidRDefault="0008728D" w:rsidP="00CA62A7">
      <w:pPr>
        <w:pStyle w:val="Header"/>
        <w:keepNext/>
        <w:keepLines/>
        <w:widowControl w:val="0"/>
        <w:tabs>
          <w:tab w:val="clear" w:pos="4320"/>
          <w:tab w:val="clear" w:pos="8640"/>
          <w:tab w:val="left" w:pos="781"/>
          <w:tab w:val="right" w:pos="4353"/>
        </w:tabs>
        <w:ind w:left="1440" w:hanging="720"/>
        <w:rPr>
          <w:highlight w:val="green"/>
        </w:rPr>
      </w:pPr>
    </w:p>
    <w:p w:rsidR="0008728D" w:rsidRPr="00E13A1E" w:rsidRDefault="0008728D" w:rsidP="00CA62A7">
      <w:pPr>
        <w:pStyle w:val="Outlinearabic"/>
        <w:keepNext/>
        <w:keepLines/>
        <w:widowControl w:val="0"/>
        <w:ind w:left="1440" w:hanging="720"/>
      </w:pPr>
      <w:r w:rsidRPr="00E13A1E">
        <w:t>1.</w:t>
      </w:r>
      <w:r w:rsidRPr="00E13A1E">
        <w:tab/>
        <w:t>The AOC may reject any or all proposals and may or may not waive an immaterial deviation or defect in a proposal.  The AOC’s waiver of an immaterial deviation or defect shall in no way modify the solicitation document or excuse a proposer from full compliance with solicitation document specifications.  The AOC reserves the right to accept or reject any or all of the items in the proposal, to award the contract in whole or in part and/or negotiate any or all items with individual proposers if it is deemed in the AOC’s best interest.  Moreover, the AOC reserves the right to make no selection if proposals are deemed to be outside the fiscal constraint or against the best interest of the State of California.</w:t>
      </w:r>
    </w:p>
    <w:p w:rsidR="0008728D" w:rsidRPr="00E13A1E" w:rsidRDefault="0008728D" w:rsidP="00385E3A">
      <w:pPr>
        <w:widowControl w:val="0"/>
        <w:ind w:left="1440" w:hanging="720"/>
      </w:pPr>
    </w:p>
    <w:p w:rsidR="0008728D" w:rsidRPr="00E13A1E" w:rsidRDefault="0008728D" w:rsidP="00385E3A">
      <w:pPr>
        <w:pStyle w:val="BodyTextIndent2"/>
        <w:widowControl w:val="0"/>
        <w:spacing w:after="0" w:line="240" w:lineRule="auto"/>
        <w:ind w:left="1440" w:hanging="720"/>
      </w:pPr>
      <w:r w:rsidRPr="00E13A1E">
        <w:t>2.</w:t>
      </w:r>
      <w:r w:rsidRPr="00E13A1E">
        <w:tab/>
        <w:t xml:space="preserve">In addition to the right to reject any and all proposals, in whole or in part, the AOC also reserves the right to issue similar RFPs in the future.  This RFP is in no way an agreement, obligation, or contract and in no way is the AOC or the State of California responsible for the cost of preparing </w:t>
      </w:r>
      <w:r w:rsidR="0089355E" w:rsidRPr="00E13A1E">
        <w:t>any</w:t>
      </w:r>
      <w:r w:rsidRPr="00E13A1E">
        <w:t xml:space="preserve"> proposal</w:t>
      </w:r>
      <w:r w:rsidR="0089355E" w:rsidRPr="00E13A1E">
        <w:t xml:space="preserve"> submitted in response to the RFP.</w:t>
      </w:r>
    </w:p>
    <w:p w:rsidR="0008728D" w:rsidRPr="00E13A1E" w:rsidRDefault="0008728D" w:rsidP="00385E3A">
      <w:pPr>
        <w:widowControl w:val="0"/>
        <w:ind w:left="1440" w:hanging="720"/>
      </w:pPr>
    </w:p>
    <w:p w:rsidR="0008728D" w:rsidRPr="00E13A1E" w:rsidRDefault="0008728D" w:rsidP="00FC77EF">
      <w:pPr>
        <w:pStyle w:val="Outlinearabic"/>
        <w:widowControl w:val="0"/>
        <w:numPr>
          <w:ilvl w:val="0"/>
          <w:numId w:val="26"/>
        </w:numPr>
        <w:ind w:hanging="720"/>
        <w:rPr>
          <w:b/>
        </w:rPr>
      </w:pPr>
      <w:r w:rsidRPr="00E13A1E">
        <w:rPr>
          <w:b/>
        </w:rPr>
        <w:t>PROTEST PROCEDURE</w:t>
      </w:r>
    </w:p>
    <w:p w:rsidR="0008728D" w:rsidRPr="00E13A1E" w:rsidRDefault="0008728D" w:rsidP="00FC77EF">
      <w:pPr>
        <w:pStyle w:val="CommentText"/>
        <w:rPr>
          <w:sz w:val="24"/>
          <w:szCs w:val="24"/>
        </w:rPr>
      </w:pPr>
    </w:p>
    <w:p w:rsidR="0008728D" w:rsidRPr="00E13A1E" w:rsidRDefault="0008728D" w:rsidP="00FC77EF">
      <w:pPr>
        <w:pStyle w:val="Outlinearabic"/>
        <w:widowControl w:val="0"/>
        <w:numPr>
          <w:ilvl w:val="0"/>
          <w:numId w:val="6"/>
        </w:numPr>
        <w:tabs>
          <w:tab w:val="clear" w:pos="1620"/>
          <w:tab w:val="num" w:pos="1440"/>
        </w:tabs>
        <w:ind w:left="1440" w:hanging="720"/>
      </w:pPr>
      <w:r w:rsidRPr="00E13A1E">
        <w:rPr>
          <w:u w:val="single"/>
        </w:rPr>
        <w:t>General</w:t>
      </w:r>
      <w:r w:rsidRPr="00E13A1E">
        <w:t>.</w:t>
      </w:r>
    </w:p>
    <w:p w:rsidR="0008728D" w:rsidRPr="00E13A1E" w:rsidRDefault="0008728D" w:rsidP="00FC77EF">
      <w:pPr>
        <w:pStyle w:val="Outlinearabic"/>
        <w:widowControl w:val="0"/>
        <w:ind w:left="720" w:firstLine="0"/>
      </w:pPr>
    </w:p>
    <w:p w:rsidR="0008728D" w:rsidRPr="00E13A1E" w:rsidRDefault="0008728D" w:rsidP="00FC77EF">
      <w:pPr>
        <w:pStyle w:val="Outlinearabic"/>
        <w:widowControl w:val="0"/>
        <w:tabs>
          <w:tab w:val="num" w:pos="1440"/>
        </w:tabs>
        <w:ind w:left="1440" w:firstLine="0"/>
      </w:pPr>
      <w:r w:rsidRPr="00E13A1E">
        <w:t xml:space="preserve">Failure of a proposer to comply with the protest procedures set forth in this Section </w:t>
      </w:r>
      <w:r w:rsidR="00FC77EF" w:rsidRPr="00E13A1E">
        <w:t>L</w:t>
      </w:r>
      <w:r w:rsidRPr="00E13A1E">
        <w:t>, Protest Procedures, will render a protest inadequate and non-responsive, and will result in rejection of the protest.</w:t>
      </w:r>
    </w:p>
    <w:p w:rsidR="0008728D" w:rsidRPr="00E13A1E" w:rsidRDefault="0008728D" w:rsidP="00385E3A">
      <w:pPr>
        <w:pStyle w:val="CommentText"/>
        <w:tabs>
          <w:tab w:val="num" w:pos="1440"/>
        </w:tabs>
        <w:ind w:left="1440" w:hanging="720"/>
        <w:rPr>
          <w:sz w:val="24"/>
          <w:szCs w:val="24"/>
        </w:rPr>
      </w:pPr>
    </w:p>
    <w:p w:rsidR="0008728D" w:rsidRPr="00E13A1E" w:rsidRDefault="0008728D" w:rsidP="00385E3A">
      <w:pPr>
        <w:pStyle w:val="Outlinearabic"/>
        <w:numPr>
          <w:ilvl w:val="0"/>
          <w:numId w:val="6"/>
        </w:numPr>
        <w:tabs>
          <w:tab w:val="clear" w:pos="1620"/>
          <w:tab w:val="num" w:pos="1440"/>
        </w:tabs>
        <w:ind w:left="1440" w:hanging="720"/>
        <w:rPr>
          <w:u w:val="single"/>
        </w:rPr>
      </w:pPr>
      <w:r w:rsidRPr="00E13A1E">
        <w:rPr>
          <w:u w:val="single"/>
        </w:rPr>
        <w:t>Prior to Submission of Proposal.</w:t>
      </w:r>
    </w:p>
    <w:p w:rsidR="0008728D" w:rsidRPr="00E13A1E" w:rsidRDefault="0008728D" w:rsidP="00385E3A">
      <w:pPr>
        <w:tabs>
          <w:tab w:val="num" w:pos="1440"/>
        </w:tabs>
        <w:ind w:left="1440" w:hanging="720"/>
      </w:pPr>
    </w:p>
    <w:p w:rsidR="0008728D" w:rsidRPr="00E13A1E" w:rsidRDefault="0008728D" w:rsidP="00385E3A">
      <w:pPr>
        <w:tabs>
          <w:tab w:val="num" w:pos="1440"/>
        </w:tabs>
        <w:ind w:left="1440"/>
      </w:pPr>
      <w:r w:rsidRPr="00E13A1E">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Attachment </w:t>
      </w:r>
      <w:r w:rsidR="000B71DB" w:rsidRPr="00E13A1E">
        <w:t>A</w:t>
      </w:r>
      <w:r w:rsidR="00AC4B8F" w:rsidRPr="00E13A1E">
        <w:t>, Administrative Rules Governing Requests for Proposals,</w:t>
      </w:r>
      <w:r w:rsidRPr="00E13A1E">
        <w:t xml:space="preserve"> prior to submitting the protest.  Failure to do so may be grounds for denying the protest.</w:t>
      </w:r>
    </w:p>
    <w:p w:rsidR="0008728D" w:rsidRPr="00E13A1E" w:rsidRDefault="0008728D" w:rsidP="00385E3A">
      <w:pPr>
        <w:tabs>
          <w:tab w:val="num" w:pos="1440"/>
        </w:tabs>
        <w:ind w:left="1440" w:hanging="720"/>
      </w:pPr>
    </w:p>
    <w:p w:rsidR="0008728D" w:rsidRPr="00E13A1E" w:rsidRDefault="0008728D" w:rsidP="00FC77EF">
      <w:pPr>
        <w:pStyle w:val="Outlinearabic"/>
        <w:numPr>
          <w:ilvl w:val="0"/>
          <w:numId w:val="6"/>
        </w:numPr>
        <w:tabs>
          <w:tab w:val="clear" w:pos="1620"/>
          <w:tab w:val="num" w:pos="1440"/>
        </w:tabs>
        <w:ind w:left="1440" w:hanging="720"/>
        <w:rPr>
          <w:u w:val="single"/>
        </w:rPr>
      </w:pPr>
      <w:r w:rsidRPr="00E13A1E">
        <w:rPr>
          <w:u w:val="single"/>
        </w:rPr>
        <w:t>After Notice of Intent to Award/Not to Award.</w:t>
      </w:r>
    </w:p>
    <w:p w:rsidR="00FC77EF" w:rsidRPr="00E13A1E" w:rsidRDefault="00FC77EF" w:rsidP="00FC77EF">
      <w:pPr>
        <w:pStyle w:val="Outlinearabic"/>
        <w:ind w:left="720" w:firstLine="0"/>
        <w:rPr>
          <w:u w:val="single"/>
        </w:rPr>
      </w:pPr>
    </w:p>
    <w:p w:rsidR="00FC77EF" w:rsidRPr="00E13A1E" w:rsidRDefault="00FC77EF" w:rsidP="00FC77EF">
      <w:pPr>
        <w:pStyle w:val="Outlinearabic"/>
        <w:numPr>
          <w:ilvl w:val="1"/>
          <w:numId w:val="6"/>
        </w:numPr>
        <w:tabs>
          <w:tab w:val="clear" w:pos="2250"/>
          <w:tab w:val="num" w:pos="2160"/>
        </w:tabs>
        <w:ind w:left="2160" w:hanging="720"/>
        <w:rPr>
          <w:u w:val="single"/>
        </w:rPr>
      </w:pPr>
      <w:r w:rsidRPr="00E13A1E">
        <w:rPr>
          <w:bCs/>
        </w:rPr>
        <w:lastRenderedPageBreak/>
        <w:t>A proposer submitting a proposal may protest the AOC’s intent to award based upon allegations of improprieties occurring during the proposal evaluation or selection period if it meets all of the following conditions:</w:t>
      </w:r>
    </w:p>
    <w:p w:rsidR="00FC77EF" w:rsidRPr="00E13A1E" w:rsidRDefault="00FC77EF" w:rsidP="00385E3A">
      <w:pPr>
        <w:pStyle w:val="Outlinearabic"/>
        <w:tabs>
          <w:tab w:val="num" w:pos="1440"/>
        </w:tabs>
        <w:ind w:left="1440" w:hanging="720"/>
      </w:pPr>
    </w:p>
    <w:p w:rsidR="0008728D" w:rsidRPr="00E13A1E" w:rsidRDefault="0008728D" w:rsidP="00C43656">
      <w:pPr>
        <w:pStyle w:val="Outlinearabic"/>
        <w:numPr>
          <w:ilvl w:val="2"/>
          <w:numId w:val="6"/>
        </w:numPr>
        <w:tabs>
          <w:tab w:val="clear" w:pos="2970"/>
          <w:tab w:val="num" w:pos="2880"/>
        </w:tabs>
        <w:ind w:left="2880" w:hanging="720"/>
      </w:pPr>
      <w:r w:rsidRPr="00E13A1E">
        <w:t>The proposer has submitted a proposal that it believes to be responsive to the solicitation document;</w:t>
      </w:r>
    </w:p>
    <w:p w:rsidR="00C43656" w:rsidRPr="00E13A1E" w:rsidRDefault="00C43656" w:rsidP="00C43656">
      <w:pPr>
        <w:pStyle w:val="Outlinearabic"/>
        <w:ind w:left="2160" w:firstLine="0"/>
      </w:pPr>
    </w:p>
    <w:p w:rsidR="0008728D" w:rsidRPr="00E13A1E" w:rsidRDefault="0008728D" w:rsidP="00C43656">
      <w:pPr>
        <w:pStyle w:val="Outlinearabic"/>
        <w:numPr>
          <w:ilvl w:val="2"/>
          <w:numId w:val="6"/>
        </w:numPr>
        <w:tabs>
          <w:tab w:val="clear" w:pos="2970"/>
          <w:tab w:val="num" w:pos="2880"/>
        </w:tabs>
        <w:ind w:left="2880" w:hanging="720"/>
      </w:pPr>
      <w:r w:rsidRPr="00E13A1E">
        <w:t>The proposer believes that its proposal meets the administrative and technical requirements of the solicitation, proposes services of proven quality and performance, and offers a competitive cost; and,</w:t>
      </w:r>
    </w:p>
    <w:p w:rsidR="00C43656" w:rsidRPr="00E13A1E" w:rsidRDefault="00C43656" w:rsidP="00C43656">
      <w:pPr>
        <w:pStyle w:val="ListParagraph"/>
      </w:pPr>
    </w:p>
    <w:p w:rsidR="0008728D" w:rsidRPr="00E13A1E" w:rsidRDefault="0008728D" w:rsidP="00C43656">
      <w:pPr>
        <w:pStyle w:val="Outlinearabic"/>
        <w:numPr>
          <w:ilvl w:val="2"/>
          <w:numId w:val="6"/>
        </w:numPr>
        <w:tabs>
          <w:tab w:val="clear" w:pos="2970"/>
          <w:tab w:val="num" w:pos="2880"/>
        </w:tabs>
        <w:ind w:left="2880" w:hanging="720"/>
      </w:pPr>
      <w:r w:rsidRPr="00E13A1E">
        <w:t>The proposer believes that the AOC has incorrectly selected another proposer submitting a proposal for an award.</w:t>
      </w:r>
    </w:p>
    <w:p w:rsidR="0008728D" w:rsidRPr="00E13A1E" w:rsidRDefault="0008728D" w:rsidP="00FC77EF">
      <w:pPr>
        <w:pStyle w:val="NormalIndent"/>
        <w:ind w:left="0" w:firstLine="720"/>
        <w:rPr>
          <w:sz w:val="24"/>
          <w:szCs w:val="24"/>
        </w:rPr>
      </w:pPr>
    </w:p>
    <w:p w:rsidR="0008728D" w:rsidRPr="00E13A1E" w:rsidRDefault="0008728D" w:rsidP="00C43656">
      <w:pPr>
        <w:pStyle w:val="Outlinearabic"/>
        <w:numPr>
          <w:ilvl w:val="1"/>
          <w:numId w:val="6"/>
        </w:numPr>
        <w:tabs>
          <w:tab w:val="clear" w:pos="2250"/>
          <w:tab w:val="num" w:pos="2160"/>
        </w:tabs>
        <w:ind w:left="2160" w:hanging="720"/>
      </w:pPr>
      <w:r w:rsidRPr="00E13A1E">
        <w:t xml:space="preserve">Protests must be received no later than five (5) business days after the protesting party receives a notice of intent not to award. </w:t>
      </w:r>
    </w:p>
    <w:p w:rsidR="0008728D" w:rsidRPr="00E13A1E" w:rsidRDefault="0008728D" w:rsidP="00FC77EF">
      <w:pPr>
        <w:pStyle w:val="Outlinearabic"/>
        <w:ind w:firstLine="0"/>
      </w:pPr>
    </w:p>
    <w:p w:rsidR="0008728D" w:rsidRPr="00E13A1E" w:rsidRDefault="0008728D" w:rsidP="00FC77EF">
      <w:pPr>
        <w:pStyle w:val="Outlinearabic"/>
        <w:numPr>
          <w:ilvl w:val="0"/>
          <w:numId w:val="6"/>
        </w:numPr>
        <w:tabs>
          <w:tab w:val="clear" w:pos="1620"/>
          <w:tab w:val="num" w:pos="1440"/>
        </w:tabs>
        <w:ind w:left="1440" w:hanging="720"/>
      </w:pPr>
      <w:r w:rsidRPr="00E13A1E">
        <w:rPr>
          <w:u w:val="single"/>
        </w:rPr>
        <w:t>Form of Protest.</w:t>
      </w:r>
    </w:p>
    <w:p w:rsidR="0008728D" w:rsidRPr="00E13A1E" w:rsidRDefault="0008728D" w:rsidP="00385E3A">
      <w:pPr>
        <w:pStyle w:val="Outlinearabic"/>
        <w:keepNext/>
        <w:ind w:left="1440" w:hanging="720"/>
      </w:pPr>
    </w:p>
    <w:p w:rsidR="0008728D" w:rsidRPr="00E13A1E" w:rsidRDefault="0008728D" w:rsidP="00C43656">
      <w:pPr>
        <w:pStyle w:val="Outlinearabic"/>
        <w:numPr>
          <w:ilvl w:val="1"/>
          <w:numId w:val="6"/>
        </w:numPr>
        <w:tabs>
          <w:tab w:val="clear" w:pos="2250"/>
          <w:tab w:val="num" w:pos="2160"/>
        </w:tabs>
        <w:ind w:left="2160" w:hanging="720"/>
        <w:rPr>
          <w:bCs/>
        </w:rPr>
      </w:pPr>
      <w:r w:rsidRPr="00E13A1E">
        <w:rPr>
          <w:bCs/>
        </w:rPr>
        <w:t>A proposer who is qualified to protest should submit the protest to the individual addressed under Submission of Proposals, as set forth in the RFP cover memo, who will forward the matter to the appropriate Contracting Officer.</w:t>
      </w:r>
    </w:p>
    <w:p w:rsidR="0008728D" w:rsidRPr="00E13A1E" w:rsidRDefault="0008728D" w:rsidP="00385E3A"/>
    <w:p w:rsidR="0008728D" w:rsidRPr="00E13A1E" w:rsidRDefault="0008728D" w:rsidP="00C43656">
      <w:pPr>
        <w:pStyle w:val="Outlinearabic"/>
        <w:numPr>
          <w:ilvl w:val="2"/>
          <w:numId w:val="6"/>
        </w:numPr>
        <w:tabs>
          <w:tab w:val="clear" w:pos="2970"/>
          <w:tab w:val="num" w:pos="2880"/>
        </w:tabs>
        <w:ind w:left="2880" w:hanging="720"/>
      </w:pPr>
      <w:r w:rsidRPr="00E13A1E">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rsidR="00C43656" w:rsidRPr="00E13A1E" w:rsidRDefault="00C43656" w:rsidP="00C43656">
      <w:pPr>
        <w:pStyle w:val="Outlinearabic"/>
        <w:ind w:left="2160" w:firstLine="0"/>
      </w:pPr>
    </w:p>
    <w:p w:rsidR="0008728D" w:rsidRPr="00E13A1E" w:rsidRDefault="0008728D" w:rsidP="00C43656">
      <w:pPr>
        <w:pStyle w:val="Outlinearabic"/>
        <w:numPr>
          <w:ilvl w:val="2"/>
          <w:numId w:val="6"/>
        </w:numPr>
        <w:tabs>
          <w:tab w:val="clear" w:pos="2970"/>
          <w:tab w:val="num" w:pos="2880"/>
        </w:tabs>
        <w:ind w:left="2880" w:hanging="720"/>
      </w:pPr>
      <w:r w:rsidRPr="00E13A1E">
        <w:t>The protest shall include the name, proposer, physical and electronic addresses, and  telephone and facsimile numbers of the party protesting or their representative.</w:t>
      </w:r>
    </w:p>
    <w:p w:rsidR="00C43656" w:rsidRPr="00E13A1E" w:rsidRDefault="00C43656" w:rsidP="00C43656">
      <w:pPr>
        <w:pStyle w:val="ListParagraph"/>
      </w:pPr>
    </w:p>
    <w:p w:rsidR="0008728D" w:rsidRPr="00E13A1E" w:rsidRDefault="0008728D" w:rsidP="00C43656">
      <w:pPr>
        <w:pStyle w:val="Outlinearabic"/>
        <w:numPr>
          <w:ilvl w:val="2"/>
          <w:numId w:val="6"/>
        </w:numPr>
        <w:tabs>
          <w:tab w:val="clear" w:pos="2970"/>
          <w:tab w:val="num" w:pos="2880"/>
        </w:tabs>
        <w:ind w:left="2880" w:hanging="720"/>
      </w:pPr>
      <w:r w:rsidRPr="00E13A1E">
        <w:t>The title and number of the solicitation document under which the protest is submitted shall be identified.</w:t>
      </w:r>
    </w:p>
    <w:p w:rsidR="00C43656" w:rsidRPr="00E13A1E" w:rsidRDefault="00C43656" w:rsidP="00C43656">
      <w:pPr>
        <w:pStyle w:val="ListParagraph"/>
      </w:pPr>
    </w:p>
    <w:p w:rsidR="0008728D" w:rsidRPr="00E13A1E" w:rsidRDefault="0008728D" w:rsidP="00C43656">
      <w:pPr>
        <w:pStyle w:val="Outlinearabic"/>
        <w:numPr>
          <w:ilvl w:val="2"/>
          <w:numId w:val="6"/>
        </w:numPr>
        <w:tabs>
          <w:tab w:val="clear" w:pos="2970"/>
          <w:tab w:val="num" w:pos="2880"/>
        </w:tabs>
        <w:ind w:left="2880" w:hanging="720"/>
      </w:pPr>
      <w:r w:rsidRPr="00E13A1E">
        <w:t>A detailed description of the specific legal and factual grounds of protest and any supporting documentation shall be included.</w:t>
      </w:r>
    </w:p>
    <w:p w:rsidR="00C43656" w:rsidRPr="00E13A1E" w:rsidRDefault="00C43656" w:rsidP="00C43656">
      <w:pPr>
        <w:pStyle w:val="ListParagraph"/>
      </w:pPr>
    </w:p>
    <w:p w:rsidR="0008728D" w:rsidRPr="00E13A1E" w:rsidRDefault="0008728D" w:rsidP="00C43656">
      <w:pPr>
        <w:pStyle w:val="Outlinearabic"/>
        <w:numPr>
          <w:ilvl w:val="2"/>
          <w:numId w:val="6"/>
        </w:numPr>
        <w:tabs>
          <w:tab w:val="clear" w:pos="2970"/>
          <w:tab w:val="num" w:pos="2880"/>
        </w:tabs>
        <w:ind w:left="2880" w:hanging="720"/>
      </w:pPr>
      <w:r w:rsidRPr="00E13A1E">
        <w:t>The specific ruling or relief requested must be stated.</w:t>
      </w:r>
    </w:p>
    <w:p w:rsidR="00C43656" w:rsidRPr="00E13A1E" w:rsidRDefault="00C43656" w:rsidP="00C43656">
      <w:pPr>
        <w:pStyle w:val="Outlinearabic"/>
        <w:ind w:left="2160" w:firstLine="0"/>
      </w:pPr>
    </w:p>
    <w:p w:rsidR="0008728D" w:rsidRPr="00E13A1E" w:rsidRDefault="0008728D" w:rsidP="00C43656">
      <w:pPr>
        <w:pStyle w:val="Outlinearabic"/>
        <w:numPr>
          <w:ilvl w:val="1"/>
          <w:numId w:val="6"/>
        </w:numPr>
        <w:tabs>
          <w:tab w:val="clear" w:pos="2250"/>
          <w:tab w:val="num" w:pos="2160"/>
        </w:tabs>
        <w:ind w:left="2160" w:hanging="720"/>
        <w:rPr>
          <w:bCs/>
        </w:rPr>
      </w:pPr>
      <w:r w:rsidRPr="00E13A1E">
        <w:rPr>
          <w:bCs/>
        </w:rPr>
        <w:t xml:space="preserve">The AOC, at its discretion, may make a decision regarding the protest without requesting further information or documents from the protestor.  Therefore, the </w:t>
      </w:r>
      <w:r w:rsidRPr="00E13A1E">
        <w:rPr>
          <w:bCs/>
        </w:rPr>
        <w:lastRenderedPageBreak/>
        <w:t>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8728D" w:rsidRPr="00E13A1E" w:rsidRDefault="0008728D" w:rsidP="00385E3A">
      <w:pPr>
        <w:ind w:left="1620"/>
      </w:pPr>
    </w:p>
    <w:p w:rsidR="0008728D" w:rsidRPr="00E13A1E" w:rsidRDefault="0008728D" w:rsidP="00C43656">
      <w:pPr>
        <w:pStyle w:val="Outlinearabic"/>
        <w:keepNext/>
        <w:keepLines/>
        <w:numPr>
          <w:ilvl w:val="0"/>
          <w:numId w:val="6"/>
        </w:numPr>
        <w:tabs>
          <w:tab w:val="clear" w:pos="1620"/>
          <w:tab w:val="num" w:pos="1440"/>
        </w:tabs>
        <w:ind w:left="1440" w:hanging="720"/>
        <w:rPr>
          <w:u w:val="single"/>
        </w:rPr>
      </w:pPr>
      <w:r w:rsidRPr="00E13A1E">
        <w:rPr>
          <w:u w:val="single"/>
        </w:rPr>
        <w:t>Determination of Protest Submitted Prior to Submission of A Proposal.</w:t>
      </w:r>
    </w:p>
    <w:p w:rsidR="00C43656" w:rsidRPr="00E13A1E" w:rsidRDefault="00C43656" w:rsidP="00C43656">
      <w:pPr>
        <w:pStyle w:val="Heading3"/>
        <w:keepLines/>
        <w:spacing w:before="0" w:after="0"/>
        <w:ind w:left="1440"/>
        <w:rPr>
          <w:rFonts w:ascii="Times New Roman" w:hAnsi="Times New Roman" w:cs="Times New Roman"/>
          <w:b w:val="0"/>
          <w:bCs w:val="0"/>
          <w:sz w:val="24"/>
          <w:szCs w:val="24"/>
        </w:rPr>
      </w:pPr>
    </w:p>
    <w:p w:rsidR="0008728D" w:rsidRPr="00E13A1E" w:rsidRDefault="0008728D" w:rsidP="00C43656">
      <w:pPr>
        <w:pStyle w:val="Heading3"/>
        <w:keepLines/>
        <w:spacing w:before="0" w:after="0"/>
        <w:ind w:left="1440"/>
        <w:rPr>
          <w:rFonts w:ascii="Times New Roman" w:hAnsi="Times New Roman" w:cs="Times New Roman"/>
          <w:b w:val="0"/>
          <w:bCs w:val="0"/>
          <w:sz w:val="24"/>
          <w:szCs w:val="24"/>
        </w:rPr>
      </w:pPr>
      <w:r w:rsidRPr="00E13A1E">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E13A1E">
        <w:rPr>
          <w:rFonts w:ascii="Times New Roman" w:hAnsi="Times New Roman" w:cs="Times New Roman"/>
          <w:b w:val="0"/>
          <w:sz w:val="24"/>
          <w:szCs w:val="24"/>
        </w:rPr>
        <w:t>date and time for submittal of proposals, as set forth on the RFP cover memo</w:t>
      </w:r>
      <w:r w:rsidRPr="00E13A1E">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08728D" w:rsidRPr="00E13A1E" w:rsidRDefault="0008728D" w:rsidP="00385E3A"/>
    <w:p w:rsidR="0008728D" w:rsidRPr="00E13A1E" w:rsidRDefault="0008728D" w:rsidP="00FC77EF">
      <w:pPr>
        <w:pStyle w:val="Outlinearabic"/>
        <w:numPr>
          <w:ilvl w:val="0"/>
          <w:numId w:val="6"/>
        </w:numPr>
        <w:tabs>
          <w:tab w:val="clear" w:pos="1620"/>
          <w:tab w:val="num" w:pos="1440"/>
        </w:tabs>
        <w:ind w:left="1440" w:hanging="720"/>
      </w:pPr>
      <w:r w:rsidRPr="00E13A1E">
        <w:rPr>
          <w:u w:val="single"/>
        </w:rPr>
        <w:t>Determination of Protest Submitted After Submission of A Proposal.</w:t>
      </w:r>
    </w:p>
    <w:p w:rsidR="00C43656" w:rsidRPr="00E13A1E" w:rsidRDefault="00C43656" w:rsidP="00C43656">
      <w:pPr>
        <w:pStyle w:val="Heading3"/>
        <w:keepNext w:val="0"/>
        <w:widowControl w:val="0"/>
        <w:spacing w:before="0" w:after="0"/>
        <w:ind w:left="1440" w:hanging="720"/>
        <w:rPr>
          <w:rFonts w:ascii="Times New Roman" w:hAnsi="Times New Roman" w:cs="Times New Roman"/>
          <w:b w:val="0"/>
          <w:bCs w:val="0"/>
          <w:sz w:val="24"/>
          <w:szCs w:val="24"/>
        </w:rPr>
      </w:pPr>
    </w:p>
    <w:p w:rsidR="0008728D" w:rsidRPr="00E13A1E" w:rsidRDefault="0008728D" w:rsidP="00C43656">
      <w:pPr>
        <w:pStyle w:val="Heading3"/>
        <w:keepNext w:val="0"/>
        <w:widowControl w:val="0"/>
        <w:spacing w:before="0" w:after="0"/>
        <w:ind w:left="1440"/>
        <w:rPr>
          <w:rFonts w:ascii="Times New Roman" w:hAnsi="Times New Roman" w:cs="Times New Roman"/>
          <w:b w:val="0"/>
          <w:bCs w:val="0"/>
          <w:sz w:val="24"/>
          <w:szCs w:val="24"/>
        </w:rPr>
      </w:pPr>
      <w:r w:rsidRPr="00E13A1E">
        <w:rPr>
          <w:rFonts w:ascii="Times New Roman" w:hAnsi="Times New Roman" w:cs="Times New Roman"/>
          <w:b w:val="0"/>
          <w:bCs w:val="0"/>
          <w:sz w:val="24"/>
          <w:szCs w:val="24"/>
        </w:rPr>
        <w:t>Upon receipt of a timely and proper protest, the AOC will investigate the protest and will provide a written response to the proposer within a reasonable time.  If the AOC requires additional time to review the protest and is not able to provide a response within ten (10) business days, the AOC will notify the proposer.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08728D" w:rsidRPr="00E13A1E" w:rsidRDefault="0008728D" w:rsidP="00385E3A"/>
    <w:p w:rsidR="0008728D" w:rsidRPr="00E13A1E" w:rsidRDefault="0008728D" w:rsidP="00FC77EF">
      <w:pPr>
        <w:pStyle w:val="Outlinearabic"/>
        <w:numPr>
          <w:ilvl w:val="0"/>
          <w:numId w:val="6"/>
        </w:numPr>
        <w:tabs>
          <w:tab w:val="clear" w:pos="1620"/>
          <w:tab w:val="num" w:pos="1440"/>
        </w:tabs>
        <w:ind w:left="1440" w:hanging="720"/>
        <w:rPr>
          <w:u w:val="single"/>
        </w:rPr>
      </w:pPr>
      <w:r w:rsidRPr="00E13A1E">
        <w:rPr>
          <w:u w:val="single"/>
        </w:rPr>
        <w:t>Appeals Process.</w:t>
      </w:r>
    </w:p>
    <w:p w:rsidR="0008728D" w:rsidRPr="00E13A1E" w:rsidRDefault="0008728D" w:rsidP="00CD110A">
      <w:pPr>
        <w:pStyle w:val="Outlinearabic"/>
        <w:keepNext/>
        <w:widowControl w:val="0"/>
        <w:ind w:left="720" w:firstLine="0"/>
      </w:pPr>
    </w:p>
    <w:p w:rsidR="0008728D" w:rsidRPr="00E13A1E" w:rsidRDefault="0008728D" w:rsidP="00C43656">
      <w:pPr>
        <w:pStyle w:val="Outlinearabic"/>
        <w:numPr>
          <w:ilvl w:val="1"/>
          <w:numId w:val="6"/>
        </w:numPr>
        <w:tabs>
          <w:tab w:val="clear" w:pos="2250"/>
          <w:tab w:val="num" w:pos="2160"/>
        </w:tabs>
        <w:ind w:left="2160" w:hanging="720"/>
        <w:rPr>
          <w:bCs/>
        </w:rPr>
      </w:pPr>
      <w:r w:rsidRPr="00E13A1E">
        <w:rPr>
          <w:bCs/>
        </w:rPr>
        <w:t>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business days of the issuance of the Contracting Officer’s decision.</w:t>
      </w:r>
    </w:p>
    <w:p w:rsidR="0008728D" w:rsidRPr="00E13A1E" w:rsidRDefault="0008728D" w:rsidP="00C43656"/>
    <w:p w:rsidR="0008728D" w:rsidRPr="00E13A1E" w:rsidRDefault="0008728D" w:rsidP="00C43656">
      <w:pPr>
        <w:pStyle w:val="Outlinearabic"/>
        <w:numPr>
          <w:ilvl w:val="1"/>
          <w:numId w:val="6"/>
        </w:numPr>
        <w:tabs>
          <w:tab w:val="clear" w:pos="2250"/>
          <w:tab w:val="num" w:pos="2160"/>
        </w:tabs>
        <w:ind w:left="2160" w:hanging="720"/>
        <w:rPr>
          <w:bCs/>
        </w:rPr>
      </w:pPr>
      <w:r w:rsidRPr="00E13A1E">
        <w:rPr>
          <w:bCs/>
        </w:rPr>
        <w:t>The justification for appeal is specific</w:t>
      </w:r>
      <w:r w:rsidR="00C43656" w:rsidRPr="00E13A1E">
        <w:rPr>
          <w:bCs/>
        </w:rPr>
        <w:t>ally limited to:</w:t>
      </w:r>
    </w:p>
    <w:p w:rsidR="00C43656" w:rsidRPr="00E13A1E" w:rsidRDefault="00C43656" w:rsidP="00C43656">
      <w:pPr>
        <w:pStyle w:val="ListParagraph"/>
        <w:rPr>
          <w:bCs/>
        </w:rPr>
      </w:pP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Facts and/or information related to the protest, as previously submitted, that were not available at the time the pr</w:t>
      </w:r>
      <w:r w:rsidR="00C43656" w:rsidRPr="00E13A1E">
        <w:rPr>
          <w:bCs/>
        </w:rPr>
        <w:t>otest was originally submitted;</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lastRenderedPageBreak/>
        <w:t xml:space="preserve">Contracting Officer’s decision contained errors of fact, and that such errors of fact were significant and material factors in the Contracting Officer’s decision; or </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Decision of the Contracting Officer was in error of law or regulation.</w:t>
      </w:r>
    </w:p>
    <w:p w:rsidR="0008728D" w:rsidRPr="00E13A1E" w:rsidRDefault="0008728D" w:rsidP="00C43656">
      <w:pPr>
        <w:pStyle w:val="Heading3"/>
        <w:keepNext w:val="0"/>
        <w:widowControl w:val="0"/>
        <w:spacing w:before="0" w:after="0"/>
        <w:ind w:left="2174" w:right="274" w:hanging="734"/>
        <w:rPr>
          <w:rFonts w:ascii="Times New Roman" w:hAnsi="Times New Roman" w:cs="Times New Roman"/>
          <w:b w:val="0"/>
          <w:bCs w:val="0"/>
          <w:sz w:val="24"/>
          <w:szCs w:val="24"/>
        </w:rPr>
      </w:pPr>
    </w:p>
    <w:p w:rsidR="0008728D" w:rsidRPr="00E13A1E" w:rsidRDefault="0008728D" w:rsidP="00C43656">
      <w:pPr>
        <w:pStyle w:val="Outlinearabic"/>
        <w:numPr>
          <w:ilvl w:val="1"/>
          <w:numId w:val="6"/>
        </w:numPr>
        <w:tabs>
          <w:tab w:val="clear" w:pos="2250"/>
          <w:tab w:val="num" w:pos="2160"/>
        </w:tabs>
        <w:ind w:left="2160" w:hanging="720"/>
        <w:rPr>
          <w:bCs/>
        </w:rPr>
      </w:pPr>
      <w:r w:rsidRPr="00E13A1E">
        <w:rPr>
          <w:bCs/>
        </w:rPr>
        <w:t>The proposer’s re</w:t>
      </w:r>
      <w:r w:rsidR="00C43656" w:rsidRPr="00E13A1E">
        <w:rPr>
          <w:bCs/>
        </w:rPr>
        <w:t>quest for appeal shall include:</w:t>
      </w:r>
    </w:p>
    <w:p w:rsidR="00C43656" w:rsidRPr="00E13A1E" w:rsidRDefault="00C43656" w:rsidP="00C43656">
      <w:pPr>
        <w:pStyle w:val="Outlinearabic"/>
        <w:ind w:left="1440" w:firstLine="0"/>
        <w:rPr>
          <w:bCs/>
        </w:rPr>
      </w:pP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 xml:space="preserve">Name, proposer, physical and electronic addresses, and telephone and facsimile numbers of the proposer filing the appeal or their representative; </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 xml:space="preserve">Copy of the Contracting Officer’s decision; </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 xml:space="preserve">Legal and factual basis for the appeal; and </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Ruling or relief requested.  Issues that could have been raised earlier will not be considered</w:t>
      </w:r>
      <w:r w:rsidR="00C43656" w:rsidRPr="00E13A1E">
        <w:rPr>
          <w:bCs/>
        </w:rPr>
        <w:t xml:space="preserve"> on appeal.</w:t>
      </w:r>
    </w:p>
    <w:p w:rsidR="00C43656" w:rsidRPr="00E13A1E" w:rsidRDefault="00C43656" w:rsidP="00C43656">
      <w:pPr>
        <w:pStyle w:val="Outlinearabic"/>
        <w:ind w:left="2160" w:firstLine="0"/>
        <w:rPr>
          <w:bCs/>
        </w:rPr>
      </w:pPr>
    </w:p>
    <w:p w:rsidR="0008728D" w:rsidRPr="00E13A1E" w:rsidRDefault="0008728D" w:rsidP="00C43656">
      <w:pPr>
        <w:pStyle w:val="Outlinearabic"/>
        <w:numPr>
          <w:ilvl w:val="1"/>
          <w:numId w:val="6"/>
        </w:numPr>
        <w:tabs>
          <w:tab w:val="clear" w:pos="2250"/>
          <w:tab w:val="num" w:pos="2160"/>
        </w:tabs>
        <w:ind w:left="2160" w:hanging="720"/>
        <w:rPr>
          <w:bCs/>
        </w:rPr>
      </w:pPr>
      <w:r w:rsidRPr="00E13A1E">
        <w:rPr>
          <w:bCs/>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08728D" w:rsidRPr="00E13A1E" w:rsidRDefault="0008728D" w:rsidP="00C43656">
      <w:pPr>
        <w:widowControl w:val="0"/>
      </w:pPr>
    </w:p>
    <w:p w:rsidR="0008728D" w:rsidRPr="00E13A1E" w:rsidRDefault="0008728D" w:rsidP="00FC77EF">
      <w:pPr>
        <w:pStyle w:val="Outlinearabic"/>
        <w:numPr>
          <w:ilvl w:val="0"/>
          <w:numId w:val="6"/>
        </w:numPr>
        <w:tabs>
          <w:tab w:val="clear" w:pos="1620"/>
          <w:tab w:val="num" w:pos="1440"/>
        </w:tabs>
        <w:ind w:left="1440" w:hanging="720"/>
        <w:rPr>
          <w:u w:val="single"/>
        </w:rPr>
      </w:pPr>
      <w:r w:rsidRPr="00E13A1E">
        <w:rPr>
          <w:u w:val="single"/>
        </w:rPr>
        <w:t>Protest Remedies.</w:t>
      </w:r>
    </w:p>
    <w:p w:rsidR="00C43656" w:rsidRPr="00E13A1E" w:rsidRDefault="00C43656" w:rsidP="00C43656">
      <w:pPr>
        <w:pStyle w:val="Heading3"/>
        <w:keepNext w:val="0"/>
        <w:widowControl w:val="0"/>
        <w:spacing w:before="0" w:after="0"/>
        <w:ind w:left="1620"/>
        <w:rPr>
          <w:rFonts w:ascii="Times New Roman" w:hAnsi="Times New Roman" w:cs="Times New Roman"/>
          <w:b w:val="0"/>
          <w:bCs w:val="0"/>
          <w:sz w:val="24"/>
          <w:szCs w:val="24"/>
        </w:rPr>
      </w:pPr>
    </w:p>
    <w:p w:rsidR="0008728D" w:rsidRPr="00E13A1E" w:rsidRDefault="0008728D" w:rsidP="00C43656">
      <w:pPr>
        <w:pStyle w:val="Heading3"/>
        <w:keepNext w:val="0"/>
        <w:widowControl w:val="0"/>
        <w:spacing w:before="0" w:after="0"/>
        <w:ind w:left="1620"/>
        <w:rPr>
          <w:rFonts w:ascii="Times New Roman" w:hAnsi="Times New Roman" w:cs="Times New Roman"/>
          <w:b w:val="0"/>
          <w:bCs w:val="0"/>
          <w:sz w:val="24"/>
          <w:szCs w:val="24"/>
        </w:rPr>
      </w:pPr>
      <w:r w:rsidRPr="00E13A1E">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w:t>
      </w:r>
      <w:r w:rsidR="009733F3" w:rsidRPr="00E13A1E">
        <w:rPr>
          <w:rFonts w:ascii="Times New Roman" w:hAnsi="Times New Roman" w:cs="Times New Roman"/>
          <w:b w:val="0"/>
          <w:bCs w:val="0"/>
          <w:sz w:val="24"/>
          <w:szCs w:val="24"/>
        </w:rPr>
        <w:t>n</w:t>
      </w:r>
      <w:r w:rsidRPr="00E13A1E">
        <w:rPr>
          <w:rFonts w:ascii="Times New Roman" w:hAnsi="Times New Roman" w:cs="Times New Roman"/>
          <w:b w:val="0"/>
          <w:bCs w:val="0"/>
          <w:sz w:val="24"/>
          <w:szCs w:val="24"/>
        </w:rPr>
        <w:t>y combination of the following remedies:</w:t>
      </w:r>
    </w:p>
    <w:p w:rsidR="00C43656" w:rsidRPr="00E13A1E" w:rsidRDefault="00C43656" w:rsidP="00C43656"/>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Terminate the contract for convenience;</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Re-solicit the requirement;</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Issue a new solicitation;</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Refrain from exercising options to extend the term under the contract, if applicable;</w:t>
      </w:r>
    </w:p>
    <w:p w:rsidR="0008728D" w:rsidRPr="00E13A1E" w:rsidRDefault="0008728D" w:rsidP="00C43656">
      <w:pPr>
        <w:pStyle w:val="Outlinearabic"/>
        <w:numPr>
          <w:ilvl w:val="2"/>
          <w:numId w:val="6"/>
        </w:numPr>
        <w:tabs>
          <w:tab w:val="clear" w:pos="2970"/>
          <w:tab w:val="num" w:pos="2880"/>
        </w:tabs>
        <w:ind w:left="2880" w:hanging="720"/>
        <w:rPr>
          <w:bCs/>
        </w:rPr>
      </w:pPr>
      <w:r w:rsidRPr="00E13A1E">
        <w:rPr>
          <w:bCs/>
        </w:rPr>
        <w:t>Award a contract consistent with statute or regulation; or</w:t>
      </w:r>
    </w:p>
    <w:p w:rsidR="0008728D" w:rsidRPr="00E13A1E" w:rsidRDefault="0008728D" w:rsidP="00C43656">
      <w:pPr>
        <w:pStyle w:val="Outlinearabic"/>
        <w:numPr>
          <w:ilvl w:val="2"/>
          <w:numId w:val="6"/>
        </w:numPr>
        <w:tabs>
          <w:tab w:val="clear" w:pos="2970"/>
          <w:tab w:val="num" w:pos="2880"/>
        </w:tabs>
        <w:ind w:left="2880" w:hanging="720"/>
      </w:pPr>
      <w:r w:rsidRPr="00E13A1E">
        <w:rPr>
          <w:bCs/>
        </w:rPr>
        <w:t>Other</w:t>
      </w:r>
      <w:r w:rsidRPr="00E13A1E">
        <w:t xml:space="preserve"> such remedies as may be required to promote compliance.</w:t>
      </w:r>
    </w:p>
    <w:p w:rsidR="00204BA7" w:rsidRPr="00E13A1E" w:rsidRDefault="00204BA7" w:rsidP="00C43656">
      <w:pPr>
        <w:pStyle w:val="NormalIndent"/>
        <w:widowControl w:val="0"/>
        <w:ind w:left="2174" w:hanging="547"/>
        <w:rPr>
          <w:sz w:val="24"/>
          <w:szCs w:val="24"/>
        </w:rPr>
      </w:pPr>
    </w:p>
    <w:p w:rsidR="0008728D" w:rsidRPr="00E13A1E" w:rsidRDefault="0008728D" w:rsidP="00204BA7">
      <w:pPr>
        <w:pStyle w:val="Outlinearabic"/>
        <w:widowControl w:val="0"/>
        <w:numPr>
          <w:ilvl w:val="0"/>
          <w:numId w:val="26"/>
        </w:numPr>
        <w:ind w:hanging="720"/>
        <w:rPr>
          <w:b/>
          <w:u w:val="single"/>
        </w:rPr>
      </w:pPr>
      <w:r w:rsidRPr="00E13A1E">
        <w:rPr>
          <w:b/>
        </w:rPr>
        <w:t>AWARD AND EXECUTION OF AGREEMENT</w:t>
      </w:r>
    </w:p>
    <w:p w:rsidR="0008728D" w:rsidRPr="00E13A1E" w:rsidRDefault="0008728D" w:rsidP="00385E3A">
      <w:pPr>
        <w:keepNext/>
        <w:keepLines/>
      </w:pPr>
    </w:p>
    <w:p w:rsidR="0008728D" w:rsidRPr="00E13A1E" w:rsidRDefault="0008728D" w:rsidP="00C43656">
      <w:pPr>
        <w:pStyle w:val="Outlinearabic"/>
        <w:widowControl w:val="0"/>
        <w:numPr>
          <w:ilvl w:val="0"/>
          <w:numId w:val="29"/>
        </w:numPr>
        <w:tabs>
          <w:tab w:val="clear" w:pos="1620"/>
          <w:tab w:val="left" w:pos="1440"/>
        </w:tabs>
        <w:ind w:left="1440" w:hanging="720"/>
      </w:pPr>
      <w:r w:rsidRPr="00E13A1E">
        <w:t xml:space="preserve">Award of contract, if made, will be in accordance with the solicitation document to a responsible proposer submitting a proposal compliant with all the requirements of the solicitation document and any addenda thereto, except for such immaterial defects as may be </w:t>
      </w:r>
      <w:r w:rsidRPr="00E13A1E">
        <w:lastRenderedPageBreak/>
        <w:t>waived by the AOC.</w:t>
      </w:r>
    </w:p>
    <w:p w:rsidR="0008728D" w:rsidRPr="00E13A1E" w:rsidRDefault="0008728D" w:rsidP="00385E3A">
      <w:pPr>
        <w:ind w:left="1620" w:hanging="450"/>
      </w:pPr>
    </w:p>
    <w:p w:rsidR="0008728D" w:rsidRPr="00E13A1E" w:rsidRDefault="0008728D" w:rsidP="00C43656">
      <w:pPr>
        <w:pStyle w:val="Outlinearabic"/>
        <w:widowControl w:val="0"/>
        <w:numPr>
          <w:ilvl w:val="0"/>
          <w:numId w:val="29"/>
        </w:numPr>
        <w:tabs>
          <w:tab w:val="clear" w:pos="1620"/>
          <w:tab w:val="left" w:pos="1440"/>
        </w:tabs>
        <w:ind w:left="1440" w:hanging="720"/>
      </w:pPr>
      <w:r w:rsidRPr="00E13A1E">
        <w:t>The AOC reserves the right to determine the suitability of proposals for contracts on the basis of a proposal’s meeting administrative requirements, technical requirements, its assessment of the quality of service and performance of items proposed, and cost.</w:t>
      </w:r>
    </w:p>
    <w:p w:rsidR="0008728D" w:rsidRPr="00E13A1E" w:rsidRDefault="0008728D" w:rsidP="00385E3A">
      <w:pPr>
        <w:keepNext/>
        <w:ind w:left="1620" w:hanging="450"/>
      </w:pPr>
    </w:p>
    <w:p w:rsidR="0008728D" w:rsidRPr="00E13A1E" w:rsidRDefault="0008728D" w:rsidP="00C43656">
      <w:pPr>
        <w:pStyle w:val="Outlinearabic"/>
        <w:widowControl w:val="0"/>
        <w:numPr>
          <w:ilvl w:val="0"/>
          <w:numId w:val="29"/>
        </w:numPr>
        <w:tabs>
          <w:tab w:val="clear" w:pos="1620"/>
          <w:tab w:val="left" w:pos="1440"/>
        </w:tabs>
        <w:ind w:left="1440" w:hanging="720"/>
      </w:pPr>
      <w:r w:rsidRPr="00E13A1E">
        <w:t xml:space="preserve">A proposer submitting a proposal must be prepared to use a standard state contract form rather than its own contract form.  </w:t>
      </w:r>
    </w:p>
    <w:p w:rsidR="0008728D" w:rsidRPr="00E13A1E" w:rsidRDefault="0008728D" w:rsidP="00385E3A">
      <w:pPr>
        <w:autoSpaceDE w:val="0"/>
        <w:autoSpaceDN w:val="0"/>
        <w:adjustRightInd w:val="0"/>
        <w:ind w:left="1620" w:hanging="450"/>
      </w:pPr>
    </w:p>
    <w:p w:rsidR="0008728D" w:rsidRPr="00E13A1E" w:rsidRDefault="0008728D" w:rsidP="00C43656">
      <w:pPr>
        <w:pStyle w:val="Outlinearabic"/>
        <w:widowControl w:val="0"/>
        <w:numPr>
          <w:ilvl w:val="0"/>
          <w:numId w:val="29"/>
        </w:numPr>
        <w:tabs>
          <w:tab w:val="clear" w:pos="1620"/>
          <w:tab w:val="left" w:pos="1440"/>
        </w:tabs>
        <w:ind w:left="1440" w:hanging="720"/>
      </w:pPr>
      <w:r w:rsidRPr="00E13A1E">
        <w:t>Upon award of the agreement, the agreement shall be signed by the proposer(s) in two original contract counterparts and returned, along with the required attachments, to the AOC no later than ten (10) business days of receipt of agreement form</w:t>
      </w:r>
      <w:r w:rsidR="00FE7EBB" w:rsidRPr="00E13A1E">
        <w:t>.  H</w:t>
      </w:r>
      <w:r w:rsidR="00EA5B2D" w:rsidRPr="00E13A1E">
        <w:t>owever,</w:t>
      </w:r>
      <w:r w:rsidRPr="00E13A1E">
        <w:t xml:space="preserve"> </w:t>
      </w:r>
      <w:r w:rsidR="00EA5B2D" w:rsidRPr="00E13A1E">
        <w:t xml:space="preserve">for contracts awarded </w:t>
      </w:r>
      <w:r w:rsidR="00FE7EBB" w:rsidRPr="00E13A1E">
        <w:t>with less than ten (10) business days prior</w:t>
      </w:r>
      <w:r w:rsidR="001F5EBA" w:rsidRPr="00E13A1E">
        <w:t xml:space="preserve"> to</w:t>
      </w:r>
      <w:r w:rsidRPr="00E13A1E">
        <w:t xml:space="preserve"> fiscal year-end</w:t>
      </w:r>
      <w:r w:rsidR="00EA5B2D" w:rsidRPr="00E13A1E">
        <w:t xml:space="preserve"> (June</w:t>
      </w:r>
      <w:r w:rsidR="00FE7EBB" w:rsidRPr="00E13A1E">
        <w:t> </w:t>
      </w:r>
      <w:r w:rsidR="00EA5B2D" w:rsidRPr="00E13A1E">
        <w:t>30th)</w:t>
      </w:r>
      <w:r w:rsidR="001F5EBA" w:rsidRPr="00E13A1E">
        <w:t>,</w:t>
      </w:r>
      <w:r w:rsidR="00EA5B2D" w:rsidRPr="00E13A1E">
        <w:t xml:space="preserve"> and </w:t>
      </w:r>
      <w:r w:rsidR="001F5EBA" w:rsidRPr="00E13A1E">
        <w:t xml:space="preserve">funded </w:t>
      </w:r>
      <w:r w:rsidR="00EA5B2D" w:rsidRPr="00E13A1E">
        <w:t xml:space="preserve">using that fiscal year’s funds, </w:t>
      </w:r>
      <w:r w:rsidR="001F5EBA" w:rsidRPr="00E13A1E">
        <w:t xml:space="preserve">contract counterparts must be </w:t>
      </w:r>
      <w:r w:rsidR="00EA5B2D" w:rsidRPr="00E13A1E">
        <w:t xml:space="preserve">signed </w:t>
      </w:r>
      <w:r w:rsidR="001F5EBA" w:rsidRPr="00E13A1E">
        <w:t>and returned prior to the end of June regardless of how few business days remain before the end of the fiscal year</w:t>
      </w:r>
      <w:r w:rsidRPr="00E13A1E">
        <w:t>.  Agreements are not effective until executed by both parties and approved by the appropriate AOC officials.  Any work performed prior to receipt of a fully executed agreement shall be at proposer(s)’ own risk.</w:t>
      </w:r>
    </w:p>
    <w:p w:rsidR="0008728D" w:rsidRPr="00E13A1E" w:rsidRDefault="0008728D" w:rsidP="00385E3A">
      <w:pPr>
        <w:pStyle w:val="Header"/>
        <w:widowControl w:val="0"/>
        <w:tabs>
          <w:tab w:val="clear" w:pos="4320"/>
          <w:tab w:val="clear" w:pos="8640"/>
          <w:tab w:val="left" w:pos="1440"/>
        </w:tabs>
        <w:ind w:left="1440" w:hanging="720"/>
      </w:pPr>
    </w:p>
    <w:p w:rsidR="0008728D" w:rsidRPr="00E13A1E" w:rsidRDefault="0008728D" w:rsidP="00C43656">
      <w:pPr>
        <w:pStyle w:val="Outlinearabic"/>
        <w:widowControl w:val="0"/>
        <w:numPr>
          <w:ilvl w:val="0"/>
          <w:numId w:val="29"/>
        </w:numPr>
        <w:tabs>
          <w:tab w:val="clear" w:pos="1620"/>
          <w:tab w:val="left" w:pos="1440"/>
        </w:tabs>
        <w:ind w:left="1440" w:hanging="720"/>
      </w:pPr>
      <w:r w:rsidRPr="00E13A1E">
        <w:t xml:space="preserve">The period for execution set forth in </w:t>
      </w:r>
      <w:r w:rsidR="001F5EBA" w:rsidRPr="00E13A1E">
        <w:t>this s</w:t>
      </w:r>
      <w:r w:rsidRPr="00E13A1E">
        <w:t>ection may only be changed by mutual agreement of the parties.  Failure to execute the agreement within the time frame identified above shall be sufficient cause for voiding the award.  Failure to comply with other requirements within the set time shall constitute failure to execute the agreement.  If the successful proposer refuses or fails to execute the agreement, the AOC may award the agreement to the next qualified proposer(s).</w:t>
      </w:r>
    </w:p>
    <w:p w:rsidR="008F058B" w:rsidRPr="00E13A1E" w:rsidRDefault="008F058B" w:rsidP="00385E3A">
      <w:pPr>
        <w:widowControl w:val="0"/>
        <w:ind w:left="1620" w:hanging="450"/>
      </w:pPr>
    </w:p>
    <w:p w:rsidR="0008728D" w:rsidRPr="00E13A1E" w:rsidRDefault="0008728D" w:rsidP="00204BA7">
      <w:pPr>
        <w:pStyle w:val="Outlinearabic"/>
        <w:widowControl w:val="0"/>
        <w:numPr>
          <w:ilvl w:val="0"/>
          <w:numId w:val="26"/>
        </w:numPr>
        <w:ind w:hanging="720"/>
        <w:rPr>
          <w:b/>
          <w:bCs/>
        </w:rPr>
      </w:pPr>
      <w:r w:rsidRPr="00E13A1E">
        <w:rPr>
          <w:b/>
          <w:bCs/>
        </w:rPr>
        <w:t>DECISION</w:t>
      </w:r>
    </w:p>
    <w:p w:rsidR="0008728D" w:rsidRPr="00E13A1E" w:rsidRDefault="0008728D" w:rsidP="00385E3A">
      <w:pPr>
        <w:keepNext/>
      </w:pPr>
    </w:p>
    <w:p w:rsidR="0008728D" w:rsidRPr="00E13A1E" w:rsidRDefault="0008728D" w:rsidP="00C43656">
      <w:pPr>
        <w:pStyle w:val="Outlinearabic"/>
        <w:ind w:left="720" w:firstLine="0"/>
      </w:pPr>
      <w:r w:rsidRPr="00E13A1E">
        <w:t>Questions regarding the AOC’s award of any business on the basis of proposals submitted in response to this solicitation document, or on any related matter, should be addressed to Solicitations Mailbox, set forth on the RFP cover memo.</w:t>
      </w:r>
    </w:p>
    <w:p w:rsidR="0008728D" w:rsidRPr="00E13A1E" w:rsidRDefault="0008728D" w:rsidP="00385E3A">
      <w:pPr>
        <w:pStyle w:val="Outlinearabic"/>
      </w:pPr>
    </w:p>
    <w:p w:rsidR="008F058B" w:rsidRPr="00E13A1E" w:rsidRDefault="008F058B" w:rsidP="00204BA7">
      <w:pPr>
        <w:pStyle w:val="Outlinearabic"/>
        <w:widowControl w:val="0"/>
        <w:numPr>
          <w:ilvl w:val="0"/>
          <w:numId w:val="26"/>
        </w:numPr>
        <w:ind w:hanging="720"/>
        <w:rPr>
          <w:rFonts w:eastAsia="Times New Roman"/>
          <w:b/>
          <w:bCs/>
        </w:rPr>
      </w:pPr>
      <w:r w:rsidRPr="00E13A1E">
        <w:rPr>
          <w:rFonts w:eastAsia="Times New Roman"/>
          <w:b/>
          <w:bCs/>
        </w:rPr>
        <w:t>CONFIDENTIAL OR PROPRIETARY INFORMATION</w:t>
      </w:r>
    </w:p>
    <w:p w:rsidR="008F058B" w:rsidRPr="00E13A1E" w:rsidRDefault="008F058B" w:rsidP="008F058B">
      <w:pPr>
        <w:keepNext/>
        <w:keepLines/>
        <w:ind w:left="720" w:hanging="720"/>
        <w:rPr>
          <w:rFonts w:eastAsia="Times New Roman"/>
        </w:rPr>
      </w:pPr>
    </w:p>
    <w:p w:rsidR="008F058B" w:rsidRPr="00E13A1E" w:rsidRDefault="008F058B" w:rsidP="00107B8B">
      <w:pPr>
        <w:pStyle w:val="Outlinearabic"/>
        <w:widowControl w:val="0"/>
        <w:numPr>
          <w:ilvl w:val="0"/>
          <w:numId w:val="30"/>
        </w:numPr>
        <w:tabs>
          <w:tab w:val="clear" w:pos="1620"/>
          <w:tab w:val="num" w:pos="1440"/>
        </w:tabs>
        <w:ind w:left="1440" w:hanging="720"/>
        <w:rPr>
          <w:rFonts w:eastAsia="Calibri"/>
          <w:lang w:bidi="en-US"/>
        </w:rPr>
      </w:pPr>
      <w:r w:rsidRPr="00E13A1E">
        <w:rPr>
          <w:rFonts w:eastAsia="Calibri"/>
          <w:lang w:bidi="en-US"/>
        </w:rPr>
        <w:t>The Administrative Office of the Courts is bound by California Rule of Court 10.500 (</w:t>
      </w:r>
      <w:r w:rsidRPr="00E13A1E">
        <w:rPr>
          <w:rFonts w:eastAsia="Calibri"/>
          <w:i/>
          <w:lang w:bidi="en-US"/>
        </w:rPr>
        <w:t xml:space="preserve">see: </w:t>
      </w:r>
      <w:r w:rsidR="00BF29B9" w:rsidRPr="00E13A1E">
        <w:rPr>
          <w:rFonts w:eastAsia="Calibri"/>
          <w:i/>
          <w:lang w:bidi="en-US"/>
        </w:rPr>
        <w:t>http://www.courts.ca.gov/xbcr/cc/ammend-jan2010-2.pdf</w:t>
      </w:r>
      <w:r w:rsidRPr="00E13A1E">
        <w:rPr>
          <w:rFonts w:eastAsia="Calibri"/>
          <w:lang w:bidi="en-US"/>
        </w:rPr>
        <w:t>) as to disclosure of its administrative records.  If the information submitted contains material noted or marked as confidential and/or proprietary that, in the AOC’s sole opinion, meets the disclosure exemption requirements of Rule 10.500, then that information will not be disclosed pursuant to a request for public documents.</w:t>
      </w:r>
    </w:p>
    <w:p w:rsidR="008F058B" w:rsidRPr="00E13A1E" w:rsidRDefault="008F058B" w:rsidP="008F058B">
      <w:pPr>
        <w:ind w:left="720"/>
        <w:rPr>
          <w:rFonts w:eastAsia="Calibri"/>
          <w:lang w:bidi="en-US"/>
        </w:rPr>
      </w:pPr>
    </w:p>
    <w:p w:rsidR="008F058B" w:rsidRPr="00E13A1E" w:rsidRDefault="008F058B" w:rsidP="00107B8B">
      <w:pPr>
        <w:pStyle w:val="Outlinearabic"/>
        <w:widowControl w:val="0"/>
        <w:numPr>
          <w:ilvl w:val="0"/>
          <w:numId w:val="30"/>
        </w:numPr>
        <w:tabs>
          <w:tab w:val="clear" w:pos="1620"/>
          <w:tab w:val="num" w:pos="1440"/>
        </w:tabs>
        <w:ind w:left="1440" w:hanging="720"/>
        <w:rPr>
          <w:rFonts w:eastAsia="Calibri"/>
          <w:lang w:bidi="en-US"/>
        </w:rPr>
      </w:pPr>
      <w:r w:rsidRPr="00E13A1E">
        <w:rPr>
          <w:rFonts w:eastAsia="Calibri"/>
          <w:lang w:bidi="en-US"/>
        </w:rPr>
        <w:t xml:space="preserve">If the AOC does not consider such material to be exempt from disclosure under Rule 10.500, </w:t>
      </w:r>
      <w:r w:rsidRPr="00E13A1E">
        <w:rPr>
          <w:rFonts w:eastAsia="Calibri"/>
          <w:lang w:bidi="en-US"/>
        </w:rPr>
        <w:lastRenderedPageBreak/>
        <w:t>the material may be made available to the public, regardless of the notation or markings.  If the proposer is unsure if its confidential and/or proprietary material meets the disclosure exemption requirements of Rule 10.500, then it should not include such information in its proposal.</w:t>
      </w:r>
    </w:p>
    <w:p w:rsidR="008F058B" w:rsidRPr="00E13A1E" w:rsidRDefault="008F058B" w:rsidP="008F058B">
      <w:pPr>
        <w:rPr>
          <w:rFonts w:eastAsia="Times New Roman"/>
        </w:rPr>
      </w:pPr>
    </w:p>
    <w:p w:rsidR="008F058B" w:rsidRPr="00E13A1E" w:rsidRDefault="008F058B" w:rsidP="00107B8B">
      <w:pPr>
        <w:pStyle w:val="Outlinearabic"/>
        <w:keepNext/>
        <w:keepLines/>
        <w:widowControl w:val="0"/>
        <w:numPr>
          <w:ilvl w:val="0"/>
          <w:numId w:val="26"/>
        </w:numPr>
        <w:ind w:hanging="720"/>
        <w:rPr>
          <w:b/>
        </w:rPr>
      </w:pPr>
      <w:r w:rsidRPr="00E13A1E">
        <w:rPr>
          <w:b/>
        </w:rPr>
        <w:t>DISPOSITION OF MATERIALS</w:t>
      </w:r>
    </w:p>
    <w:p w:rsidR="008F058B" w:rsidRPr="00E13A1E" w:rsidRDefault="008F058B" w:rsidP="00107B8B">
      <w:pPr>
        <w:keepNext/>
        <w:keepLines/>
      </w:pPr>
    </w:p>
    <w:p w:rsidR="008F058B" w:rsidRPr="00E13A1E" w:rsidRDefault="008F058B" w:rsidP="00107B8B">
      <w:pPr>
        <w:pStyle w:val="Outlinearabic"/>
        <w:keepNext/>
        <w:keepLines/>
        <w:ind w:left="720" w:firstLine="0"/>
      </w:pPr>
      <w:r w:rsidRPr="00E13A1E">
        <w:t xml:space="preserve">All materials submitted in response to this solicitation document will become the property of the State of California and will be returned only at the AOC’s </w:t>
      </w:r>
      <w:r w:rsidR="001F5EBA" w:rsidRPr="00E13A1E">
        <w:t>concurrence</w:t>
      </w:r>
      <w:r w:rsidRPr="00E13A1E">
        <w:t xml:space="preserve"> and at the expense of the proposer submitting the proposal.  One copy of a submitted proposal will be retained for official files and become</w:t>
      </w:r>
      <w:r w:rsidR="00621994" w:rsidRPr="00E13A1E">
        <w:t>s</w:t>
      </w:r>
      <w:r w:rsidRPr="00E13A1E">
        <w:t xml:space="preserve"> a public record</w:t>
      </w:r>
      <w:r w:rsidR="001F5EBA" w:rsidRPr="00E13A1E">
        <w:t>.</w:t>
      </w:r>
    </w:p>
    <w:p w:rsidR="0008728D" w:rsidRPr="00E13A1E" w:rsidRDefault="0008728D" w:rsidP="00107B8B">
      <w:pPr>
        <w:pStyle w:val="Heading10"/>
        <w:keepLines/>
        <w:jc w:val="left"/>
        <w:rPr>
          <w:b w:val="0"/>
        </w:rPr>
      </w:pPr>
    </w:p>
    <w:p w:rsidR="00204BA7" w:rsidRPr="00E13A1E" w:rsidRDefault="00204BA7" w:rsidP="00204BA7">
      <w:pPr>
        <w:pStyle w:val="Outlinearabic"/>
        <w:widowControl w:val="0"/>
        <w:numPr>
          <w:ilvl w:val="0"/>
          <w:numId w:val="26"/>
        </w:numPr>
        <w:ind w:hanging="720"/>
        <w:rPr>
          <w:b/>
        </w:rPr>
      </w:pPr>
      <w:r w:rsidRPr="00E13A1E">
        <w:rPr>
          <w:b/>
          <w:bCs/>
        </w:rPr>
        <w:t>NEWS RELEASES</w:t>
      </w:r>
    </w:p>
    <w:p w:rsidR="00204BA7" w:rsidRPr="00E13A1E" w:rsidRDefault="00204BA7" w:rsidP="00204BA7">
      <w:pPr>
        <w:keepNext/>
      </w:pPr>
    </w:p>
    <w:p w:rsidR="00204BA7" w:rsidRPr="00E13A1E" w:rsidRDefault="00204BA7" w:rsidP="00107B8B">
      <w:pPr>
        <w:pStyle w:val="Outlinearabic"/>
        <w:ind w:left="720" w:firstLine="0"/>
        <w:rPr>
          <w:b/>
        </w:rPr>
      </w:pPr>
      <w:r w:rsidRPr="00E13A1E">
        <w:t>News releases pertaining to the award of a contract may not be made without prior written approval of the AOC’s Business Services Manager.</w:t>
      </w:r>
    </w:p>
    <w:p w:rsidR="00204BA7" w:rsidRPr="00E13A1E" w:rsidRDefault="00204BA7" w:rsidP="00204BA7">
      <w:pPr>
        <w:pStyle w:val="Heading2"/>
        <w:spacing w:before="0" w:after="0"/>
        <w:ind w:left="720" w:hanging="720"/>
        <w:rPr>
          <w:rFonts w:ascii="Times New Roman" w:hAnsi="Times New Roman" w:cs="Times New Roman"/>
          <w:b w:val="0"/>
          <w:i w:val="0"/>
          <w:sz w:val="24"/>
          <w:szCs w:val="24"/>
        </w:rPr>
      </w:pPr>
    </w:p>
    <w:p w:rsidR="00392F1C" w:rsidRPr="00E13A1E" w:rsidRDefault="00392F1C" w:rsidP="00385E3A">
      <w:pPr>
        <w:pStyle w:val="Heading10"/>
        <w:keepNext w:val="0"/>
        <w:jc w:val="left"/>
        <w:rPr>
          <w:b w:val="0"/>
        </w:rPr>
      </w:pPr>
    </w:p>
    <w:p w:rsidR="0008728D" w:rsidRPr="00E13A1E" w:rsidRDefault="0008728D" w:rsidP="00385E3A">
      <w:pPr>
        <w:pStyle w:val="Heading10"/>
        <w:keepNext w:val="0"/>
        <w:rPr>
          <w:b w:val="0"/>
          <w:i/>
        </w:rPr>
      </w:pPr>
      <w:r w:rsidRPr="00E13A1E">
        <w:rPr>
          <w:b w:val="0"/>
          <w:i/>
        </w:rPr>
        <w:t xml:space="preserve">END OF </w:t>
      </w:r>
      <w:r w:rsidR="001F5EBA" w:rsidRPr="00E13A1E">
        <w:rPr>
          <w:b w:val="0"/>
          <w:i/>
        </w:rPr>
        <w:t xml:space="preserve">RFP </w:t>
      </w:r>
      <w:r w:rsidRPr="00E13A1E">
        <w:rPr>
          <w:b w:val="0"/>
          <w:i/>
        </w:rPr>
        <w:t>ATTACHMENT</w:t>
      </w:r>
      <w:r w:rsidR="00621994" w:rsidRPr="00E13A1E">
        <w:rPr>
          <w:b w:val="0"/>
          <w:i/>
        </w:rPr>
        <w:t xml:space="preserve"> A</w:t>
      </w:r>
    </w:p>
    <w:sectPr w:rsidR="0008728D" w:rsidRPr="00E13A1E" w:rsidSect="007551E2">
      <w:headerReference w:type="default" r:id="rId14"/>
      <w:footerReference w:type="default" r:id="rId15"/>
      <w:pgSz w:w="12240" w:h="15840" w:code="1"/>
      <w:pgMar w:top="720" w:right="1008" w:bottom="864" w:left="86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D1F" w:rsidRDefault="004D0D1F">
      <w:r>
        <w:separator/>
      </w:r>
    </w:p>
  </w:endnote>
  <w:endnote w:type="continuationSeparator" w:id="0">
    <w:p w:rsidR="004D0D1F" w:rsidRDefault="004D0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7A" w:rsidRDefault="00EB4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B9" w:rsidRPr="007551E2" w:rsidRDefault="00BF29B9" w:rsidP="007B7361">
    <w:pPr>
      <w:pStyle w:val="Footer"/>
      <w:tabs>
        <w:tab w:val="clear" w:pos="8640"/>
        <w:tab w:val="right" w:pos="10350"/>
      </w:tabs>
      <w:rPr>
        <w:i/>
        <w:snapToGrid w:val="0"/>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7A" w:rsidRDefault="00EB48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B9" w:rsidRPr="007551E2" w:rsidRDefault="00BF29B9" w:rsidP="007B7361">
    <w:pPr>
      <w:pStyle w:val="Footer"/>
      <w:tabs>
        <w:tab w:val="clear" w:pos="8640"/>
        <w:tab w:val="right" w:pos="10350"/>
      </w:tabs>
      <w:rPr>
        <w:i/>
        <w:snapToGrid w:val="0"/>
        <w:sz w:val="24"/>
      </w:rPr>
    </w:pPr>
  </w:p>
  <w:p w:rsidR="00BF29B9" w:rsidRPr="007551E2" w:rsidRDefault="00BF29B9" w:rsidP="007551E2">
    <w:pPr>
      <w:pStyle w:val="Header"/>
      <w:tabs>
        <w:tab w:val="clear" w:pos="8640"/>
        <w:tab w:val="right" w:pos="10350"/>
      </w:tabs>
      <w:spacing w:before="60"/>
      <w:jc w:val="right"/>
      <w:rPr>
        <w:snapToGrid w:val="0"/>
      </w:rPr>
    </w:pPr>
    <w:r w:rsidRPr="007551E2">
      <w:t>Page</w:t>
    </w:r>
    <w:r>
      <w:t xml:space="preserve"> A -</w:t>
    </w:r>
    <w:r w:rsidRPr="007551E2">
      <w:t xml:space="preserve"> </w:t>
    </w:r>
    <w:r w:rsidR="003A65D5">
      <w:fldChar w:fldCharType="begin"/>
    </w:r>
    <w:r w:rsidR="00FF328A">
      <w:instrText xml:space="preserve"> PAGE </w:instrText>
    </w:r>
    <w:r w:rsidR="003A65D5">
      <w:fldChar w:fldCharType="separate"/>
    </w:r>
    <w:r w:rsidR="00D22D9D">
      <w:rPr>
        <w:noProof/>
      </w:rPr>
      <w:t>10</w:t>
    </w:r>
    <w:r w:rsidR="003A65D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D1F" w:rsidRDefault="004D0D1F">
      <w:r>
        <w:separator/>
      </w:r>
    </w:p>
  </w:footnote>
  <w:footnote w:type="continuationSeparator" w:id="0">
    <w:p w:rsidR="004D0D1F" w:rsidRDefault="004D0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7A" w:rsidRDefault="00EB48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B9" w:rsidRDefault="00BF29B9" w:rsidP="00992119">
    <w:pPr>
      <w:pStyle w:val="Header"/>
    </w:pPr>
    <w:r>
      <w:t>Project Title:  JBWCP Insurance Brokerage and Consulting Services</w:t>
    </w:r>
  </w:p>
  <w:p w:rsidR="00BF29B9" w:rsidRDefault="00BF29B9" w:rsidP="00992119">
    <w:pPr>
      <w:pStyle w:val="Header"/>
    </w:pPr>
    <w:r>
      <w:t xml:space="preserve">RFP Number:  </w:t>
    </w:r>
    <w:r w:rsidR="003F5B6B">
      <w:rPr>
        <w:b/>
      </w:rPr>
      <w:t>HR-201101-RB</w:t>
    </w:r>
  </w:p>
  <w:p w:rsidR="00BF29B9" w:rsidRDefault="00BF29B9" w:rsidP="00992119">
    <w:pPr>
      <w:pStyle w:val="Header"/>
      <w:rPr>
        <w:sz w:val="40"/>
        <w:szCs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7A" w:rsidRDefault="00EB48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B9" w:rsidRDefault="00BF29B9" w:rsidP="00992119">
    <w:pPr>
      <w:pStyle w:val="Header"/>
    </w:pPr>
    <w:r>
      <w:t>Project Title:  JBWCP Insurance Brokerage and Consulting Services</w:t>
    </w:r>
  </w:p>
  <w:p w:rsidR="00BF29B9" w:rsidRDefault="00BF29B9" w:rsidP="00992119">
    <w:pPr>
      <w:pStyle w:val="Header"/>
    </w:pPr>
    <w:r>
      <w:t xml:space="preserve">RFP Number:  </w:t>
    </w:r>
    <w:r w:rsidR="003F5B6B">
      <w:rPr>
        <w:b/>
      </w:rPr>
      <w:t>HR-201101-RB</w:t>
    </w:r>
  </w:p>
  <w:p w:rsidR="00BF29B9" w:rsidRDefault="00BF29B9" w:rsidP="00992119">
    <w:pPr>
      <w:pStyle w:val="Header"/>
      <w:rPr>
        <w:sz w:val="40"/>
        <w:szCs w:val="40"/>
      </w:rPr>
    </w:pPr>
  </w:p>
  <w:p w:rsidR="00BF29B9" w:rsidRPr="00BD6666" w:rsidRDefault="00BF29B9" w:rsidP="00542102">
    <w:pPr>
      <w:pStyle w:val="Header"/>
      <w:jc w:val="center"/>
      <w:rPr>
        <w:b/>
      </w:rPr>
    </w:pPr>
    <w:r w:rsidRPr="00BD6666">
      <w:rPr>
        <w:b/>
      </w:rPr>
      <w:t xml:space="preserve">ATTACHMENT </w:t>
    </w:r>
    <w:r>
      <w:rPr>
        <w:b/>
      </w:rPr>
      <w:t>A</w:t>
    </w:r>
  </w:p>
  <w:p w:rsidR="00BF29B9" w:rsidRPr="00BD6666" w:rsidRDefault="00BF29B9" w:rsidP="00542102">
    <w:pPr>
      <w:pStyle w:val="Header"/>
      <w:jc w:val="center"/>
      <w:rPr>
        <w:b/>
        <w:caps/>
      </w:rPr>
    </w:pPr>
    <w:r w:rsidRPr="00BD6666">
      <w:rPr>
        <w:b/>
        <w:caps/>
      </w:rPr>
      <w:t>Administrative Rules Governing Requests for Proposals</w:t>
    </w:r>
  </w:p>
  <w:p w:rsidR="00BF29B9" w:rsidRPr="007551E2" w:rsidRDefault="00BF29B9" w:rsidP="00E62549">
    <w:pPr>
      <w:pStyle w:val="Header"/>
      <w:rPr>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721769F"/>
    <w:multiLevelType w:val="hybridMultilevel"/>
    <w:tmpl w:val="041ABBD0"/>
    <w:lvl w:ilvl="0" w:tplc="36720848">
      <w:start w:val="1"/>
      <w:numFmt w:val="decimal"/>
      <w:lvlText w:val="%1."/>
      <w:lvlJc w:val="left"/>
      <w:pPr>
        <w:ind w:left="261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15E4766"/>
    <w:multiLevelType w:val="hybridMultilevel"/>
    <w:tmpl w:val="23002A9A"/>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CA300E4E">
      <w:start w:val="1"/>
      <w:numFmt w:val="lowerRoman"/>
      <w:lvlText w:val="%3."/>
      <w:lvlJc w:val="left"/>
      <w:pPr>
        <w:tabs>
          <w:tab w:val="num" w:pos="2970"/>
        </w:tabs>
        <w:ind w:left="2970" w:hanging="180"/>
      </w:pPr>
      <w:rPr>
        <w:rFonts w:hint="default"/>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8">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4213D5C"/>
    <w:multiLevelType w:val="hybridMultilevel"/>
    <w:tmpl w:val="9502D266"/>
    <w:lvl w:ilvl="0" w:tplc="80FEF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15208"/>
    <w:multiLevelType w:val="multilevel"/>
    <w:tmpl w:val="88209B8E"/>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11">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2">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3">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4">
    <w:nsid w:val="4A375175"/>
    <w:multiLevelType w:val="hybridMultilevel"/>
    <w:tmpl w:val="C5CA5350"/>
    <w:lvl w:ilvl="0" w:tplc="E42AE2E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3040D"/>
    <w:multiLevelType w:val="hybridMultilevel"/>
    <w:tmpl w:val="48C2889A"/>
    <w:lvl w:ilvl="0" w:tplc="36720848">
      <w:start w:val="1"/>
      <w:numFmt w:val="decimal"/>
      <w:lvlText w:val="%1."/>
      <w:lvlJc w:val="left"/>
      <w:pPr>
        <w:ind w:left="270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7">
    <w:nsid w:val="4B27498D"/>
    <w:multiLevelType w:val="hybridMultilevel"/>
    <w:tmpl w:val="45A4FFDC"/>
    <w:lvl w:ilvl="0" w:tplc="FA427F5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58644D5A"/>
    <w:multiLevelType w:val="hybridMultilevel"/>
    <w:tmpl w:val="EAB83164"/>
    <w:lvl w:ilvl="0" w:tplc="A3384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5E385BE7"/>
    <w:multiLevelType w:val="hybridMultilevel"/>
    <w:tmpl w:val="23002A9A"/>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CA300E4E">
      <w:start w:val="1"/>
      <w:numFmt w:val="lowerRoman"/>
      <w:lvlText w:val="%3."/>
      <w:lvlJc w:val="left"/>
      <w:pPr>
        <w:tabs>
          <w:tab w:val="num" w:pos="2970"/>
        </w:tabs>
        <w:ind w:left="2970" w:hanging="180"/>
      </w:pPr>
      <w:rPr>
        <w:rFonts w:hint="default"/>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22">
    <w:nsid w:val="5EA82002"/>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5EE260B9"/>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6D911A2F"/>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6DEE05DC"/>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7">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8">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29">
    <w:nsid w:val="779849A7"/>
    <w:multiLevelType w:val="hybridMultilevel"/>
    <w:tmpl w:val="23002A9A"/>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CA300E4E">
      <w:start w:val="1"/>
      <w:numFmt w:val="lowerRoman"/>
      <w:lvlText w:val="%3."/>
      <w:lvlJc w:val="left"/>
      <w:pPr>
        <w:tabs>
          <w:tab w:val="num" w:pos="2970"/>
        </w:tabs>
        <w:ind w:left="2970" w:hanging="180"/>
      </w:pPr>
      <w:rPr>
        <w:rFonts w:hint="default"/>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num w:numId="1">
    <w:abstractNumId w:val="20"/>
  </w:num>
  <w:num w:numId="2">
    <w:abstractNumId w:val="1"/>
  </w:num>
  <w:num w:numId="3">
    <w:abstractNumId w:val="3"/>
  </w:num>
  <w:num w:numId="4">
    <w:abstractNumId w:val="2"/>
  </w:num>
  <w:num w:numId="5">
    <w:abstractNumId w:val="26"/>
  </w:num>
  <w:num w:numId="6">
    <w:abstractNumId w:val="7"/>
  </w:num>
  <w:num w:numId="7">
    <w:abstractNumId w:val="4"/>
  </w:num>
  <w:num w:numId="8">
    <w:abstractNumId w:val="18"/>
  </w:num>
  <w:num w:numId="9">
    <w:abstractNumId w:val="6"/>
  </w:num>
  <w:num w:numId="10">
    <w:abstractNumId w:val="27"/>
  </w:num>
  <w:num w:numId="11">
    <w:abstractNumId w:val="16"/>
  </w:num>
  <w:num w:numId="12">
    <w:abstractNumId w:val="12"/>
  </w:num>
  <w:num w:numId="13">
    <w:abstractNumId w:val="28"/>
  </w:num>
  <w:num w:numId="14">
    <w:abstractNumId w:val="0"/>
  </w:num>
  <w:num w:numId="15">
    <w:abstractNumId w:val="11"/>
  </w:num>
  <w:num w:numId="16">
    <w:abstractNumId w:val="13"/>
  </w:num>
  <w:num w:numId="17">
    <w:abstractNumId w:val="8"/>
  </w:num>
  <w:num w:numId="18">
    <w:abstractNumId w:val="10"/>
  </w:num>
  <w:num w:numId="19">
    <w:abstractNumId w:val="17"/>
  </w:num>
  <w:num w:numId="20">
    <w:abstractNumId w:val="24"/>
  </w:num>
  <w:num w:numId="21">
    <w:abstractNumId w:val="22"/>
  </w:num>
  <w:num w:numId="22">
    <w:abstractNumId w:val="15"/>
  </w:num>
  <w:num w:numId="23">
    <w:abstractNumId w:val="5"/>
  </w:num>
  <w:num w:numId="24">
    <w:abstractNumId w:val="9"/>
  </w:num>
  <w:num w:numId="25">
    <w:abstractNumId w:val="19"/>
  </w:num>
  <w:num w:numId="26">
    <w:abstractNumId w:val="14"/>
  </w:num>
  <w:num w:numId="27">
    <w:abstractNumId w:val="25"/>
  </w:num>
  <w:num w:numId="28">
    <w:abstractNumId w:val="23"/>
  </w:num>
  <w:num w:numId="29">
    <w:abstractNumId w:val="29"/>
  </w:num>
  <w:num w:numId="30">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stylePaneFormatFilter w:val="3F01"/>
  <w:documentProtection w:edit="readOnly" w:enforcement="1" w:cryptProviderType="rsaFull" w:cryptAlgorithmClass="hash" w:cryptAlgorithmType="typeAny" w:cryptAlgorithmSid="4" w:cryptSpinCount="50000" w:hash="hXyprlW74Y0CNanldoQF9jk93/E=" w:salt="6awYvi+FI7gHUGBIUTDfDg=="/>
  <w:defaultTabStop w:val="720"/>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rsids>
    <w:rsidRoot w:val="00EE6163"/>
    <w:rsid w:val="000011BF"/>
    <w:rsid w:val="0000297C"/>
    <w:rsid w:val="00004270"/>
    <w:rsid w:val="000070AC"/>
    <w:rsid w:val="00011D14"/>
    <w:rsid w:val="00016BE6"/>
    <w:rsid w:val="00023174"/>
    <w:rsid w:val="00023DC2"/>
    <w:rsid w:val="0002436C"/>
    <w:rsid w:val="0002539E"/>
    <w:rsid w:val="000274C6"/>
    <w:rsid w:val="000355DD"/>
    <w:rsid w:val="00036104"/>
    <w:rsid w:val="00037958"/>
    <w:rsid w:val="0004534D"/>
    <w:rsid w:val="00061049"/>
    <w:rsid w:val="000709D3"/>
    <w:rsid w:val="000762C7"/>
    <w:rsid w:val="00081E30"/>
    <w:rsid w:val="0008728D"/>
    <w:rsid w:val="00090759"/>
    <w:rsid w:val="00092062"/>
    <w:rsid w:val="00094CF0"/>
    <w:rsid w:val="00095539"/>
    <w:rsid w:val="000A06FF"/>
    <w:rsid w:val="000A108D"/>
    <w:rsid w:val="000A3A8A"/>
    <w:rsid w:val="000B4D88"/>
    <w:rsid w:val="000B6860"/>
    <w:rsid w:val="000B71DB"/>
    <w:rsid w:val="000C0E47"/>
    <w:rsid w:val="000C1FDF"/>
    <w:rsid w:val="000C2E30"/>
    <w:rsid w:val="000C44C1"/>
    <w:rsid w:val="000C65F6"/>
    <w:rsid w:val="000C7CE2"/>
    <w:rsid w:val="000D5691"/>
    <w:rsid w:val="000D656C"/>
    <w:rsid w:val="000E5B84"/>
    <w:rsid w:val="000E6EFF"/>
    <w:rsid w:val="001025EE"/>
    <w:rsid w:val="001040F1"/>
    <w:rsid w:val="001056A7"/>
    <w:rsid w:val="00106A92"/>
    <w:rsid w:val="00107B8B"/>
    <w:rsid w:val="00112637"/>
    <w:rsid w:val="001211BE"/>
    <w:rsid w:val="0013118E"/>
    <w:rsid w:val="00131BC9"/>
    <w:rsid w:val="00131BE9"/>
    <w:rsid w:val="00136799"/>
    <w:rsid w:val="0014266A"/>
    <w:rsid w:val="00154419"/>
    <w:rsid w:val="00154C60"/>
    <w:rsid w:val="001553BE"/>
    <w:rsid w:val="001562F0"/>
    <w:rsid w:val="00156AE1"/>
    <w:rsid w:val="00160918"/>
    <w:rsid w:val="0016698A"/>
    <w:rsid w:val="00173CFB"/>
    <w:rsid w:val="00180774"/>
    <w:rsid w:val="001877FC"/>
    <w:rsid w:val="001921BA"/>
    <w:rsid w:val="0019454D"/>
    <w:rsid w:val="001958EB"/>
    <w:rsid w:val="001A392C"/>
    <w:rsid w:val="001A4EE4"/>
    <w:rsid w:val="001B2D35"/>
    <w:rsid w:val="001B613A"/>
    <w:rsid w:val="001C13E4"/>
    <w:rsid w:val="001D56F2"/>
    <w:rsid w:val="001D5862"/>
    <w:rsid w:val="001D5D4C"/>
    <w:rsid w:val="001F22FD"/>
    <w:rsid w:val="001F3404"/>
    <w:rsid w:val="001F4425"/>
    <w:rsid w:val="001F5EBA"/>
    <w:rsid w:val="001F62DD"/>
    <w:rsid w:val="002020AB"/>
    <w:rsid w:val="0020495E"/>
    <w:rsid w:val="00204BA7"/>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5DF6"/>
    <w:rsid w:val="0027305B"/>
    <w:rsid w:val="002744E3"/>
    <w:rsid w:val="00274BFD"/>
    <w:rsid w:val="00277248"/>
    <w:rsid w:val="002831BA"/>
    <w:rsid w:val="00294723"/>
    <w:rsid w:val="00297FDE"/>
    <w:rsid w:val="002A2D7B"/>
    <w:rsid w:val="002A5CA1"/>
    <w:rsid w:val="002B2581"/>
    <w:rsid w:val="002B2AB1"/>
    <w:rsid w:val="002B4664"/>
    <w:rsid w:val="002C0486"/>
    <w:rsid w:val="002C14CF"/>
    <w:rsid w:val="002C1E1B"/>
    <w:rsid w:val="002C1EFF"/>
    <w:rsid w:val="002C4146"/>
    <w:rsid w:val="002C4572"/>
    <w:rsid w:val="002D38A5"/>
    <w:rsid w:val="002E7457"/>
    <w:rsid w:val="002F021A"/>
    <w:rsid w:val="002F0BF9"/>
    <w:rsid w:val="002F1CCB"/>
    <w:rsid w:val="002F2404"/>
    <w:rsid w:val="002F2BB1"/>
    <w:rsid w:val="002F7163"/>
    <w:rsid w:val="003057F5"/>
    <w:rsid w:val="00306ECF"/>
    <w:rsid w:val="00310BD1"/>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85E3A"/>
    <w:rsid w:val="00392F1C"/>
    <w:rsid w:val="00393478"/>
    <w:rsid w:val="003A13E2"/>
    <w:rsid w:val="003A2697"/>
    <w:rsid w:val="003A65D5"/>
    <w:rsid w:val="003B7ABC"/>
    <w:rsid w:val="003B7D87"/>
    <w:rsid w:val="003C10A6"/>
    <w:rsid w:val="003C13AF"/>
    <w:rsid w:val="003C191C"/>
    <w:rsid w:val="003C4DE5"/>
    <w:rsid w:val="003D15F5"/>
    <w:rsid w:val="003D30AD"/>
    <w:rsid w:val="003D7799"/>
    <w:rsid w:val="003E14CA"/>
    <w:rsid w:val="003E3C20"/>
    <w:rsid w:val="003E4CC2"/>
    <w:rsid w:val="003E5106"/>
    <w:rsid w:val="003E6758"/>
    <w:rsid w:val="003F5953"/>
    <w:rsid w:val="003F5B6B"/>
    <w:rsid w:val="003F6962"/>
    <w:rsid w:val="003F736F"/>
    <w:rsid w:val="00407D2E"/>
    <w:rsid w:val="00410B63"/>
    <w:rsid w:val="00415995"/>
    <w:rsid w:val="004170D8"/>
    <w:rsid w:val="00423FB7"/>
    <w:rsid w:val="00437CCF"/>
    <w:rsid w:val="0044252D"/>
    <w:rsid w:val="004460F4"/>
    <w:rsid w:val="00452336"/>
    <w:rsid w:val="00454017"/>
    <w:rsid w:val="0045747A"/>
    <w:rsid w:val="00464FA3"/>
    <w:rsid w:val="00476743"/>
    <w:rsid w:val="0048546C"/>
    <w:rsid w:val="00485606"/>
    <w:rsid w:val="00492B51"/>
    <w:rsid w:val="004A003C"/>
    <w:rsid w:val="004A4A91"/>
    <w:rsid w:val="004A6900"/>
    <w:rsid w:val="004B16BA"/>
    <w:rsid w:val="004B33C8"/>
    <w:rsid w:val="004B38D1"/>
    <w:rsid w:val="004B3C6E"/>
    <w:rsid w:val="004B6679"/>
    <w:rsid w:val="004B71B2"/>
    <w:rsid w:val="004D0D1F"/>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21F10"/>
    <w:rsid w:val="005315FA"/>
    <w:rsid w:val="00535CB7"/>
    <w:rsid w:val="005415D9"/>
    <w:rsid w:val="00542102"/>
    <w:rsid w:val="00552ACA"/>
    <w:rsid w:val="00552DEB"/>
    <w:rsid w:val="00552ED5"/>
    <w:rsid w:val="005538C5"/>
    <w:rsid w:val="00555150"/>
    <w:rsid w:val="00565BA8"/>
    <w:rsid w:val="005664B2"/>
    <w:rsid w:val="005722F7"/>
    <w:rsid w:val="00581172"/>
    <w:rsid w:val="00582AFD"/>
    <w:rsid w:val="00587697"/>
    <w:rsid w:val="005914F5"/>
    <w:rsid w:val="0059184B"/>
    <w:rsid w:val="00591B80"/>
    <w:rsid w:val="00593C88"/>
    <w:rsid w:val="005946C6"/>
    <w:rsid w:val="005A4B5C"/>
    <w:rsid w:val="005A5A3D"/>
    <w:rsid w:val="005A65E3"/>
    <w:rsid w:val="005A77E6"/>
    <w:rsid w:val="005B0888"/>
    <w:rsid w:val="005B4079"/>
    <w:rsid w:val="005B7484"/>
    <w:rsid w:val="005B759C"/>
    <w:rsid w:val="005C34EB"/>
    <w:rsid w:val="005C5152"/>
    <w:rsid w:val="005D192B"/>
    <w:rsid w:val="005E3D31"/>
    <w:rsid w:val="005E5379"/>
    <w:rsid w:val="005E5958"/>
    <w:rsid w:val="005E6787"/>
    <w:rsid w:val="005E7CA5"/>
    <w:rsid w:val="005F51EF"/>
    <w:rsid w:val="00600FC6"/>
    <w:rsid w:val="00604A9C"/>
    <w:rsid w:val="00605A37"/>
    <w:rsid w:val="00607B5B"/>
    <w:rsid w:val="006104BF"/>
    <w:rsid w:val="00611461"/>
    <w:rsid w:val="00621994"/>
    <w:rsid w:val="006226D7"/>
    <w:rsid w:val="00623346"/>
    <w:rsid w:val="00626180"/>
    <w:rsid w:val="006271DF"/>
    <w:rsid w:val="0063192F"/>
    <w:rsid w:val="00634DF3"/>
    <w:rsid w:val="00644637"/>
    <w:rsid w:val="00645CE8"/>
    <w:rsid w:val="006559F7"/>
    <w:rsid w:val="00657B77"/>
    <w:rsid w:val="006609BE"/>
    <w:rsid w:val="006665B1"/>
    <w:rsid w:val="0067171C"/>
    <w:rsid w:val="00672584"/>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3C5E"/>
    <w:rsid w:val="007140E9"/>
    <w:rsid w:val="007243E5"/>
    <w:rsid w:val="00725709"/>
    <w:rsid w:val="007352E3"/>
    <w:rsid w:val="00741D78"/>
    <w:rsid w:val="00742EA5"/>
    <w:rsid w:val="007447CB"/>
    <w:rsid w:val="00752CCC"/>
    <w:rsid w:val="007551E2"/>
    <w:rsid w:val="0075678B"/>
    <w:rsid w:val="00762FCB"/>
    <w:rsid w:val="007652AA"/>
    <w:rsid w:val="007669F5"/>
    <w:rsid w:val="00770839"/>
    <w:rsid w:val="00773EEE"/>
    <w:rsid w:val="0078070A"/>
    <w:rsid w:val="0078186F"/>
    <w:rsid w:val="00784811"/>
    <w:rsid w:val="007976DA"/>
    <w:rsid w:val="007A07AA"/>
    <w:rsid w:val="007A6631"/>
    <w:rsid w:val="007B1EB9"/>
    <w:rsid w:val="007B20A7"/>
    <w:rsid w:val="007B33C9"/>
    <w:rsid w:val="007B349D"/>
    <w:rsid w:val="007B4347"/>
    <w:rsid w:val="007B6C1B"/>
    <w:rsid w:val="007B7361"/>
    <w:rsid w:val="007B7E84"/>
    <w:rsid w:val="007C6A1E"/>
    <w:rsid w:val="007C7846"/>
    <w:rsid w:val="007E0AB5"/>
    <w:rsid w:val="007E1DC6"/>
    <w:rsid w:val="007E320F"/>
    <w:rsid w:val="007F3913"/>
    <w:rsid w:val="007F52DF"/>
    <w:rsid w:val="00801347"/>
    <w:rsid w:val="0080413B"/>
    <w:rsid w:val="00804AC9"/>
    <w:rsid w:val="00814B89"/>
    <w:rsid w:val="00817BF2"/>
    <w:rsid w:val="008310B5"/>
    <w:rsid w:val="00833417"/>
    <w:rsid w:val="00836612"/>
    <w:rsid w:val="0083768F"/>
    <w:rsid w:val="00845F79"/>
    <w:rsid w:val="008511B1"/>
    <w:rsid w:val="00851BA1"/>
    <w:rsid w:val="00856675"/>
    <w:rsid w:val="008609F0"/>
    <w:rsid w:val="00860D6A"/>
    <w:rsid w:val="00861980"/>
    <w:rsid w:val="0086406C"/>
    <w:rsid w:val="008679D6"/>
    <w:rsid w:val="0087047F"/>
    <w:rsid w:val="00873E99"/>
    <w:rsid w:val="00876FE9"/>
    <w:rsid w:val="008777EE"/>
    <w:rsid w:val="00880C14"/>
    <w:rsid w:val="00880CE9"/>
    <w:rsid w:val="00883F67"/>
    <w:rsid w:val="00884480"/>
    <w:rsid w:val="00892F1B"/>
    <w:rsid w:val="0089355E"/>
    <w:rsid w:val="008943CF"/>
    <w:rsid w:val="008A0D07"/>
    <w:rsid w:val="008A19EB"/>
    <w:rsid w:val="008A1A4E"/>
    <w:rsid w:val="008A7026"/>
    <w:rsid w:val="008B1C0B"/>
    <w:rsid w:val="008B3711"/>
    <w:rsid w:val="008B4737"/>
    <w:rsid w:val="008B6120"/>
    <w:rsid w:val="008C0955"/>
    <w:rsid w:val="008C0A1B"/>
    <w:rsid w:val="008C2473"/>
    <w:rsid w:val="008D1D14"/>
    <w:rsid w:val="008D21A5"/>
    <w:rsid w:val="008E36B4"/>
    <w:rsid w:val="008E4ABD"/>
    <w:rsid w:val="008E6B36"/>
    <w:rsid w:val="008F058B"/>
    <w:rsid w:val="008F3C42"/>
    <w:rsid w:val="00900B7A"/>
    <w:rsid w:val="009038D1"/>
    <w:rsid w:val="009133C2"/>
    <w:rsid w:val="00914E81"/>
    <w:rsid w:val="0091528D"/>
    <w:rsid w:val="00915C8B"/>
    <w:rsid w:val="00916F61"/>
    <w:rsid w:val="00917352"/>
    <w:rsid w:val="00921062"/>
    <w:rsid w:val="00921175"/>
    <w:rsid w:val="00926164"/>
    <w:rsid w:val="00927835"/>
    <w:rsid w:val="00931064"/>
    <w:rsid w:val="0093407F"/>
    <w:rsid w:val="0094293E"/>
    <w:rsid w:val="0094352A"/>
    <w:rsid w:val="009472F0"/>
    <w:rsid w:val="0095094F"/>
    <w:rsid w:val="00950D05"/>
    <w:rsid w:val="009514F8"/>
    <w:rsid w:val="00952652"/>
    <w:rsid w:val="00956064"/>
    <w:rsid w:val="009565A5"/>
    <w:rsid w:val="009600F8"/>
    <w:rsid w:val="009611F8"/>
    <w:rsid w:val="00963D1B"/>
    <w:rsid w:val="00966795"/>
    <w:rsid w:val="00966EBD"/>
    <w:rsid w:val="0097005B"/>
    <w:rsid w:val="009733F3"/>
    <w:rsid w:val="00973681"/>
    <w:rsid w:val="00981788"/>
    <w:rsid w:val="00982B26"/>
    <w:rsid w:val="00982E35"/>
    <w:rsid w:val="009918A9"/>
    <w:rsid w:val="0099211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9F679C"/>
    <w:rsid w:val="00A015EC"/>
    <w:rsid w:val="00A02A60"/>
    <w:rsid w:val="00A12006"/>
    <w:rsid w:val="00A16F87"/>
    <w:rsid w:val="00A20273"/>
    <w:rsid w:val="00A21B79"/>
    <w:rsid w:val="00A244D7"/>
    <w:rsid w:val="00A27DF0"/>
    <w:rsid w:val="00A31879"/>
    <w:rsid w:val="00A34709"/>
    <w:rsid w:val="00A400F3"/>
    <w:rsid w:val="00A416BB"/>
    <w:rsid w:val="00A43066"/>
    <w:rsid w:val="00A466CA"/>
    <w:rsid w:val="00A46AD5"/>
    <w:rsid w:val="00A50ED1"/>
    <w:rsid w:val="00A61CFD"/>
    <w:rsid w:val="00A62643"/>
    <w:rsid w:val="00A632DD"/>
    <w:rsid w:val="00A6364B"/>
    <w:rsid w:val="00A65B62"/>
    <w:rsid w:val="00A755DF"/>
    <w:rsid w:val="00A808B8"/>
    <w:rsid w:val="00A81DE5"/>
    <w:rsid w:val="00A82F11"/>
    <w:rsid w:val="00A84FFA"/>
    <w:rsid w:val="00A869BE"/>
    <w:rsid w:val="00A87B7F"/>
    <w:rsid w:val="00A91FB5"/>
    <w:rsid w:val="00A958EE"/>
    <w:rsid w:val="00AA2EAC"/>
    <w:rsid w:val="00AA3FBA"/>
    <w:rsid w:val="00AA4CDE"/>
    <w:rsid w:val="00AA5D05"/>
    <w:rsid w:val="00AB1F4D"/>
    <w:rsid w:val="00AB674B"/>
    <w:rsid w:val="00AC203B"/>
    <w:rsid w:val="00AC324E"/>
    <w:rsid w:val="00AC4B8F"/>
    <w:rsid w:val="00AC6DA0"/>
    <w:rsid w:val="00AC7222"/>
    <w:rsid w:val="00AD6B47"/>
    <w:rsid w:val="00AE790C"/>
    <w:rsid w:val="00AE7CEF"/>
    <w:rsid w:val="00AF0EAE"/>
    <w:rsid w:val="00AF5DA7"/>
    <w:rsid w:val="00B0085B"/>
    <w:rsid w:val="00B01648"/>
    <w:rsid w:val="00B02E9F"/>
    <w:rsid w:val="00B04279"/>
    <w:rsid w:val="00B10827"/>
    <w:rsid w:val="00B20ECC"/>
    <w:rsid w:val="00B215A4"/>
    <w:rsid w:val="00B2725E"/>
    <w:rsid w:val="00B31254"/>
    <w:rsid w:val="00B355D5"/>
    <w:rsid w:val="00B407BC"/>
    <w:rsid w:val="00B42B88"/>
    <w:rsid w:val="00B45B21"/>
    <w:rsid w:val="00B505D5"/>
    <w:rsid w:val="00B53A0E"/>
    <w:rsid w:val="00B54EDA"/>
    <w:rsid w:val="00B54F99"/>
    <w:rsid w:val="00B60D3E"/>
    <w:rsid w:val="00B748C3"/>
    <w:rsid w:val="00B77198"/>
    <w:rsid w:val="00B83687"/>
    <w:rsid w:val="00B93DBF"/>
    <w:rsid w:val="00B94E54"/>
    <w:rsid w:val="00B96837"/>
    <w:rsid w:val="00BA007D"/>
    <w:rsid w:val="00BB54E7"/>
    <w:rsid w:val="00BC2A02"/>
    <w:rsid w:val="00BC7014"/>
    <w:rsid w:val="00BC7157"/>
    <w:rsid w:val="00BD0079"/>
    <w:rsid w:val="00BD0F0F"/>
    <w:rsid w:val="00BD6666"/>
    <w:rsid w:val="00BD77E1"/>
    <w:rsid w:val="00BE3B0F"/>
    <w:rsid w:val="00BE4B3A"/>
    <w:rsid w:val="00BF1CA2"/>
    <w:rsid w:val="00BF1F54"/>
    <w:rsid w:val="00BF29B9"/>
    <w:rsid w:val="00BF2DFE"/>
    <w:rsid w:val="00BF7F87"/>
    <w:rsid w:val="00C039D5"/>
    <w:rsid w:val="00C03BD9"/>
    <w:rsid w:val="00C04020"/>
    <w:rsid w:val="00C044CB"/>
    <w:rsid w:val="00C16BCF"/>
    <w:rsid w:val="00C16D60"/>
    <w:rsid w:val="00C16E02"/>
    <w:rsid w:val="00C21E4D"/>
    <w:rsid w:val="00C263AB"/>
    <w:rsid w:val="00C40BC5"/>
    <w:rsid w:val="00C41693"/>
    <w:rsid w:val="00C42B38"/>
    <w:rsid w:val="00C43656"/>
    <w:rsid w:val="00C4403E"/>
    <w:rsid w:val="00C44B56"/>
    <w:rsid w:val="00C44D2E"/>
    <w:rsid w:val="00C45B36"/>
    <w:rsid w:val="00C46E77"/>
    <w:rsid w:val="00C47DDB"/>
    <w:rsid w:val="00C50684"/>
    <w:rsid w:val="00C53C36"/>
    <w:rsid w:val="00C55705"/>
    <w:rsid w:val="00C6125B"/>
    <w:rsid w:val="00C67163"/>
    <w:rsid w:val="00C702FA"/>
    <w:rsid w:val="00C73EDD"/>
    <w:rsid w:val="00C85D7F"/>
    <w:rsid w:val="00C924DF"/>
    <w:rsid w:val="00C93B84"/>
    <w:rsid w:val="00C95E57"/>
    <w:rsid w:val="00CA4B34"/>
    <w:rsid w:val="00CA5274"/>
    <w:rsid w:val="00CA62A7"/>
    <w:rsid w:val="00CA6E9D"/>
    <w:rsid w:val="00CB00B9"/>
    <w:rsid w:val="00CB16FE"/>
    <w:rsid w:val="00CB37F1"/>
    <w:rsid w:val="00CC0DF9"/>
    <w:rsid w:val="00CC135B"/>
    <w:rsid w:val="00CC1C28"/>
    <w:rsid w:val="00CD110A"/>
    <w:rsid w:val="00CD17FB"/>
    <w:rsid w:val="00CD6473"/>
    <w:rsid w:val="00CD7438"/>
    <w:rsid w:val="00CE0BE3"/>
    <w:rsid w:val="00CE296B"/>
    <w:rsid w:val="00CE4B3F"/>
    <w:rsid w:val="00CF2675"/>
    <w:rsid w:val="00CF2F79"/>
    <w:rsid w:val="00CF51B1"/>
    <w:rsid w:val="00CF560B"/>
    <w:rsid w:val="00D01923"/>
    <w:rsid w:val="00D0548A"/>
    <w:rsid w:val="00D13EC8"/>
    <w:rsid w:val="00D14727"/>
    <w:rsid w:val="00D223AC"/>
    <w:rsid w:val="00D22D9D"/>
    <w:rsid w:val="00D240C1"/>
    <w:rsid w:val="00D32179"/>
    <w:rsid w:val="00D4578A"/>
    <w:rsid w:val="00D51488"/>
    <w:rsid w:val="00D5250F"/>
    <w:rsid w:val="00D526F7"/>
    <w:rsid w:val="00D57A05"/>
    <w:rsid w:val="00D60EC7"/>
    <w:rsid w:val="00D61972"/>
    <w:rsid w:val="00D634B3"/>
    <w:rsid w:val="00D6370F"/>
    <w:rsid w:val="00D64799"/>
    <w:rsid w:val="00D66A85"/>
    <w:rsid w:val="00D74462"/>
    <w:rsid w:val="00D765BE"/>
    <w:rsid w:val="00D779BC"/>
    <w:rsid w:val="00D8128E"/>
    <w:rsid w:val="00D864F8"/>
    <w:rsid w:val="00D909B8"/>
    <w:rsid w:val="00D90CE1"/>
    <w:rsid w:val="00D91250"/>
    <w:rsid w:val="00D93F3A"/>
    <w:rsid w:val="00D95305"/>
    <w:rsid w:val="00DB1C53"/>
    <w:rsid w:val="00DB2BEE"/>
    <w:rsid w:val="00DC04DC"/>
    <w:rsid w:val="00DC1CC3"/>
    <w:rsid w:val="00DC3CF8"/>
    <w:rsid w:val="00DC4BA8"/>
    <w:rsid w:val="00DD1380"/>
    <w:rsid w:val="00DD34F2"/>
    <w:rsid w:val="00DD5695"/>
    <w:rsid w:val="00DE6C12"/>
    <w:rsid w:val="00DF25E6"/>
    <w:rsid w:val="00E019F4"/>
    <w:rsid w:val="00E12ADC"/>
    <w:rsid w:val="00E13A1E"/>
    <w:rsid w:val="00E16725"/>
    <w:rsid w:val="00E23C2B"/>
    <w:rsid w:val="00E26417"/>
    <w:rsid w:val="00E268C1"/>
    <w:rsid w:val="00E27B7F"/>
    <w:rsid w:val="00E31546"/>
    <w:rsid w:val="00E36D79"/>
    <w:rsid w:val="00E417F0"/>
    <w:rsid w:val="00E4348D"/>
    <w:rsid w:val="00E44877"/>
    <w:rsid w:val="00E44FBF"/>
    <w:rsid w:val="00E511E3"/>
    <w:rsid w:val="00E564DE"/>
    <w:rsid w:val="00E62549"/>
    <w:rsid w:val="00E65503"/>
    <w:rsid w:val="00E65D40"/>
    <w:rsid w:val="00E67680"/>
    <w:rsid w:val="00E713FA"/>
    <w:rsid w:val="00E71F70"/>
    <w:rsid w:val="00E721FC"/>
    <w:rsid w:val="00E77CD8"/>
    <w:rsid w:val="00E90DA7"/>
    <w:rsid w:val="00EA5B2D"/>
    <w:rsid w:val="00EB41ED"/>
    <w:rsid w:val="00EB487A"/>
    <w:rsid w:val="00EB4921"/>
    <w:rsid w:val="00EB4B47"/>
    <w:rsid w:val="00EB4DCA"/>
    <w:rsid w:val="00EC2470"/>
    <w:rsid w:val="00EC2E3F"/>
    <w:rsid w:val="00EC33C1"/>
    <w:rsid w:val="00EC700B"/>
    <w:rsid w:val="00ED2709"/>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46BA"/>
    <w:rsid w:val="00F66D02"/>
    <w:rsid w:val="00F6758C"/>
    <w:rsid w:val="00F8189B"/>
    <w:rsid w:val="00F90065"/>
    <w:rsid w:val="00F9039C"/>
    <w:rsid w:val="00F93E0E"/>
    <w:rsid w:val="00F96012"/>
    <w:rsid w:val="00F96396"/>
    <w:rsid w:val="00FA5FEF"/>
    <w:rsid w:val="00FA6433"/>
    <w:rsid w:val="00FA7C9D"/>
    <w:rsid w:val="00FB47E5"/>
    <w:rsid w:val="00FC2977"/>
    <w:rsid w:val="00FC3EEE"/>
    <w:rsid w:val="00FC77EF"/>
    <w:rsid w:val="00FC7962"/>
    <w:rsid w:val="00FD3926"/>
    <w:rsid w:val="00FD654A"/>
    <w:rsid w:val="00FD74C6"/>
    <w:rsid w:val="00FE3D69"/>
    <w:rsid w:val="00FE461E"/>
    <w:rsid w:val="00FE5A9F"/>
    <w:rsid w:val="00FE69A8"/>
    <w:rsid w:val="00FE7EBB"/>
    <w:rsid w:val="00FE7F5A"/>
    <w:rsid w:val="00FF1EA2"/>
    <w:rsid w:val="00FF3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3C5E"/>
    <w:rPr>
      <w:sz w:val="20"/>
    </w:rPr>
  </w:style>
  <w:style w:type="paragraph" w:customStyle="1" w:styleId="JCCAddressblock">
    <w:name w:val="JCC Address block"/>
    <w:basedOn w:val="Normal"/>
    <w:rsid w:val="00713C5E"/>
    <w:pPr>
      <w:spacing w:before="240" w:line="220" w:lineRule="exact"/>
      <w:jc w:val="center"/>
    </w:pPr>
    <w:rPr>
      <w:rFonts w:ascii="Goudy Old Style" w:hAnsi="Goudy Old Style"/>
      <w:spacing w:val="20"/>
      <w:sz w:val="17"/>
    </w:rPr>
  </w:style>
  <w:style w:type="paragraph" w:customStyle="1" w:styleId="JCCName">
    <w:name w:val="JCC Name"/>
    <w:basedOn w:val="Normal"/>
    <w:rsid w:val="00713C5E"/>
    <w:pPr>
      <w:spacing w:line="160" w:lineRule="exact"/>
      <w:jc w:val="right"/>
    </w:pPr>
    <w:rPr>
      <w:rFonts w:ascii="Goudy Old Style" w:hAnsi="Goudy Old Style"/>
      <w:spacing w:val="20"/>
      <w:sz w:val="14"/>
    </w:rPr>
  </w:style>
  <w:style w:type="paragraph" w:customStyle="1" w:styleId="JCCTitle">
    <w:name w:val="JCC Title"/>
    <w:basedOn w:val="Normal"/>
    <w:rsid w:val="00713C5E"/>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13C5E"/>
    <w:pPr>
      <w:spacing w:before="0"/>
    </w:pPr>
  </w:style>
  <w:style w:type="paragraph" w:customStyle="1" w:styleId="JCCAddress1stline">
    <w:name w:val="JCC Address 1st line"/>
    <w:basedOn w:val="Normal"/>
    <w:next w:val="JCCAddress2ndline"/>
    <w:rsid w:val="00713C5E"/>
    <w:pPr>
      <w:spacing w:before="180" w:line="280" w:lineRule="exact"/>
      <w:jc w:val="center"/>
    </w:pPr>
    <w:rPr>
      <w:rFonts w:ascii="Goudy Old Style" w:hAnsi="Goudy Old Style"/>
      <w:sz w:val="17"/>
    </w:rPr>
  </w:style>
  <w:style w:type="paragraph" w:styleId="Footer">
    <w:name w:val="footer"/>
    <w:basedOn w:val="Normal"/>
    <w:rsid w:val="00713C5E"/>
    <w:pPr>
      <w:tabs>
        <w:tab w:val="center" w:pos="4320"/>
        <w:tab w:val="right" w:pos="8640"/>
      </w:tabs>
    </w:pPr>
    <w:rPr>
      <w:sz w:val="16"/>
    </w:rPr>
  </w:style>
  <w:style w:type="paragraph" w:customStyle="1" w:styleId="HeaderPageNumber">
    <w:name w:val="Header Page Number"/>
    <w:basedOn w:val="Normal"/>
    <w:rsid w:val="00713C5E"/>
    <w:pPr>
      <w:tabs>
        <w:tab w:val="center" w:pos="4320"/>
        <w:tab w:val="right" w:pos="8640"/>
      </w:tabs>
      <w:spacing w:after="600"/>
    </w:pPr>
  </w:style>
  <w:style w:type="paragraph" w:styleId="BodyText">
    <w:name w:val="Body Text"/>
    <w:basedOn w:val="Normal"/>
    <w:rsid w:val="00713C5E"/>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erChar">
    <w:name w:val="Header Char"/>
    <w:basedOn w:val="DefaultParagraphFont"/>
    <w:link w:val="Header"/>
    <w:locked/>
    <w:rsid w:val="00454017"/>
    <w:rPr>
      <w:rFonts w:ascii="Times New Roman" w:hAnsi="Times New Roman" w:cs="Times New Roman"/>
      <w:sz w:val="24"/>
      <w:szCs w:val="24"/>
    </w:rPr>
  </w:style>
  <w:style w:type="character" w:customStyle="1" w:styleId="CommentTextChar">
    <w:name w:val="Comment Text Char"/>
    <w:basedOn w:val="DefaultParagraphFont"/>
    <w:link w:val="CommentText"/>
    <w:semiHidden/>
    <w:locked/>
    <w:rsid w:val="00521F10"/>
    <w:rPr>
      <w:rFonts w:ascii="Times New Roman" w:hAnsi="Times New Roman" w:cs="Times New Roman"/>
    </w:rPr>
  </w:style>
  <w:style w:type="paragraph" w:styleId="ListParagraph">
    <w:name w:val="List Paragraph"/>
    <w:basedOn w:val="Normal"/>
    <w:uiPriority w:val="34"/>
    <w:qFormat/>
    <w:rsid w:val="00392F1C"/>
    <w:pPr>
      <w:ind w:left="720"/>
      <w:contextualSpacing/>
    </w:pPr>
  </w:style>
</w:styles>
</file>

<file path=word/webSettings.xml><?xml version="1.0" encoding="utf-8"?>
<w:webSettings xmlns:r="http://schemas.openxmlformats.org/officeDocument/2006/relationships" xmlns:w="http://schemas.openxmlformats.org/wordprocessingml/2006/main">
  <w:divs>
    <w:div w:id="660162782">
      <w:bodyDiv w:val="1"/>
      <w:marLeft w:val="0"/>
      <w:marRight w:val="0"/>
      <w:marTop w:val="0"/>
      <w:marBottom w:val="0"/>
      <w:divBdr>
        <w:top w:val="none" w:sz="0" w:space="0" w:color="auto"/>
        <w:left w:val="none" w:sz="0" w:space="0" w:color="auto"/>
        <w:bottom w:val="none" w:sz="0" w:space="0" w:color="auto"/>
        <w:right w:val="none" w:sz="0" w:space="0" w:color="auto"/>
      </w:divBdr>
    </w:div>
    <w:div w:id="16116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3301</Words>
  <Characters>18822</Characters>
  <Application>Microsoft Office Word</Application>
  <DocSecurity>8</DocSecurity>
  <Lines>156</Lines>
  <Paragraphs>44</Paragraphs>
  <ScaleCrop>false</ScaleCrop>
  <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2011-07-13T19:38:00Z</dcterms:created>
  <dcterms:modified xsi:type="dcterms:W3CDTF">2011-07-13T20:07:00Z</dcterms:modified>
</cp:coreProperties>
</file>