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59ECFE21"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w:t>
      </w:r>
      <w:r w:rsidR="00C07857" w:rsidRPr="00C07857">
        <w:rPr>
          <w:b/>
          <w:bCs/>
          <w:sz w:val="20"/>
        </w:rPr>
        <w:t>Judicial Council of Cal</w:t>
      </w:r>
      <w:r w:rsidR="00C07857">
        <w:rPr>
          <w:b/>
          <w:bCs/>
          <w:sz w:val="20"/>
        </w:rPr>
        <w:t>i</w:t>
      </w:r>
      <w:r w:rsidR="00C07857" w:rsidRPr="00C07857">
        <w:rPr>
          <w:b/>
          <w:bCs/>
          <w:sz w:val="20"/>
        </w:rPr>
        <w:t>f</w:t>
      </w:r>
      <w:r w:rsidR="00C07857">
        <w:rPr>
          <w:b/>
          <w:bCs/>
          <w:sz w:val="20"/>
        </w:rPr>
        <w:t>or</w:t>
      </w:r>
      <w:r w:rsidR="00C07857" w:rsidRPr="00C07857">
        <w:rPr>
          <w:b/>
          <w:bCs/>
          <w:sz w:val="20"/>
        </w:rPr>
        <w:t>nia</w:t>
      </w:r>
      <w:r w:rsidRPr="00C314CE">
        <w:rPr>
          <w:sz w:val="20"/>
        </w:rPr>
        <w:t xml:space="preserve">. </w:t>
      </w:r>
    </w:p>
    <w:p w14:paraId="458BA7E3" w14:textId="13A21F14" w:rsidR="003B3C0B" w:rsidRPr="00287443" w:rsidRDefault="003B3C0B" w:rsidP="003B3C0B">
      <w:pPr>
        <w:ind w:left="-450" w:hanging="270"/>
        <w:rPr>
          <w:sz w:val="20"/>
        </w:rPr>
      </w:pPr>
      <w:r w:rsidRPr="00287443">
        <w:rPr>
          <w:sz w:val="20"/>
        </w:rPr>
        <w:t xml:space="preserve">2.  This Agreement is effective as of </w:t>
      </w:r>
      <w:r w:rsidR="00542159">
        <w:rPr>
          <w:b/>
          <w:bCs/>
          <w:sz w:val="20"/>
        </w:rPr>
        <w:t>June</w:t>
      </w:r>
      <w:r w:rsidR="00547C42" w:rsidRPr="00547C42">
        <w:rPr>
          <w:b/>
          <w:bCs/>
          <w:sz w:val="20"/>
        </w:rPr>
        <w:t xml:space="preserve"> 1, 2025</w:t>
      </w:r>
      <w:r w:rsidRPr="00287443">
        <w:rPr>
          <w:sz w:val="20"/>
        </w:rPr>
        <w:t xml:space="preserve"> </w:t>
      </w:r>
      <w:r>
        <w:rPr>
          <w:sz w:val="20"/>
        </w:rPr>
        <w:t>(</w:t>
      </w:r>
      <w:r w:rsidRPr="00287443">
        <w:rPr>
          <w:sz w:val="20"/>
        </w:rPr>
        <w:t xml:space="preserve">“Effective Date”) and expires on </w:t>
      </w:r>
      <w:r w:rsidR="00CA3230">
        <w:rPr>
          <w:b/>
          <w:sz w:val="20"/>
        </w:rPr>
        <w:t>May 31</w:t>
      </w:r>
      <w:r w:rsidR="003E1A45" w:rsidRPr="003E1A45">
        <w:rPr>
          <w:b/>
          <w:sz w:val="20"/>
        </w:rPr>
        <w:t xml:space="preserve">, 2026 </w:t>
      </w:r>
      <w:r w:rsidRPr="00287443">
        <w:rPr>
          <w:sz w:val="20"/>
        </w:rPr>
        <w:t xml:space="preserve">(“Expiration Date”).  </w:t>
      </w:r>
    </w:p>
    <w:p w14:paraId="19B484F6" w14:textId="562EFF0E"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CA3230">
        <w:rPr>
          <w:sz w:val="20"/>
        </w:rPr>
        <w:t>two</w:t>
      </w:r>
      <w:r w:rsidR="004A079B" w:rsidRPr="004A079B">
        <w:rPr>
          <w:sz w:val="20"/>
        </w:rPr>
        <w:t xml:space="preserve"> one-year option terms </w:t>
      </w:r>
      <w:r w:rsidRPr="00287443">
        <w:rPr>
          <w:sz w:val="20"/>
        </w:rPr>
        <w:t xml:space="preserve">to extend through </w:t>
      </w:r>
      <w:r w:rsidR="00425D21">
        <w:rPr>
          <w:b/>
          <w:sz w:val="20"/>
        </w:rPr>
        <w:t>May</w:t>
      </w:r>
      <w:r w:rsidR="000305D5" w:rsidRPr="000305D5">
        <w:rPr>
          <w:b/>
          <w:sz w:val="20"/>
        </w:rPr>
        <w:t xml:space="preserve"> </w:t>
      </w:r>
      <w:r w:rsidR="00425D21">
        <w:rPr>
          <w:b/>
          <w:sz w:val="20"/>
        </w:rPr>
        <w:t>31</w:t>
      </w:r>
      <w:r w:rsidR="000305D5" w:rsidRPr="000305D5">
        <w:rPr>
          <w:b/>
          <w:sz w:val="20"/>
        </w:rPr>
        <w:t>, 202</w:t>
      </w:r>
      <w:r w:rsidR="00CA3230">
        <w:rPr>
          <w:b/>
          <w:sz w:val="20"/>
        </w:rPr>
        <w:t>8</w:t>
      </w:r>
      <w:r>
        <w:rPr>
          <w:sz w:val="20"/>
        </w:rPr>
        <w:t>.</w:t>
      </w:r>
      <w:r>
        <w:rPr>
          <w:sz w:val="20"/>
        </w:rPr>
        <w:tab/>
      </w:r>
    </w:p>
    <w:p w14:paraId="3D5D8E82" w14:textId="31BC2711"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266A66">
        <w:rPr>
          <w:sz w:val="20"/>
        </w:rPr>
        <w:t xml:space="preserve">First </w:t>
      </w:r>
      <w:r w:rsidR="003646A9">
        <w:rPr>
          <w:sz w:val="20"/>
        </w:rPr>
        <w:t>Option Term</w:t>
      </w:r>
      <w:r w:rsidR="00381AD0">
        <w:rPr>
          <w:sz w:val="20"/>
        </w:rPr>
        <w:t xml:space="preserve">, </w:t>
      </w:r>
      <w:r w:rsidR="00425D21">
        <w:rPr>
          <w:sz w:val="20"/>
        </w:rPr>
        <w:t xml:space="preserve">and </w:t>
      </w:r>
      <w:r w:rsidR="00381AD0" w:rsidRPr="00381AD0">
        <w:rPr>
          <w:sz w:val="20"/>
        </w:rPr>
        <w:t xml:space="preserve">(iii) </w:t>
      </w:r>
      <w:r w:rsidR="00381AD0" w:rsidRPr="00054881">
        <w:rPr>
          <w:sz w:val="20"/>
          <w:highlight w:val="yellow"/>
        </w:rPr>
        <w:t>$[</w:t>
      </w:r>
      <w:r w:rsidR="00381AD0" w:rsidRPr="00054881">
        <w:rPr>
          <w:b/>
          <w:bCs/>
          <w:sz w:val="20"/>
          <w:highlight w:val="yellow"/>
        </w:rPr>
        <w:t>Dollar amount</w:t>
      </w:r>
      <w:r w:rsidR="00381AD0" w:rsidRPr="00054881">
        <w:rPr>
          <w:sz w:val="20"/>
          <w:highlight w:val="yellow"/>
        </w:rPr>
        <w:t>]</w:t>
      </w:r>
      <w:r w:rsidR="00381AD0" w:rsidRPr="00381AD0">
        <w:rPr>
          <w:sz w:val="20"/>
        </w:rPr>
        <w:t xml:space="preserve"> during the </w:t>
      </w:r>
      <w:r w:rsidR="007C53B0">
        <w:rPr>
          <w:sz w:val="20"/>
        </w:rPr>
        <w:t>S</w:t>
      </w:r>
      <w:r w:rsidR="00381AD0" w:rsidRPr="00381AD0">
        <w:rPr>
          <w:sz w:val="20"/>
        </w:rPr>
        <w:t>econd Option Term</w:t>
      </w:r>
      <w:r w:rsidR="00425D21">
        <w:rPr>
          <w:sz w:val="20"/>
        </w:rPr>
        <w:t>.</w:t>
      </w:r>
    </w:p>
    <w:p w14:paraId="4930F375" w14:textId="3DF5B7F9"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07178C" w:rsidRPr="0007178C">
        <w:rPr>
          <w:b/>
          <w:sz w:val="20"/>
        </w:rPr>
        <w:t>Exam Rating Services for Other Than Spanish Interpreter Certification Exams</w:t>
      </w:r>
      <w:r w:rsidR="00806692">
        <w:rPr>
          <w:b/>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2E10FB89"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3284E9F6" w14:textId="373C9F39" w:rsidR="003B3C0B" w:rsidRDefault="009341F2" w:rsidP="00F07F77">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6E90371F" w:rsidR="003B3C0B" w:rsidRPr="00114412" w:rsidRDefault="00A1068E" w:rsidP="00D662AB">
            <w:pPr>
              <w:jc w:val="both"/>
              <w:rPr>
                <w:sz w:val="18"/>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4AE61D83" wp14:editId="723B6D1F">
                      <wp:simplePos x="0" y="0"/>
                      <wp:positionH relativeFrom="column">
                        <wp:posOffset>1181100</wp:posOffset>
                      </wp:positionH>
                      <wp:positionV relativeFrom="paragraph">
                        <wp:posOffset>355600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DB31645" w14:textId="77777777" w:rsidR="00A621B8" w:rsidRPr="00FB4888" w:rsidRDefault="00A621B8" w:rsidP="00A621B8">
                                  <w:pPr>
                                    <w:spacing w:before="360"/>
                                    <w:jc w:val="center"/>
                                    <w:rPr>
                                      <w:b/>
                                      <w:smallCaps/>
                                      <w:sz w:val="48"/>
                                    </w:rPr>
                                  </w:pPr>
                                  <w:permStart w:id="203952055" w:edGrp="everyone"/>
                                  <w:r w:rsidRPr="00631BBB">
                                    <w:rPr>
                                      <w:b/>
                                      <w:smallCaps/>
                                      <w:sz w:val="48"/>
                                    </w:rPr>
                                    <w:t>Sample Only – Do Not Sign</w:t>
                                  </w:r>
                                  <w:permEnd w:id="2039520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61D83" id="Rectangle 2" o:spid="_x0000_s1026" style="position:absolute;left:0;text-align:left;margin-left:93pt;margin-top:28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" strokecolor="#fabf8f" strokeweight="1pt">
                      <v:fill color2="#fbd4b4" focus="100%" type="gradient"/>
                      <v:shadow on="t" color="#974706" opacity=".5" offset="1pt"/>
                      <v:textbox>
                        <w:txbxContent>
                          <w:p w14:paraId="0DB31645" w14:textId="77777777" w:rsidR="00A621B8" w:rsidRPr="00FB4888" w:rsidRDefault="00A621B8" w:rsidP="00A621B8">
                            <w:pPr>
                              <w:spacing w:before="360"/>
                              <w:jc w:val="center"/>
                              <w:rPr>
                                <w:b/>
                                <w:smallCaps/>
                                <w:sz w:val="48"/>
                              </w:rPr>
                            </w:pPr>
                            <w:permStart w:id="203952055" w:edGrp="everyone"/>
                            <w:r w:rsidRPr="00631BBB">
                              <w:rPr>
                                <w:b/>
                                <w:smallCaps/>
                                <w:sz w:val="48"/>
                              </w:rPr>
                              <w:t>Sample Only – Do Not Sign</w:t>
                            </w:r>
                            <w:permEnd w:id="203952055"/>
                          </w:p>
                        </w:txbxContent>
                      </v:textbox>
                    </v:rect>
                  </w:pict>
                </mc:Fallback>
              </mc:AlternateContent>
            </w:r>
            <w:r w:rsidR="003162A7">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0F361D7C"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2E64B0F2"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17F03DCE"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AF6F133"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430EBA">
        <w:trPr>
          <w:trHeight w:hRule="exact" w:val="1224"/>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31D9F7DF" w14:textId="2F82E7A9" w:rsidR="004B4879" w:rsidRPr="004B4879" w:rsidRDefault="00430EBA" w:rsidP="004B4879">
            <w:pPr>
              <w:tabs>
                <w:tab w:val="left" w:pos="3600"/>
              </w:tabs>
              <w:rPr>
                <w:sz w:val="20"/>
              </w:rPr>
            </w:pPr>
            <w:r>
              <w:rPr>
                <w:sz w:val="20"/>
              </w:rPr>
              <w:t xml:space="preserve"> </w:t>
            </w:r>
            <w:r w:rsidR="004B4879" w:rsidRPr="004B4879">
              <w:rPr>
                <w:sz w:val="20"/>
              </w:rPr>
              <w:t>Attn: Procurement</w:t>
            </w:r>
          </w:p>
          <w:p w14:paraId="1206F597" w14:textId="1E3D8555" w:rsidR="004B4879" w:rsidRPr="004B4879" w:rsidRDefault="004B4879" w:rsidP="004B4879">
            <w:pPr>
              <w:tabs>
                <w:tab w:val="left" w:pos="3600"/>
              </w:tabs>
              <w:rPr>
                <w:sz w:val="20"/>
              </w:rPr>
            </w:pPr>
            <w:r w:rsidRPr="004B4879">
              <w:rPr>
                <w:sz w:val="20"/>
              </w:rPr>
              <w:t xml:space="preserve"> Branch Accounting and Procurement </w:t>
            </w:r>
          </w:p>
          <w:p w14:paraId="30085196" w14:textId="77777777" w:rsidR="004B4879" w:rsidRPr="004B4879" w:rsidRDefault="004B4879" w:rsidP="004B4879">
            <w:pPr>
              <w:tabs>
                <w:tab w:val="left" w:pos="3600"/>
              </w:tabs>
              <w:rPr>
                <w:sz w:val="20"/>
              </w:rPr>
            </w:pPr>
            <w:r w:rsidRPr="004B4879">
              <w:rPr>
                <w:sz w:val="20"/>
              </w:rPr>
              <w:t xml:space="preserve"> 455 Golden Gate Avenue, 6th Floor</w:t>
            </w:r>
          </w:p>
          <w:p w14:paraId="72E182B9" w14:textId="4A2EB604" w:rsidR="003B3C0B" w:rsidRPr="00287443" w:rsidRDefault="004B4879" w:rsidP="004B4879">
            <w:pPr>
              <w:tabs>
                <w:tab w:val="left" w:pos="3600"/>
              </w:tabs>
              <w:rPr>
                <w:sz w:val="20"/>
              </w:rPr>
            </w:pPr>
            <w:r w:rsidRPr="00430EBA">
              <w:rPr>
                <w:sz w:val="20"/>
              </w:rPr>
              <w:t xml:space="preserve"> 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55B9E6EE"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D1EF60"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4B134C" w:rsidRDefault="00EF6C03" w:rsidP="003A0663">
      <w:pPr>
        <w:pStyle w:val="Apnd1"/>
        <w:numPr>
          <w:ilvl w:val="0"/>
          <w:numId w:val="9"/>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0E8B4D1A" w14:textId="77777777" w:rsidR="004B134C" w:rsidRP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1.1.</w:t>
      </w:r>
      <w:r w:rsidRPr="004B134C">
        <w:rPr>
          <w:rFonts w:asciiTheme="minorHAnsi" w:hAnsiTheme="minorHAnsi" w:cstheme="minorHAnsi"/>
          <w:b w:val="0"/>
          <w:iCs/>
          <w:sz w:val="20"/>
          <w:szCs w:val="20"/>
          <w:lang w:bidi="en-US"/>
        </w:rPr>
        <w:tab/>
        <w:t>The Judicial Council of California (“Judicial Council”) is the policymaking body of the California court system, which includes 58 superior courts, the courts of appeal, and the Supreme Court. Under the authority of the state’s Constitution and with the leadership of the Chief Justice of the California Supreme Court, the Judicial Council is responsible for ensuring the fair, impartial, and consistent administration of justice. The Judicial Council promulgates rules and procedures for court administration, develops and implements policies for the judicial branch, and makes recommendations annually to the Governor and the Legislature. Judicial Council staff assist the Judicial Council with implementing policies and supporting court operations.</w:t>
      </w:r>
    </w:p>
    <w:p w14:paraId="1119A51B" w14:textId="77777777" w:rsidR="004B134C" w:rsidRP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1.2.</w:t>
      </w:r>
      <w:r w:rsidRPr="004B134C">
        <w:rPr>
          <w:rFonts w:asciiTheme="minorHAnsi" w:hAnsiTheme="minorHAnsi" w:cstheme="minorHAnsi"/>
          <w:b w:val="0"/>
          <w:iCs/>
          <w:sz w:val="20"/>
          <w:szCs w:val="20"/>
          <w:lang w:bidi="en-US"/>
        </w:rPr>
        <w:tab/>
        <w:t>The Judicial Council’s Center for Families, Children, and the Courts (CFCC) houses the Language Access Services Program. The Language Access Services Program is comprised of two units: Language Access Implementation (LAI) and Court Interpreters Program (CIP). The LAI works to ensure language access for all Limited English Proficient (LEP) court users in California in all 58 superior courts. The CIP oversees the court interpreter testing and credentialing process for statewide certification of court interpreters, along with administrative functions such as statewide recruitment to expand the pool of qualified interpreters and the collection and analysis of statewide data.</w:t>
      </w:r>
    </w:p>
    <w:p w14:paraId="1FDFBB4D" w14:textId="77777777" w:rsidR="004B134C" w:rsidRP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1.3.</w:t>
      </w:r>
      <w:r w:rsidRPr="004B134C">
        <w:rPr>
          <w:rFonts w:asciiTheme="minorHAnsi" w:hAnsiTheme="minorHAnsi" w:cstheme="minorHAnsi"/>
          <w:b w:val="0"/>
          <w:iCs/>
          <w:sz w:val="20"/>
          <w:szCs w:val="20"/>
          <w:lang w:bidi="en-US"/>
        </w:rPr>
        <w:tab/>
        <w:t xml:space="preserve">California is the most linguistically diverse state in the United States, with around seven million residents who have limited English proficiency and collectively speak over 200 languages. To serve this population in court proceedings and other judicial services, the state employs more than 1,800 certified and registered court interpreters, ensuring critical access to justice. </w:t>
      </w:r>
    </w:p>
    <w:p w14:paraId="65213F2E" w14:textId="77777777" w:rsidR="004B134C" w:rsidRP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1.4.</w:t>
      </w:r>
      <w:r w:rsidRPr="004B134C">
        <w:rPr>
          <w:rFonts w:asciiTheme="minorHAnsi" w:hAnsiTheme="minorHAnsi" w:cstheme="minorHAnsi"/>
          <w:b w:val="0"/>
          <w:iCs/>
          <w:sz w:val="20"/>
          <w:szCs w:val="20"/>
          <w:lang w:bidi="en-US"/>
        </w:rPr>
        <w:tab/>
        <w:t>California’s Government Code §§ 68560-68566 requires the Judicial Council to establish programs and standards that secure qualified interpreters for the courts. This mandate includes setting rigorous standards for the testing, certification, and registration of court interpreters.</w:t>
      </w:r>
    </w:p>
    <w:p w14:paraId="4781A91E" w14:textId="03D534AB" w:rsidR="004B134C" w:rsidRP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1.5.</w:t>
      </w:r>
      <w:r w:rsidRPr="004B134C">
        <w:rPr>
          <w:rFonts w:asciiTheme="minorHAnsi" w:hAnsiTheme="minorHAnsi" w:cstheme="minorHAnsi"/>
          <w:b w:val="0"/>
          <w:iCs/>
          <w:sz w:val="20"/>
          <w:szCs w:val="20"/>
          <w:lang w:bidi="en-US"/>
        </w:rPr>
        <w:tab/>
        <w:t xml:space="preserve">To improve access to the courts for non-English speakers, CIP staff work to improve interpreter quality and expand the pool of certified and registered interpreters available for trial courts. CIP's services include recruitment, testing, certification or registration, interpreter education, and compliance monitoring. For more information about the program and interpreter testing, visit the </w:t>
      </w:r>
      <w:hyperlink r:id="rId13" w:tgtFrame="_new" w:history="1">
        <w:r w:rsidR="00815F67" w:rsidRPr="00815F67">
          <w:rPr>
            <w:rStyle w:val="Hyperlink"/>
            <w:rFonts w:asciiTheme="minorHAnsi" w:hAnsiTheme="minorHAnsi" w:cstheme="minorHAnsi"/>
            <w:b w:val="0"/>
            <w:iCs/>
            <w:sz w:val="20"/>
            <w:szCs w:val="20"/>
            <w:lang w:bidi="en-US"/>
          </w:rPr>
          <w:t>Becoming a Court Interpreter</w:t>
        </w:r>
      </w:hyperlink>
      <w:r w:rsidR="009A48D7">
        <w:rPr>
          <w:rFonts w:asciiTheme="minorHAnsi" w:hAnsiTheme="minorHAnsi" w:cstheme="minorHAnsi"/>
          <w:b w:val="0"/>
          <w:iCs/>
          <w:sz w:val="20"/>
          <w:szCs w:val="20"/>
          <w:lang w:bidi="en-US"/>
        </w:rPr>
        <w:t xml:space="preserve"> page</w:t>
      </w:r>
      <w:r w:rsidRPr="004B134C">
        <w:rPr>
          <w:rFonts w:asciiTheme="minorHAnsi" w:hAnsiTheme="minorHAnsi" w:cstheme="minorHAnsi"/>
          <w:b w:val="0"/>
          <w:iCs/>
          <w:sz w:val="20"/>
          <w:szCs w:val="20"/>
          <w:lang w:bidi="en-US"/>
        </w:rPr>
        <w:t>.</w:t>
      </w:r>
    </w:p>
    <w:p w14:paraId="5441C2D5" w14:textId="7349C2EA" w:rsidR="004B134C" w:rsidRP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1.6.</w:t>
      </w:r>
      <w:r w:rsidRPr="004B134C">
        <w:rPr>
          <w:rFonts w:asciiTheme="minorHAnsi" w:hAnsiTheme="minorHAnsi" w:cstheme="minorHAnsi"/>
          <w:b w:val="0"/>
          <w:iCs/>
          <w:sz w:val="20"/>
          <w:szCs w:val="20"/>
          <w:lang w:bidi="en-US"/>
        </w:rPr>
        <w:tab/>
        <w:t xml:space="preserve">To become a court interpreter, candidates can pursue one of two designated pathways. The Judicial Council has identified 12 widely used non-English spoken languages as “certified.” All other languages not included in the certified list are designated as “registered.” For details on specific languages, please refer to the language listing for </w:t>
      </w:r>
      <w:hyperlink r:id="rId14" w:history="1">
        <w:r w:rsidR="00247DB8" w:rsidRPr="00247DB8">
          <w:rPr>
            <w:rStyle w:val="Hyperlink"/>
            <w:rFonts w:asciiTheme="minorHAnsi" w:hAnsiTheme="minorHAnsi" w:cstheme="minorHAnsi"/>
            <w:b w:val="0"/>
            <w:iCs/>
            <w:sz w:val="20"/>
            <w:szCs w:val="20"/>
            <w:lang w:bidi="en-US"/>
          </w:rPr>
          <w:t>certified</w:t>
        </w:r>
      </w:hyperlink>
      <w:r w:rsidRPr="004B134C">
        <w:rPr>
          <w:rFonts w:asciiTheme="minorHAnsi" w:hAnsiTheme="minorHAnsi" w:cstheme="minorHAnsi"/>
          <w:b w:val="0"/>
          <w:iCs/>
          <w:sz w:val="20"/>
          <w:szCs w:val="20"/>
          <w:lang w:bidi="en-US"/>
        </w:rPr>
        <w:t xml:space="preserve"> and </w:t>
      </w:r>
      <w:hyperlink r:id="rId15" w:history="1">
        <w:r w:rsidR="00110C0E" w:rsidRPr="00110C0E">
          <w:rPr>
            <w:rStyle w:val="Hyperlink"/>
            <w:rFonts w:asciiTheme="minorHAnsi" w:hAnsiTheme="minorHAnsi" w:cstheme="minorHAnsi"/>
            <w:b w:val="0"/>
            <w:iCs/>
            <w:sz w:val="20"/>
            <w:szCs w:val="20"/>
            <w:lang w:bidi="en-US"/>
          </w:rPr>
          <w:t>registered</w:t>
        </w:r>
      </w:hyperlink>
      <w:r w:rsidRPr="004B134C">
        <w:rPr>
          <w:rFonts w:asciiTheme="minorHAnsi" w:hAnsiTheme="minorHAnsi" w:cstheme="minorHAnsi"/>
          <w:b w:val="0"/>
          <w:iCs/>
          <w:sz w:val="20"/>
          <w:szCs w:val="20"/>
          <w:lang w:bidi="en-US"/>
        </w:rPr>
        <w:t xml:space="preserve"> languages.</w:t>
      </w:r>
    </w:p>
    <w:p w14:paraId="67DB8862" w14:textId="0B1FA534" w:rsidR="004B134C" w:rsidRDefault="004B134C" w:rsidP="004B134C">
      <w:pPr>
        <w:pStyle w:val="Apnd1"/>
        <w:spacing w:before="120" w:after="120"/>
        <w:ind w:left="360"/>
        <w:rPr>
          <w:rFonts w:asciiTheme="minorHAnsi" w:hAnsiTheme="minorHAnsi" w:cstheme="minorHAnsi"/>
          <w:b w:val="0"/>
          <w:iCs/>
          <w:sz w:val="20"/>
          <w:szCs w:val="20"/>
          <w:lang w:bidi="en-US"/>
        </w:rPr>
      </w:pPr>
      <w:r w:rsidRPr="004B134C">
        <w:rPr>
          <w:rFonts w:asciiTheme="minorHAnsi" w:hAnsiTheme="minorHAnsi" w:cstheme="minorHAnsi"/>
          <w:b w:val="0"/>
          <w:iCs/>
          <w:sz w:val="20"/>
          <w:szCs w:val="20"/>
          <w:lang w:bidi="en-US"/>
        </w:rPr>
        <w:t>1.7.</w:t>
      </w:r>
      <w:r w:rsidRPr="004B134C">
        <w:rPr>
          <w:rFonts w:asciiTheme="minorHAnsi" w:hAnsiTheme="minorHAnsi" w:cstheme="minorHAnsi"/>
          <w:b w:val="0"/>
          <w:iCs/>
          <w:sz w:val="20"/>
          <w:szCs w:val="20"/>
          <w:lang w:bidi="en-US"/>
        </w:rPr>
        <w:tab/>
        <w:t xml:space="preserve">The Judicial Council contracts with an outside vendor to administer the certification and registration exams, following the standards and guidelines adopted by the Judicial Council of California, and the National Center for State Courts (NCSC). For more detail, go to the NCSC website to the </w:t>
      </w:r>
      <w:hyperlink r:id="rId16" w:history="1">
        <w:r w:rsidR="00E918C7" w:rsidRPr="00E918C7">
          <w:rPr>
            <w:rStyle w:val="Hyperlink"/>
            <w:rFonts w:asciiTheme="minorHAnsi" w:hAnsiTheme="minorHAnsi" w:cstheme="minorHAnsi"/>
            <w:b w:val="0"/>
            <w:iCs/>
            <w:sz w:val="20"/>
            <w:szCs w:val="20"/>
            <w:lang w:bidi="en-US"/>
          </w:rPr>
          <w:t>NCSC State Court Interpreter Testing Desk Reference Manual</w:t>
        </w:r>
      </w:hyperlink>
      <w:r w:rsidRPr="004B134C">
        <w:rPr>
          <w:rFonts w:asciiTheme="minorHAnsi" w:hAnsiTheme="minorHAnsi" w:cstheme="minorHAnsi"/>
          <w:b w:val="0"/>
          <w:iCs/>
          <w:sz w:val="20"/>
          <w:szCs w:val="20"/>
          <w:lang w:bidi="en-US"/>
        </w:rPr>
        <w:t>.</w:t>
      </w:r>
    </w:p>
    <w:p w14:paraId="783CC86E" w14:textId="77777777" w:rsidR="00ED6712" w:rsidRPr="00ED6712" w:rsidRDefault="00ED6712" w:rsidP="003A0663">
      <w:pPr>
        <w:pStyle w:val="Apnd1"/>
        <w:numPr>
          <w:ilvl w:val="1"/>
          <w:numId w:val="17"/>
        </w:numPr>
        <w:spacing w:before="120" w:after="120"/>
        <w:rPr>
          <w:rFonts w:asciiTheme="minorHAnsi" w:hAnsiTheme="minorHAnsi" w:cstheme="minorHAnsi"/>
          <w:bCs/>
          <w:iCs/>
          <w:sz w:val="20"/>
          <w:szCs w:val="20"/>
          <w:lang w:bidi="en-US"/>
        </w:rPr>
      </w:pPr>
      <w:r w:rsidRPr="00ED6712">
        <w:rPr>
          <w:rFonts w:asciiTheme="minorHAnsi" w:hAnsiTheme="minorHAnsi" w:cstheme="minorHAnsi"/>
          <w:bCs/>
          <w:iCs/>
          <w:sz w:val="20"/>
          <w:szCs w:val="20"/>
          <w:lang w:bidi="en-US"/>
        </w:rPr>
        <w:t xml:space="preserve">Certified Interpreter Status </w:t>
      </w:r>
    </w:p>
    <w:p w14:paraId="4EE21208" w14:textId="77777777" w:rsidR="00ED6712" w:rsidRPr="00ED6712" w:rsidRDefault="00ED6712" w:rsidP="003A0663">
      <w:pPr>
        <w:keepNext/>
        <w:numPr>
          <w:ilvl w:val="2"/>
          <w:numId w:val="17"/>
        </w:numPr>
        <w:spacing w:before="120"/>
        <w:ind w:left="1620" w:hanging="900"/>
        <w:rPr>
          <w:rFonts w:eastAsia="Times New Roman"/>
          <w:b/>
          <w:sz w:val="20"/>
        </w:rPr>
      </w:pPr>
      <w:r w:rsidRPr="00ED6712">
        <w:rPr>
          <w:rFonts w:eastAsia="Times New Roman"/>
          <w:bCs/>
          <w:sz w:val="20"/>
        </w:rPr>
        <w:t xml:space="preserve">The </w:t>
      </w:r>
      <w:r w:rsidRPr="00ED6712">
        <w:rPr>
          <w:rFonts w:eastAsia="Times New Roman"/>
          <w:sz w:val="20"/>
        </w:rPr>
        <w:t xml:space="preserve">Bilingual Interpreting Examination (BIE) is a four-part oral exam that </w:t>
      </w:r>
      <w:r w:rsidRPr="00ED6712">
        <w:rPr>
          <w:rFonts w:eastAsia="Times New Roman"/>
          <w:bCs/>
          <w:sz w:val="20"/>
        </w:rPr>
        <w:t>evaluates</w:t>
      </w:r>
      <w:r w:rsidRPr="00ED6712">
        <w:rPr>
          <w:rFonts w:eastAsia="Times New Roman"/>
          <w:sz w:val="20"/>
        </w:rPr>
        <w:t xml:space="preserve"> a candidate’s skills and abilities in a certified-specific high diffusion spoken language, such as Spanish or Vietnamese. Testing includes, 1) Sight Translation (English to non-English [Foreign] Language), 2) Sight Translation (non-English [Foreign] Language to English), 3) Consecutive Interpretation, and 4) Simultaneous Interpretation. To achieve certification, candidates for </w:t>
      </w:r>
      <w:r w:rsidRPr="00ED6712">
        <w:rPr>
          <w:rFonts w:eastAsia="Times New Roman"/>
          <w:sz w:val="20"/>
        </w:rPr>
        <w:lastRenderedPageBreak/>
        <w:t>certified spoken languages must meet the following requirements in a single exam sitting: 1). Pass all four sections of the oral BIE in one sitting, and 2). Score 70% or higher in each section.</w:t>
      </w:r>
    </w:p>
    <w:p w14:paraId="51DA904D" w14:textId="77777777" w:rsidR="00ED6712" w:rsidRPr="00ED6712" w:rsidRDefault="00ED6712" w:rsidP="003A0663">
      <w:pPr>
        <w:keepNext/>
        <w:numPr>
          <w:ilvl w:val="2"/>
          <w:numId w:val="17"/>
        </w:numPr>
        <w:spacing w:before="120"/>
        <w:ind w:left="1620" w:hanging="900"/>
        <w:rPr>
          <w:rFonts w:eastAsia="Times New Roman"/>
          <w:sz w:val="20"/>
        </w:rPr>
      </w:pPr>
      <w:r w:rsidRPr="00ED6712">
        <w:rPr>
          <w:rFonts w:eastAsia="Times New Roman"/>
          <w:bCs/>
          <w:sz w:val="20"/>
        </w:rPr>
        <w:t>The</w:t>
      </w:r>
      <w:r w:rsidRPr="00ED6712">
        <w:rPr>
          <w:rFonts w:eastAsia="Times New Roman"/>
          <w:sz w:val="20"/>
        </w:rPr>
        <w:t xml:space="preserve"> Judicial Council develops and maintains a limited number of high-demand language exams, designated as certified, in accordance with NCSC guidelines. These exams are specifically maintained as California-only examinations.</w:t>
      </w:r>
    </w:p>
    <w:p w14:paraId="48DEBA2E" w14:textId="77777777" w:rsidR="00ED6712" w:rsidRPr="00ED6712" w:rsidRDefault="00ED6712" w:rsidP="003A0663">
      <w:pPr>
        <w:keepNext/>
        <w:numPr>
          <w:ilvl w:val="2"/>
          <w:numId w:val="17"/>
        </w:numPr>
        <w:spacing w:before="120"/>
        <w:ind w:left="1620" w:hanging="900"/>
        <w:rPr>
          <w:rFonts w:eastAsia="Times New Roman"/>
          <w:sz w:val="20"/>
        </w:rPr>
      </w:pPr>
      <w:bookmarkStart w:id="0" w:name="_Hlk112917655"/>
      <w:r w:rsidRPr="00ED6712">
        <w:rPr>
          <w:rFonts w:eastAsia="Times New Roman"/>
          <w:bCs/>
          <w:sz w:val="20"/>
        </w:rPr>
        <w:t xml:space="preserve">Access to the BIE is provided by the NCSC. For California-only exams, these exam </w:t>
      </w:r>
      <w:r w:rsidRPr="00ED6712">
        <w:rPr>
          <w:rFonts w:eastAsia="Times New Roman"/>
          <w:sz w:val="20"/>
        </w:rPr>
        <w:t>forms are managed by the Judicial Council of California.</w:t>
      </w:r>
    </w:p>
    <w:p w14:paraId="2399593E" w14:textId="77777777" w:rsidR="00ED6712" w:rsidRPr="00ED6712" w:rsidRDefault="00ED6712" w:rsidP="003A0663">
      <w:pPr>
        <w:keepNext/>
        <w:numPr>
          <w:ilvl w:val="2"/>
          <w:numId w:val="17"/>
        </w:numPr>
        <w:spacing w:before="120"/>
        <w:ind w:left="1620" w:hanging="900"/>
        <w:rPr>
          <w:rFonts w:eastAsia="Times New Roman"/>
          <w:sz w:val="20"/>
        </w:rPr>
      </w:pPr>
      <w:r w:rsidRPr="00ED6712">
        <w:rPr>
          <w:rFonts w:eastAsia="Times New Roman"/>
          <w:sz w:val="20"/>
        </w:rPr>
        <w:t>The BIE is administered in person at testing sites across California by a vendor. Candidate scores are reported to both the NCSC and the Judicial Council of California at the conclusion of each exam administration.</w:t>
      </w:r>
    </w:p>
    <w:bookmarkEnd w:id="0"/>
    <w:p w14:paraId="43E1EDC3" w14:textId="0838F7CE" w:rsidR="00ED6712" w:rsidRDefault="00ED6712" w:rsidP="003A0663">
      <w:pPr>
        <w:keepNext/>
        <w:numPr>
          <w:ilvl w:val="2"/>
          <w:numId w:val="17"/>
        </w:numPr>
        <w:spacing w:before="120"/>
        <w:ind w:left="1620" w:hanging="900"/>
        <w:rPr>
          <w:rFonts w:eastAsia="Times New Roman"/>
          <w:sz w:val="20"/>
        </w:rPr>
      </w:pPr>
      <w:r w:rsidRPr="00ED6712">
        <w:rPr>
          <w:rFonts w:eastAsia="Times New Roman"/>
          <w:sz w:val="20"/>
        </w:rPr>
        <w:t>There are 12 certified spoken languages, with 9 managed by the NCSC and three (3) managed exclusively by the Judicial Council of California as California-only examinations (which are designated with an asterisk (*)). These languages are Arabic (Egyptian/Levantine), *Eastern Armenian, Cantonese, *Farsi (Persian), Korean, Mandarin, Portuguese, *Punjabi (India), Russian, Spanish, Tagalog (Filipino), and Vietnamese.</w:t>
      </w:r>
    </w:p>
    <w:p w14:paraId="32877CC6" w14:textId="611208A0" w:rsidR="004D31FD" w:rsidRPr="006337CC" w:rsidRDefault="004D31FD" w:rsidP="003A0663">
      <w:pPr>
        <w:pStyle w:val="ListParagraph"/>
        <w:keepNext/>
        <w:numPr>
          <w:ilvl w:val="1"/>
          <w:numId w:val="18"/>
        </w:numPr>
        <w:spacing w:before="120"/>
        <w:rPr>
          <w:b/>
          <w:sz w:val="20"/>
        </w:rPr>
      </w:pPr>
      <w:r w:rsidRPr="006337CC">
        <w:rPr>
          <w:b/>
          <w:sz w:val="20"/>
        </w:rPr>
        <w:t>Previous Volume, Projected Volume and Re-Test Requests.</w:t>
      </w:r>
    </w:p>
    <w:p w14:paraId="12CA8615" w14:textId="79731BAE" w:rsidR="004D31FD" w:rsidRPr="004D31FD" w:rsidRDefault="004D31FD" w:rsidP="006337CC">
      <w:pPr>
        <w:pStyle w:val="ListParagraph"/>
        <w:keepNext/>
        <w:spacing w:before="120"/>
        <w:rPr>
          <w:bCs/>
          <w:sz w:val="20"/>
        </w:rPr>
      </w:pPr>
      <w:r w:rsidRPr="004D31FD">
        <w:rPr>
          <w:b/>
          <w:bCs/>
          <w:sz w:val="20"/>
        </w:rPr>
        <w:t>Table 1</w:t>
      </w:r>
      <w:r w:rsidR="00286EF4">
        <w:rPr>
          <w:sz w:val="20"/>
        </w:rPr>
        <w:t xml:space="preserve"> </w:t>
      </w:r>
      <w:r w:rsidRPr="004D31FD">
        <w:rPr>
          <w:sz w:val="20"/>
        </w:rPr>
        <w:t xml:space="preserve">below illustrates the number of exam takers for languages Other Than </w:t>
      </w:r>
      <w:r w:rsidRPr="004D31FD">
        <w:rPr>
          <w:bCs/>
          <w:sz w:val="20"/>
        </w:rPr>
        <w:t xml:space="preserve">Spanish </w:t>
      </w:r>
      <w:r w:rsidRPr="004D31FD">
        <w:rPr>
          <w:sz w:val="20"/>
        </w:rPr>
        <w:t>(OTS) between 2018 and 2024. In 2020, due to the COVID-19 pandemic, no BIEs were administered.</w:t>
      </w:r>
    </w:p>
    <w:p w14:paraId="7E869869" w14:textId="5E89BAD0" w:rsidR="004D31FD" w:rsidRPr="004D31FD" w:rsidRDefault="004D31FD" w:rsidP="004D31FD">
      <w:pPr>
        <w:spacing w:before="240" w:after="240"/>
        <w:ind w:left="928"/>
        <w:rPr>
          <w:sz w:val="20"/>
        </w:rPr>
      </w:pPr>
      <w:r w:rsidRPr="004D31FD">
        <w:rPr>
          <w:b/>
          <w:bCs/>
          <w:sz w:val="20"/>
        </w:rPr>
        <w:t>Table 1, Historical Candidate Counts:</w:t>
      </w:r>
      <w:r w:rsidRPr="004D31FD">
        <w:rPr>
          <w:sz w:val="20"/>
        </w:rPr>
        <w:t xml:space="preserve"> Exam Administration Data (2018–2024)</w:t>
      </w:r>
    </w:p>
    <w:tbl>
      <w:tblPr>
        <w:tblStyle w:val="TableGrid"/>
        <w:tblW w:w="8460" w:type="dxa"/>
        <w:tblInd w:w="985" w:type="dxa"/>
        <w:tblLayout w:type="fixed"/>
        <w:tblLook w:val="04A0" w:firstRow="1" w:lastRow="0" w:firstColumn="1" w:lastColumn="0" w:noHBand="0" w:noVBand="1"/>
      </w:tblPr>
      <w:tblGrid>
        <w:gridCol w:w="2965"/>
        <w:gridCol w:w="3515"/>
        <w:gridCol w:w="1980"/>
      </w:tblGrid>
      <w:tr w:rsidR="004D31FD" w:rsidRPr="004D31FD" w14:paraId="6ECD38DE" w14:textId="77777777" w:rsidTr="00FE1059">
        <w:trPr>
          <w:tblHeader/>
        </w:trPr>
        <w:tc>
          <w:tcPr>
            <w:tcW w:w="2965" w:type="dxa"/>
            <w:shd w:val="clear" w:color="auto" w:fill="F2F2F2" w:themeFill="background1" w:themeFillShade="F2"/>
          </w:tcPr>
          <w:p w14:paraId="0C91EA9C" w14:textId="77777777" w:rsidR="004D31FD" w:rsidRPr="004D31FD" w:rsidRDefault="004D31FD" w:rsidP="00FE1059">
            <w:pPr>
              <w:widowControl w:val="0"/>
              <w:jc w:val="center"/>
              <w:rPr>
                <w:b/>
                <w:bCs/>
                <w:sz w:val="20"/>
              </w:rPr>
            </w:pPr>
            <w:r w:rsidRPr="004D31FD">
              <w:rPr>
                <w:b/>
                <w:bCs/>
                <w:sz w:val="20"/>
              </w:rPr>
              <w:t>Calendar Year</w:t>
            </w:r>
          </w:p>
        </w:tc>
        <w:tc>
          <w:tcPr>
            <w:tcW w:w="3515" w:type="dxa"/>
            <w:shd w:val="clear" w:color="auto" w:fill="F2F2F2" w:themeFill="background1" w:themeFillShade="F2"/>
          </w:tcPr>
          <w:p w14:paraId="54E21CE4" w14:textId="77777777" w:rsidR="004D31FD" w:rsidRPr="004D31FD" w:rsidRDefault="004D31FD" w:rsidP="00FE1059">
            <w:pPr>
              <w:widowControl w:val="0"/>
              <w:ind w:left="425" w:hanging="270"/>
              <w:jc w:val="center"/>
              <w:rPr>
                <w:b/>
                <w:bCs/>
                <w:sz w:val="20"/>
              </w:rPr>
            </w:pPr>
            <w:r w:rsidRPr="004D31FD">
              <w:rPr>
                <w:b/>
                <w:bCs/>
                <w:sz w:val="20"/>
              </w:rPr>
              <w:t>BIE</w:t>
            </w:r>
          </w:p>
        </w:tc>
        <w:tc>
          <w:tcPr>
            <w:tcW w:w="1980" w:type="dxa"/>
            <w:shd w:val="clear" w:color="auto" w:fill="F2F2F2" w:themeFill="background1" w:themeFillShade="F2"/>
          </w:tcPr>
          <w:p w14:paraId="017B35D7" w14:textId="77777777" w:rsidR="004D31FD" w:rsidRPr="004D31FD" w:rsidRDefault="004D31FD" w:rsidP="00FE1059">
            <w:pPr>
              <w:widowControl w:val="0"/>
              <w:ind w:left="425" w:hanging="270"/>
              <w:jc w:val="center"/>
              <w:rPr>
                <w:b/>
                <w:bCs/>
                <w:sz w:val="20"/>
              </w:rPr>
            </w:pPr>
            <w:r w:rsidRPr="004D31FD">
              <w:rPr>
                <w:b/>
                <w:bCs/>
                <w:sz w:val="20"/>
              </w:rPr>
              <w:t>OTS</w:t>
            </w:r>
          </w:p>
        </w:tc>
      </w:tr>
      <w:tr w:rsidR="004D31FD" w:rsidRPr="004D31FD" w14:paraId="0D4B5306" w14:textId="77777777" w:rsidTr="00FE1059">
        <w:tc>
          <w:tcPr>
            <w:tcW w:w="2965" w:type="dxa"/>
          </w:tcPr>
          <w:p w14:paraId="520B8C97" w14:textId="77777777" w:rsidR="004D31FD" w:rsidRPr="004D31FD" w:rsidRDefault="004D31FD" w:rsidP="00FE1059">
            <w:pPr>
              <w:widowControl w:val="0"/>
              <w:ind w:left="425" w:hanging="270"/>
              <w:jc w:val="center"/>
              <w:rPr>
                <w:sz w:val="20"/>
              </w:rPr>
            </w:pPr>
            <w:r w:rsidRPr="004D31FD">
              <w:rPr>
                <w:sz w:val="20"/>
              </w:rPr>
              <w:t>2018</w:t>
            </w:r>
          </w:p>
        </w:tc>
        <w:tc>
          <w:tcPr>
            <w:tcW w:w="3515" w:type="dxa"/>
          </w:tcPr>
          <w:p w14:paraId="201D7079" w14:textId="77777777" w:rsidR="004D31FD" w:rsidRPr="004D31FD" w:rsidRDefault="004D31FD" w:rsidP="00FE1059">
            <w:pPr>
              <w:widowControl w:val="0"/>
              <w:ind w:left="425" w:hanging="270"/>
              <w:jc w:val="center"/>
              <w:rPr>
                <w:sz w:val="20"/>
              </w:rPr>
            </w:pPr>
            <w:r w:rsidRPr="004D31FD">
              <w:rPr>
                <w:sz w:val="20"/>
              </w:rPr>
              <w:t>672</w:t>
            </w:r>
          </w:p>
        </w:tc>
        <w:tc>
          <w:tcPr>
            <w:tcW w:w="1980" w:type="dxa"/>
          </w:tcPr>
          <w:p w14:paraId="24708FDA" w14:textId="77777777" w:rsidR="004D31FD" w:rsidRPr="004D31FD" w:rsidRDefault="004D31FD" w:rsidP="00FE1059">
            <w:pPr>
              <w:widowControl w:val="0"/>
              <w:ind w:left="425" w:hanging="270"/>
              <w:jc w:val="center"/>
              <w:rPr>
                <w:sz w:val="20"/>
              </w:rPr>
            </w:pPr>
            <w:r w:rsidRPr="004D31FD">
              <w:rPr>
                <w:sz w:val="20"/>
              </w:rPr>
              <w:t>214</w:t>
            </w:r>
          </w:p>
        </w:tc>
      </w:tr>
      <w:tr w:rsidR="004D31FD" w:rsidRPr="004D31FD" w14:paraId="6B7D54E9" w14:textId="77777777" w:rsidTr="00FE1059">
        <w:tc>
          <w:tcPr>
            <w:tcW w:w="2965" w:type="dxa"/>
          </w:tcPr>
          <w:p w14:paraId="1DBCC2D5" w14:textId="77777777" w:rsidR="004D31FD" w:rsidRPr="004D31FD" w:rsidRDefault="004D31FD" w:rsidP="00FE1059">
            <w:pPr>
              <w:widowControl w:val="0"/>
              <w:ind w:left="425" w:hanging="270"/>
              <w:jc w:val="center"/>
              <w:rPr>
                <w:sz w:val="20"/>
              </w:rPr>
            </w:pPr>
            <w:r w:rsidRPr="004D31FD">
              <w:rPr>
                <w:sz w:val="20"/>
              </w:rPr>
              <w:t>2019</w:t>
            </w:r>
          </w:p>
        </w:tc>
        <w:tc>
          <w:tcPr>
            <w:tcW w:w="3515" w:type="dxa"/>
          </w:tcPr>
          <w:p w14:paraId="6D8B1AF3" w14:textId="77777777" w:rsidR="004D31FD" w:rsidRPr="004D31FD" w:rsidRDefault="004D31FD" w:rsidP="00FE1059">
            <w:pPr>
              <w:widowControl w:val="0"/>
              <w:ind w:left="425" w:hanging="270"/>
              <w:jc w:val="center"/>
              <w:rPr>
                <w:sz w:val="20"/>
              </w:rPr>
            </w:pPr>
            <w:r w:rsidRPr="004D31FD">
              <w:rPr>
                <w:sz w:val="20"/>
              </w:rPr>
              <w:t>661</w:t>
            </w:r>
          </w:p>
        </w:tc>
        <w:tc>
          <w:tcPr>
            <w:tcW w:w="1980" w:type="dxa"/>
          </w:tcPr>
          <w:p w14:paraId="0C95D79D" w14:textId="77777777" w:rsidR="004D31FD" w:rsidRPr="004D31FD" w:rsidRDefault="004D31FD" w:rsidP="00FE1059">
            <w:pPr>
              <w:widowControl w:val="0"/>
              <w:ind w:left="425" w:hanging="270"/>
              <w:jc w:val="center"/>
              <w:rPr>
                <w:sz w:val="20"/>
              </w:rPr>
            </w:pPr>
            <w:r w:rsidRPr="004D31FD">
              <w:rPr>
                <w:sz w:val="20"/>
              </w:rPr>
              <w:t>211</w:t>
            </w:r>
          </w:p>
        </w:tc>
      </w:tr>
      <w:tr w:rsidR="004D31FD" w:rsidRPr="004D31FD" w14:paraId="5F0A7D47" w14:textId="77777777" w:rsidTr="00FE1059">
        <w:tc>
          <w:tcPr>
            <w:tcW w:w="2965" w:type="dxa"/>
          </w:tcPr>
          <w:p w14:paraId="422F554C" w14:textId="77777777" w:rsidR="004D31FD" w:rsidRPr="004D31FD" w:rsidRDefault="004D31FD" w:rsidP="00FE1059">
            <w:pPr>
              <w:widowControl w:val="0"/>
              <w:ind w:left="425" w:hanging="270"/>
              <w:jc w:val="center"/>
              <w:rPr>
                <w:sz w:val="20"/>
              </w:rPr>
            </w:pPr>
            <w:r w:rsidRPr="004D31FD">
              <w:rPr>
                <w:sz w:val="20"/>
              </w:rPr>
              <w:t>2020</w:t>
            </w:r>
          </w:p>
        </w:tc>
        <w:tc>
          <w:tcPr>
            <w:tcW w:w="5495" w:type="dxa"/>
            <w:gridSpan w:val="2"/>
          </w:tcPr>
          <w:p w14:paraId="2CE818C1" w14:textId="77777777" w:rsidR="004D31FD" w:rsidRPr="004D31FD" w:rsidRDefault="004D31FD" w:rsidP="00FE1059">
            <w:pPr>
              <w:widowControl w:val="0"/>
              <w:ind w:left="425" w:hanging="270"/>
              <w:jc w:val="center"/>
              <w:rPr>
                <w:b/>
                <w:bCs/>
                <w:sz w:val="20"/>
              </w:rPr>
            </w:pPr>
            <w:r w:rsidRPr="004D31FD">
              <w:rPr>
                <w:b/>
                <w:bCs/>
                <w:sz w:val="20"/>
              </w:rPr>
              <w:t>No Exam Administration Due to COVID-19</w:t>
            </w:r>
          </w:p>
        </w:tc>
      </w:tr>
      <w:tr w:rsidR="004D31FD" w:rsidRPr="004D31FD" w14:paraId="4D6ABC94" w14:textId="77777777" w:rsidTr="00FE1059">
        <w:tc>
          <w:tcPr>
            <w:tcW w:w="2965" w:type="dxa"/>
          </w:tcPr>
          <w:p w14:paraId="3074EC7A" w14:textId="77777777" w:rsidR="004D31FD" w:rsidRPr="004D31FD" w:rsidRDefault="004D31FD" w:rsidP="00FE1059">
            <w:pPr>
              <w:widowControl w:val="0"/>
              <w:ind w:left="425" w:hanging="270"/>
              <w:jc w:val="center"/>
              <w:rPr>
                <w:sz w:val="20"/>
              </w:rPr>
            </w:pPr>
            <w:r w:rsidRPr="004D31FD">
              <w:rPr>
                <w:sz w:val="20"/>
              </w:rPr>
              <w:t>2021</w:t>
            </w:r>
          </w:p>
        </w:tc>
        <w:tc>
          <w:tcPr>
            <w:tcW w:w="3515" w:type="dxa"/>
          </w:tcPr>
          <w:p w14:paraId="10A0DC70" w14:textId="77777777" w:rsidR="004D31FD" w:rsidRPr="004D31FD" w:rsidRDefault="004D31FD" w:rsidP="00FE1059">
            <w:pPr>
              <w:widowControl w:val="0"/>
              <w:ind w:left="425" w:hanging="270"/>
              <w:jc w:val="center"/>
              <w:rPr>
                <w:sz w:val="20"/>
              </w:rPr>
            </w:pPr>
            <w:r w:rsidRPr="004D31FD">
              <w:rPr>
                <w:sz w:val="20"/>
              </w:rPr>
              <w:t>190</w:t>
            </w:r>
          </w:p>
        </w:tc>
        <w:tc>
          <w:tcPr>
            <w:tcW w:w="1980" w:type="dxa"/>
          </w:tcPr>
          <w:p w14:paraId="06357F8B" w14:textId="77777777" w:rsidR="004D31FD" w:rsidRPr="004D31FD" w:rsidRDefault="004D31FD" w:rsidP="00FE1059">
            <w:pPr>
              <w:widowControl w:val="0"/>
              <w:ind w:left="425" w:hanging="270"/>
              <w:jc w:val="center"/>
              <w:rPr>
                <w:sz w:val="20"/>
              </w:rPr>
            </w:pPr>
            <w:r w:rsidRPr="004D31FD">
              <w:rPr>
                <w:sz w:val="20"/>
              </w:rPr>
              <w:t>25</w:t>
            </w:r>
          </w:p>
        </w:tc>
      </w:tr>
      <w:tr w:rsidR="004D31FD" w:rsidRPr="004D31FD" w14:paraId="0879C6B3" w14:textId="77777777" w:rsidTr="00FE1059">
        <w:tc>
          <w:tcPr>
            <w:tcW w:w="2965" w:type="dxa"/>
          </w:tcPr>
          <w:p w14:paraId="12D165BE" w14:textId="77777777" w:rsidR="004D31FD" w:rsidRPr="004D31FD" w:rsidRDefault="004D31FD" w:rsidP="00FE1059">
            <w:pPr>
              <w:widowControl w:val="0"/>
              <w:ind w:left="425" w:hanging="270"/>
              <w:jc w:val="center"/>
              <w:rPr>
                <w:sz w:val="20"/>
              </w:rPr>
            </w:pPr>
            <w:r w:rsidRPr="004D31FD">
              <w:rPr>
                <w:sz w:val="20"/>
              </w:rPr>
              <w:t>2022</w:t>
            </w:r>
          </w:p>
        </w:tc>
        <w:tc>
          <w:tcPr>
            <w:tcW w:w="3515" w:type="dxa"/>
          </w:tcPr>
          <w:p w14:paraId="0638D3B0" w14:textId="77777777" w:rsidR="004D31FD" w:rsidRPr="004D31FD" w:rsidRDefault="004D31FD" w:rsidP="00FE1059">
            <w:pPr>
              <w:widowControl w:val="0"/>
              <w:ind w:left="425" w:hanging="270"/>
              <w:jc w:val="center"/>
              <w:rPr>
                <w:sz w:val="20"/>
              </w:rPr>
            </w:pPr>
            <w:r w:rsidRPr="004D31FD">
              <w:rPr>
                <w:sz w:val="20"/>
              </w:rPr>
              <w:t>244</w:t>
            </w:r>
          </w:p>
        </w:tc>
        <w:tc>
          <w:tcPr>
            <w:tcW w:w="1980" w:type="dxa"/>
          </w:tcPr>
          <w:p w14:paraId="4D1DBA1D" w14:textId="77777777" w:rsidR="004D31FD" w:rsidRPr="004D31FD" w:rsidRDefault="004D31FD" w:rsidP="00FE1059">
            <w:pPr>
              <w:widowControl w:val="0"/>
              <w:ind w:left="425" w:hanging="270"/>
              <w:jc w:val="center"/>
              <w:rPr>
                <w:sz w:val="20"/>
              </w:rPr>
            </w:pPr>
            <w:r w:rsidRPr="004D31FD">
              <w:rPr>
                <w:sz w:val="20"/>
              </w:rPr>
              <w:t>60</w:t>
            </w:r>
          </w:p>
        </w:tc>
      </w:tr>
      <w:tr w:rsidR="004D31FD" w:rsidRPr="004D31FD" w14:paraId="133A5584" w14:textId="77777777" w:rsidTr="00FE1059">
        <w:tc>
          <w:tcPr>
            <w:tcW w:w="2965" w:type="dxa"/>
          </w:tcPr>
          <w:p w14:paraId="42C8848A" w14:textId="77777777" w:rsidR="004D31FD" w:rsidRPr="004D31FD" w:rsidRDefault="004D31FD" w:rsidP="00FE1059">
            <w:pPr>
              <w:widowControl w:val="0"/>
              <w:ind w:left="425" w:hanging="270"/>
              <w:jc w:val="center"/>
              <w:rPr>
                <w:sz w:val="20"/>
              </w:rPr>
            </w:pPr>
            <w:r w:rsidRPr="004D31FD">
              <w:rPr>
                <w:sz w:val="20"/>
              </w:rPr>
              <w:t>2023</w:t>
            </w:r>
          </w:p>
        </w:tc>
        <w:tc>
          <w:tcPr>
            <w:tcW w:w="3515" w:type="dxa"/>
          </w:tcPr>
          <w:p w14:paraId="21916EDD" w14:textId="77777777" w:rsidR="004D31FD" w:rsidRPr="004D31FD" w:rsidRDefault="004D31FD" w:rsidP="00FE1059">
            <w:pPr>
              <w:widowControl w:val="0"/>
              <w:ind w:left="425" w:hanging="270"/>
              <w:jc w:val="center"/>
              <w:rPr>
                <w:sz w:val="20"/>
              </w:rPr>
            </w:pPr>
            <w:r w:rsidRPr="004D31FD">
              <w:rPr>
                <w:sz w:val="20"/>
              </w:rPr>
              <w:t>226</w:t>
            </w:r>
          </w:p>
        </w:tc>
        <w:tc>
          <w:tcPr>
            <w:tcW w:w="1980" w:type="dxa"/>
          </w:tcPr>
          <w:p w14:paraId="6356C7C2" w14:textId="77777777" w:rsidR="004D31FD" w:rsidRPr="004D31FD" w:rsidRDefault="004D31FD" w:rsidP="00FE1059">
            <w:pPr>
              <w:widowControl w:val="0"/>
              <w:ind w:left="425" w:hanging="270"/>
              <w:jc w:val="center"/>
              <w:rPr>
                <w:sz w:val="20"/>
              </w:rPr>
            </w:pPr>
            <w:r w:rsidRPr="004D31FD">
              <w:rPr>
                <w:sz w:val="20"/>
              </w:rPr>
              <w:t>88</w:t>
            </w:r>
          </w:p>
        </w:tc>
      </w:tr>
      <w:tr w:rsidR="004D31FD" w:rsidRPr="004D31FD" w14:paraId="58F01888" w14:textId="77777777" w:rsidTr="00FE1059">
        <w:tc>
          <w:tcPr>
            <w:tcW w:w="2965" w:type="dxa"/>
          </w:tcPr>
          <w:p w14:paraId="3FEF5BFB" w14:textId="77777777" w:rsidR="004D31FD" w:rsidRPr="004D31FD" w:rsidRDefault="004D31FD" w:rsidP="00FE1059">
            <w:pPr>
              <w:widowControl w:val="0"/>
              <w:ind w:left="425" w:hanging="270"/>
              <w:jc w:val="center"/>
              <w:rPr>
                <w:sz w:val="20"/>
              </w:rPr>
            </w:pPr>
            <w:r w:rsidRPr="004D31FD">
              <w:rPr>
                <w:sz w:val="20"/>
              </w:rPr>
              <w:t>2024</w:t>
            </w:r>
          </w:p>
        </w:tc>
        <w:tc>
          <w:tcPr>
            <w:tcW w:w="3515" w:type="dxa"/>
          </w:tcPr>
          <w:p w14:paraId="5CA87A68" w14:textId="77777777" w:rsidR="004D31FD" w:rsidRPr="004D31FD" w:rsidRDefault="004D31FD" w:rsidP="00FE1059">
            <w:pPr>
              <w:widowControl w:val="0"/>
              <w:ind w:left="425" w:hanging="270"/>
              <w:jc w:val="center"/>
              <w:rPr>
                <w:sz w:val="20"/>
              </w:rPr>
            </w:pPr>
            <w:r w:rsidRPr="004D31FD">
              <w:rPr>
                <w:sz w:val="20"/>
              </w:rPr>
              <w:t>404</w:t>
            </w:r>
          </w:p>
        </w:tc>
        <w:tc>
          <w:tcPr>
            <w:tcW w:w="1980" w:type="dxa"/>
          </w:tcPr>
          <w:p w14:paraId="466CD9E6" w14:textId="77777777" w:rsidR="004D31FD" w:rsidRPr="004D31FD" w:rsidRDefault="004D31FD" w:rsidP="00FE1059">
            <w:pPr>
              <w:widowControl w:val="0"/>
              <w:ind w:left="425" w:hanging="270"/>
              <w:jc w:val="center"/>
              <w:rPr>
                <w:sz w:val="20"/>
              </w:rPr>
            </w:pPr>
            <w:r w:rsidRPr="004D31FD">
              <w:rPr>
                <w:sz w:val="20"/>
              </w:rPr>
              <w:t>55</w:t>
            </w:r>
          </w:p>
        </w:tc>
      </w:tr>
    </w:tbl>
    <w:p w14:paraId="0DE9FA4B" w14:textId="4BDD388C" w:rsidR="004D31FD" w:rsidRPr="00111990" w:rsidRDefault="004D31FD" w:rsidP="00111990">
      <w:pPr>
        <w:pStyle w:val="ListParagraph"/>
        <w:keepNext/>
        <w:numPr>
          <w:ilvl w:val="2"/>
          <w:numId w:val="24"/>
        </w:numPr>
        <w:spacing w:before="120"/>
        <w:ind w:left="1620" w:hanging="900"/>
        <w:rPr>
          <w:color w:val="000000" w:themeColor="text1"/>
          <w:sz w:val="20"/>
        </w:rPr>
      </w:pPr>
      <w:r w:rsidRPr="00111990">
        <w:rPr>
          <w:b/>
          <w:bCs/>
          <w:color w:val="000000" w:themeColor="text1"/>
          <w:sz w:val="20"/>
        </w:rPr>
        <w:t>Third Ratings:</w:t>
      </w:r>
      <w:r w:rsidRPr="00111990">
        <w:rPr>
          <w:color w:val="000000" w:themeColor="text1"/>
          <w:sz w:val="20"/>
        </w:rPr>
        <w:t xml:space="preserve"> The </w:t>
      </w:r>
      <w:r w:rsidR="00286EF4" w:rsidRPr="00111990">
        <w:rPr>
          <w:color w:val="000000" w:themeColor="text1"/>
          <w:sz w:val="20"/>
        </w:rPr>
        <w:t>Contractor</w:t>
      </w:r>
      <w:r w:rsidRPr="00111990">
        <w:rPr>
          <w:color w:val="000000" w:themeColor="text1"/>
          <w:sz w:val="20"/>
        </w:rPr>
        <w:t xml:space="preserve"> must conduct third ratings for exams that fall within the score range of 67% to 69%.</w:t>
      </w:r>
    </w:p>
    <w:p w14:paraId="366B5B37" w14:textId="7949DA2A" w:rsidR="00AA6B8E" w:rsidRPr="006337CC" w:rsidRDefault="006337CC" w:rsidP="006337CC">
      <w:pPr>
        <w:pStyle w:val="ListParagraph"/>
        <w:keepNext/>
        <w:spacing w:before="120"/>
        <w:ind w:left="1620" w:hanging="900"/>
        <w:rPr>
          <w:color w:val="000000" w:themeColor="text1"/>
          <w:sz w:val="20"/>
        </w:rPr>
      </w:pPr>
      <w:r w:rsidRPr="006337CC">
        <w:rPr>
          <w:color w:val="000000" w:themeColor="text1"/>
          <w:sz w:val="20"/>
        </w:rPr>
        <w:t>1.9.2</w:t>
      </w:r>
      <w:r>
        <w:rPr>
          <w:b/>
          <w:bCs/>
          <w:color w:val="000000" w:themeColor="text1"/>
          <w:sz w:val="20"/>
        </w:rPr>
        <w:t>.</w:t>
      </w:r>
      <w:r>
        <w:rPr>
          <w:b/>
          <w:bCs/>
          <w:color w:val="000000" w:themeColor="text1"/>
          <w:sz w:val="20"/>
        </w:rPr>
        <w:tab/>
      </w:r>
      <w:r w:rsidR="004D31FD" w:rsidRPr="004D31FD">
        <w:rPr>
          <w:b/>
          <w:bCs/>
          <w:color w:val="000000" w:themeColor="text1"/>
          <w:sz w:val="20"/>
        </w:rPr>
        <w:t>Appeals:</w:t>
      </w:r>
      <w:r w:rsidR="004D31FD" w:rsidRPr="004D31FD">
        <w:rPr>
          <w:color w:val="000000" w:themeColor="text1"/>
          <w:sz w:val="20"/>
        </w:rPr>
        <w:t xml:space="preserve"> During exam administration, proctoring or technological issues may occasionally arise. If such issues occur, candidates have the right to appeal within 60 days of receiving their exam score results. In these cases, it may be necessary for the existing vendor to re-administer the exam and for the </w:t>
      </w:r>
      <w:r w:rsidR="00B719EB">
        <w:rPr>
          <w:color w:val="000000" w:themeColor="text1"/>
          <w:sz w:val="20"/>
        </w:rPr>
        <w:t>Contractor</w:t>
      </w:r>
      <w:r w:rsidR="004D31FD" w:rsidRPr="004D31FD">
        <w:rPr>
          <w:color w:val="000000" w:themeColor="text1"/>
          <w:sz w:val="20"/>
        </w:rPr>
        <w:t xml:space="preserve"> to re-score it. </w:t>
      </w:r>
    </w:p>
    <w:p w14:paraId="3FB5AF2D" w14:textId="77777777" w:rsidR="003A0663" w:rsidRPr="003A0663" w:rsidRDefault="0004230B" w:rsidP="003A0663">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C335AB" w:rsidRPr="00C335AB">
        <w:rPr>
          <w:rFonts w:asciiTheme="minorHAnsi" w:hAnsiTheme="minorHAnsi" w:cstheme="minorHAnsi"/>
          <w:bCs/>
          <w:sz w:val="20"/>
          <w:lang w:bidi="en-US"/>
        </w:rPr>
        <w:t>.</w:t>
      </w:r>
    </w:p>
    <w:p w14:paraId="67C48018" w14:textId="60D6BB6C" w:rsidR="007B1D82" w:rsidRPr="0082542F" w:rsidRDefault="004544D7" w:rsidP="0082542F">
      <w:pPr>
        <w:pStyle w:val="Apnd1"/>
        <w:numPr>
          <w:ilvl w:val="1"/>
          <w:numId w:val="19"/>
        </w:numPr>
        <w:spacing w:before="120" w:after="120"/>
        <w:rPr>
          <w:rFonts w:asciiTheme="minorHAnsi" w:hAnsiTheme="minorHAnsi" w:cstheme="minorHAnsi"/>
          <w:b w:val="0"/>
          <w:bCs/>
          <w:sz w:val="20"/>
          <w:szCs w:val="20"/>
        </w:rPr>
      </w:pPr>
      <w:r w:rsidRPr="00C335AB">
        <w:rPr>
          <w:rFonts w:asciiTheme="minorHAnsi" w:hAnsiTheme="minorHAnsi" w:cstheme="minorHAnsi"/>
          <w:bCs/>
          <w:sz w:val="20"/>
          <w:lang w:bidi="en-US"/>
        </w:rPr>
        <w:t>Description of Services.</w:t>
      </w:r>
      <w:r w:rsidR="00C4177B" w:rsidRPr="00C335AB">
        <w:rPr>
          <w:rFonts w:asciiTheme="minorHAnsi" w:hAnsiTheme="minorHAnsi" w:cstheme="minorHAnsi"/>
          <w:bCs/>
          <w:sz w:val="20"/>
          <w:lang w:bidi="en-US"/>
        </w:rPr>
        <w:t xml:space="preserve"> </w:t>
      </w:r>
      <w:r w:rsidR="00C4177B" w:rsidRPr="00C335AB">
        <w:rPr>
          <w:rFonts w:asciiTheme="minorHAnsi" w:hAnsiTheme="minorHAnsi" w:cstheme="minorHAnsi"/>
          <w:sz w:val="20"/>
          <w:lang w:bidi="en-US"/>
        </w:rPr>
        <w:t xml:space="preserve"> </w:t>
      </w:r>
      <w:r w:rsidR="00785F95" w:rsidRPr="00782731">
        <w:rPr>
          <w:rFonts w:asciiTheme="minorHAnsi" w:hAnsiTheme="minorHAnsi" w:cstheme="minorHAnsi"/>
          <w:b w:val="0"/>
          <w:bCs/>
          <w:sz w:val="20"/>
          <w:lang w:bidi="en-US"/>
        </w:rPr>
        <w:t>Contracto</w:t>
      </w:r>
      <w:r w:rsidR="00C04E07" w:rsidRPr="00782731">
        <w:rPr>
          <w:rFonts w:asciiTheme="minorHAnsi" w:hAnsiTheme="minorHAnsi" w:cstheme="minorHAnsi"/>
          <w:b w:val="0"/>
          <w:bCs/>
          <w:sz w:val="20"/>
          <w:lang w:bidi="en-US"/>
        </w:rPr>
        <w:t>r shall score and provide related</w:t>
      </w:r>
      <w:r w:rsidR="00CD1F82" w:rsidRPr="00782731">
        <w:rPr>
          <w:rFonts w:asciiTheme="minorHAnsi" w:hAnsiTheme="minorHAnsi" w:cstheme="minorHAnsi"/>
          <w:b w:val="0"/>
          <w:bCs/>
          <w:sz w:val="20"/>
          <w:lang w:bidi="en-US"/>
        </w:rPr>
        <w:t xml:space="preserve"> services</w:t>
      </w:r>
      <w:r w:rsidR="00C04E07" w:rsidRPr="00782731">
        <w:rPr>
          <w:rFonts w:asciiTheme="minorHAnsi" w:hAnsiTheme="minorHAnsi" w:cstheme="minorHAnsi"/>
          <w:b w:val="0"/>
          <w:bCs/>
          <w:sz w:val="20"/>
          <w:lang w:bidi="en-US"/>
        </w:rPr>
        <w:t xml:space="preserve"> </w:t>
      </w:r>
      <w:r w:rsidR="00AD421F" w:rsidRPr="00782731">
        <w:rPr>
          <w:rFonts w:asciiTheme="minorHAnsi" w:hAnsiTheme="minorHAnsi" w:cstheme="minorHAnsi"/>
          <w:b w:val="0"/>
          <w:bCs/>
          <w:sz w:val="20"/>
          <w:lang w:bidi="en-US"/>
        </w:rPr>
        <w:t xml:space="preserve">for the BIE in languages other than Spanish, where the existing exam administrator </w:t>
      </w:r>
      <w:r w:rsidR="00CD1F82" w:rsidRPr="00782731">
        <w:rPr>
          <w:rFonts w:asciiTheme="minorHAnsi" w:hAnsiTheme="minorHAnsi" w:cstheme="minorHAnsi"/>
          <w:b w:val="0"/>
          <w:bCs/>
          <w:sz w:val="20"/>
          <w:lang w:bidi="en-US"/>
        </w:rPr>
        <w:t>is unable to secure raters to grad</w:t>
      </w:r>
      <w:r w:rsidR="006D67F1" w:rsidRPr="00782731">
        <w:rPr>
          <w:rFonts w:asciiTheme="minorHAnsi" w:hAnsiTheme="minorHAnsi" w:cstheme="minorHAnsi"/>
          <w:b w:val="0"/>
          <w:bCs/>
          <w:sz w:val="20"/>
          <w:lang w:bidi="en-US"/>
        </w:rPr>
        <w:t>e</w:t>
      </w:r>
      <w:r w:rsidR="00CD1F82" w:rsidRPr="00782731">
        <w:rPr>
          <w:rFonts w:asciiTheme="minorHAnsi" w:hAnsiTheme="minorHAnsi" w:cstheme="minorHAnsi"/>
          <w:b w:val="0"/>
          <w:bCs/>
          <w:sz w:val="20"/>
          <w:lang w:bidi="en-US"/>
        </w:rPr>
        <w:t xml:space="preserve"> the exams.</w:t>
      </w:r>
      <w:r w:rsidR="0082542F">
        <w:rPr>
          <w:rFonts w:asciiTheme="minorHAnsi" w:hAnsiTheme="minorHAnsi" w:cstheme="minorHAnsi"/>
          <w:b w:val="0"/>
          <w:bCs/>
          <w:sz w:val="20"/>
          <w:lang w:bidi="en-US"/>
        </w:rPr>
        <w:t xml:space="preserve"> </w:t>
      </w:r>
    </w:p>
    <w:p w14:paraId="00C35F1E" w14:textId="1C9C6555" w:rsidR="007847BB" w:rsidRPr="007847BB" w:rsidRDefault="00884CF1" w:rsidP="00212FB0">
      <w:pPr>
        <w:pStyle w:val="Apnd1"/>
        <w:numPr>
          <w:ilvl w:val="1"/>
          <w:numId w:val="19"/>
        </w:numPr>
        <w:spacing w:before="120" w:after="120"/>
        <w:rPr>
          <w:rFonts w:asciiTheme="minorHAnsi" w:hAnsiTheme="minorHAnsi" w:cstheme="minorHAnsi"/>
          <w:b w:val="0"/>
          <w:sz w:val="20"/>
          <w:lang w:bidi="en-US"/>
        </w:rPr>
      </w:pPr>
      <w:r>
        <w:rPr>
          <w:rFonts w:asciiTheme="minorHAnsi" w:hAnsiTheme="minorHAnsi" w:cstheme="minorHAnsi"/>
          <w:b w:val="0"/>
          <w:sz w:val="20"/>
          <w:lang w:bidi="en-US"/>
        </w:rPr>
        <w:t xml:space="preserve">The </w:t>
      </w:r>
      <w:r w:rsidR="001F7005" w:rsidRPr="00212FB0">
        <w:rPr>
          <w:rFonts w:asciiTheme="minorHAnsi" w:hAnsiTheme="minorHAnsi" w:cstheme="minorHAnsi"/>
          <w:b w:val="0"/>
          <w:sz w:val="20"/>
          <w:lang w:bidi="en-US"/>
        </w:rPr>
        <w:t xml:space="preserve">Contractor will </w:t>
      </w:r>
      <w:r w:rsidR="007847BB" w:rsidRPr="007847BB">
        <w:rPr>
          <w:rFonts w:asciiTheme="minorHAnsi" w:hAnsiTheme="minorHAnsi" w:cstheme="minorHAnsi"/>
          <w:b w:val="0"/>
          <w:sz w:val="20"/>
          <w:lang w:bidi="en-US"/>
        </w:rPr>
        <w:t xml:space="preserve">work in close collaboration with the </w:t>
      </w:r>
      <w:r w:rsidR="001F7005" w:rsidRPr="00212FB0">
        <w:rPr>
          <w:rFonts w:asciiTheme="minorHAnsi" w:hAnsiTheme="minorHAnsi" w:cstheme="minorHAnsi"/>
          <w:b w:val="0"/>
          <w:sz w:val="20"/>
          <w:lang w:bidi="en-US"/>
        </w:rPr>
        <w:t xml:space="preserve">existing </w:t>
      </w:r>
      <w:r w:rsidR="007847BB" w:rsidRPr="007847BB">
        <w:rPr>
          <w:rFonts w:asciiTheme="minorHAnsi" w:hAnsiTheme="minorHAnsi" w:cstheme="minorHAnsi"/>
          <w:b w:val="0"/>
          <w:sz w:val="20"/>
          <w:lang w:bidi="en-US"/>
        </w:rPr>
        <w:t xml:space="preserve">exam administrator vendor, </w:t>
      </w:r>
      <w:r w:rsidR="007847BB" w:rsidRPr="007847BB">
        <w:rPr>
          <w:rFonts w:asciiTheme="minorHAnsi" w:hAnsiTheme="minorHAnsi" w:cstheme="minorHAnsi"/>
          <w:bCs/>
          <w:sz w:val="20"/>
          <w:lang w:bidi="en-US"/>
        </w:rPr>
        <w:t>Prometric</w:t>
      </w:r>
      <w:r w:rsidR="007847BB" w:rsidRPr="007847BB">
        <w:rPr>
          <w:rFonts w:asciiTheme="minorHAnsi" w:hAnsiTheme="minorHAnsi" w:cstheme="minorHAnsi"/>
          <w:b w:val="0"/>
          <w:sz w:val="20"/>
          <w:lang w:bidi="en-US"/>
        </w:rPr>
        <w:t xml:space="preserve"> </w:t>
      </w:r>
      <w:r w:rsidR="007847BB" w:rsidRPr="007847BB">
        <w:rPr>
          <w:rFonts w:asciiTheme="minorHAnsi" w:hAnsiTheme="minorHAnsi" w:cstheme="minorHAnsi"/>
          <w:bCs/>
          <w:sz w:val="20"/>
          <w:lang w:bidi="en-US"/>
        </w:rPr>
        <w:t>Inc</w:t>
      </w:r>
      <w:r w:rsidR="007847BB" w:rsidRPr="007847BB">
        <w:rPr>
          <w:rFonts w:asciiTheme="minorHAnsi" w:hAnsiTheme="minorHAnsi" w:cstheme="minorHAnsi"/>
          <w:b w:val="0"/>
          <w:sz w:val="20"/>
          <w:lang w:bidi="en-US"/>
        </w:rPr>
        <w:t xml:space="preserve">., the National Center for State Courts (NCSC), which maintains exam and score information, and the Judicial Council (Council) to effectively manage and adhere to the timeline for completing OTS exam ratings. To fulfill this task, the </w:t>
      </w:r>
      <w:r w:rsidR="007E0B1B">
        <w:rPr>
          <w:rFonts w:asciiTheme="minorHAnsi" w:hAnsiTheme="minorHAnsi" w:cstheme="minorHAnsi"/>
          <w:b w:val="0"/>
          <w:sz w:val="20"/>
          <w:lang w:bidi="en-US"/>
        </w:rPr>
        <w:t>Contractor</w:t>
      </w:r>
      <w:r w:rsidR="007847BB" w:rsidRPr="007847BB">
        <w:rPr>
          <w:rFonts w:asciiTheme="minorHAnsi" w:hAnsiTheme="minorHAnsi" w:cstheme="minorHAnsi"/>
          <w:b w:val="0"/>
          <w:sz w:val="20"/>
          <w:lang w:bidi="en-US"/>
        </w:rPr>
        <w:t xml:space="preserve"> must fulfill the following prerequisites as part of delivering the rating services:</w:t>
      </w:r>
    </w:p>
    <w:p w14:paraId="6224A82F" w14:textId="5F226F5E" w:rsidR="007847BB" w:rsidRDefault="007847BB" w:rsidP="00B32EB5">
      <w:pPr>
        <w:pStyle w:val="ListParagraph"/>
        <w:keepNext/>
        <w:numPr>
          <w:ilvl w:val="0"/>
          <w:numId w:val="20"/>
        </w:numPr>
        <w:spacing w:before="240" w:after="240"/>
        <w:ind w:left="1620" w:hanging="900"/>
        <w:rPr>
          <w:rFonts w:eastAsia="Times New Roman"/>
          <w:color w:val="000000" w:themeColor="text1"/>
          <w:sz w:val="20"/>
        </w:rPr>
      </w:pPr>
      <w:r w:rsidRPr="00B25024">
        <w:rPr>
          <w:rFonts w:eastAsia="Times New Roman"/>
          <w:b/>
          <w:bCs/>
          <w:color w:val="000000" w:themeColor="text1"/>
          <w:sz w:val="20"/>
        </w:rPr>
        <w:t>Rater Recruitment</w:t>
      </w:r>
      <w:r w:rsidRPr="00B25024">
        <w:rPr>
          <w:rFonts w:eastAsia="Times New Roman"/>
          <w:color w:val="000000" w:themeColor="text1"/>
          <w:sz w:val="20"/>
        </w:rPr>
        <w:t xml:space="preserve"> – Identify, vet, and recruit qualified raters with expertise in other than Spanish language examinations. See section </w:t>
      </w:r>
      <w:r w:rsidRPr="00B25024">
        <w:rPr>
          <w:rFonts w:eastAsia="Times New Roman"/>
          <w:b/>
          <w:bCs/>
          <w:color w:val="000000" w:themeColor="text1"/>
          <w:sz w:val="20"/>
        </w:rPr>
        <w:t>1.6</w:t>
      </w:r>
      <w:r w:rsidRPr="00B25024">
        <w:rPr>
          <w:rFonts w:eastAsia="Times New Roman"/>
          <w:color w:val="000000" w:themeColor="text1"/>
          <w:sz w:val="20"/>
        </w:rPr>
        <w:t xml:space="preserve"> for designated language details.</w:t>
      </w:r>
    </w:p>
    <w:p w14:paraId="33550C4F" w14:textId="77777777" w:rsidR="007847BB" w:rsidRPr="00F20C5B" w:rsidRDefault="007847BB" w:rsidP="00F20C5B">
      <w:pPr>
        <w:pStyle w:val="ListParagraph"/>
        <w:keepNext/>
        <w:numPr>
          <w:ilvl w:val="0"/>
          <w:numId w:val="20"/>
        </w:numPr>
        <w:spacing w:before="240" w:after="240"/>
        <w:ind w:left="1620" w:hanging="900"/>
        <w:rPr>
          <w:rFonts w:eastAsia="Times New Roman"/>
          <w:color w:val="000000" w:themeColor="text1"/>
          <w:sz w:val="20"/>
        </w:rPr>
      </w:pPr>
      <w:r w:rsidRPr="00F20C5B">
        <w:rPr>
          <w:rFonts w:eastAsia="Times New Roman"/>
          <w:b/>
          <w:bCs/>
          <w:color w:val="000000" w:themeColor="text1"/>
          <w:sz w:val="20"/>
        </w:rPr>
        <w:t>Rater Training</w:t>
      </w:r>
      <w:r w:rsidRPr="00F20C5B">
        <w:rPr>
          <w:rFonts w:eastAsia="Times New Roman"/>
          <w:color w:val="000000" w:themeColor="text1"/>
          <w:sz w:val="20"/>
        </w:rPr>
        <w:t xml:space="preserve"> – Provide comprehensive, standardized training in alignment with </w:t>
      </w:r>
      <w:hyperlink r:id="rId17" w:history="1">
        <w:r w:rsidRPr="00F20C5B">
          <w:rPr>
            <w:rFonts w:eastAsia="Times New Roman"/>
            <w:color w:val="0000FF"/>
            <w:sz w:val="20"/>
            <w:u w:val="single"/>
          </w:rPr>
          <w:t>National Center for State Courts (NCSC) rater and exam administration guidelines</w:t>
        </w:r>
      </w:hyperlink>
      <w:r w:rsidRPr="00F20C5B">
        <w:rPr>
          <w:rFonts w:eastAsia="Times New Roman"/>
          <w:color w:val="000000" w:themeColor="text1"/>
          <w:sz w:val="20"/>
        </w:rPr>
        <w:t xml:space="preserve"> to ensure raters are fully prepared to apply rating criteria with consistency and accuracy. </w:t>
      </w:r>
      <w:r w:rsidRPr="00F20C5B">
        <w:rPr>
          <w:rFonts w:eastAsia="Times New Roman"/>
          <w:bCs/>
          <w:sz w:val="20"/>
        </w:rPr>
        <w:t xml:space="preserve">This training includes both </w:t>
      </w:r>
      <w:r w:rsidRPr="00F20C5B">
        <w:rPr>
          <w:rFonts w:eastAsia="Times New Roman"/>
          <w:bCs/>
          <w:sz w:val="20"/>
        </w:rPr>
        <w:lastRenderedPageBreak/>
        <w:t>refresher and advanced sessions for new and experienced raters, along with specialized training for lead raters and rater supervisors.</w:t>
      </w:r>
    </w:p>
    <w:p w14:paraId="60C613F4" w14:textId="77777777" w:rsidR="007847BB" w:rsidRDefault="007847BB" w:rsidP="00F20C5B">
      <w:pPr>
        <w:pStyle w:val="ListParagraph"/>
        <w:keepNext/>
        <w:numPr>
          <w:ilvl w:val="0"/>
          <w:numId w:val="20"/>
        </w:numPr>
        <w:spacing w:before="240" w:after="240"/>
        <w:ind w:left="1620" w:hanging="900"/>
        <w:rPr>
          <w:rFonts w:eastAsia="Times New Roman"/>
          <w:color w:val="000000" w:themeColor="text1"/>
          <w:sz w:val="20"/>
        </w:rPr>
      </w:pPr>
      <w:r w:rsidRPr="00F20C5B">
        <w:rPr>
          <w:rFonts w:eastAsia="Times New Roman"/>
          <w:b/>
          <w:bCs/>
          <w:color w:val="000000" w:themeColor="text1"/>
          <w:sz w:val="20"/>
        </w:rPr>
        <w:t>Rater Supervision, Retention, and Evaluation</w:t>
      </w:r>
      <w:r w:rsidRPr="00F20C5B">
        <w:rPr>
          <w:rFonts w:eastAsia="Times New Roman"/>
          <w:color w:val="000000" w:themeColor="text1"/>
          <w:sz w:val="20"/>
        </w:rPr>
        <w:t xml:space="preserve"> – Oversee rater performance, provide feedback, and conduct ongoing rater and evaluations to maintain high standards in assessment quality.</w:t>
      </w:r>
    </w:p>
    <w:p w14:paraId="29F86F01" w14:textId="77777777" w:rsidR="007847BB" w:rsidRDefault="007847BB" w:rsidP="00F20C5B">
      <w:pPr>
        <w:pStyle w:val="ListParagraph"/>
        <w:keepNext/>
        <w:numPr>
          <w:ilvl w:val="0"/>
          <w:numId w:val="20"/>
        </w:numPr>
        <w:spacing w:before="240" w:after="240"/>
        <w:ind w:left="1620" w:hanging="900"/>
        <w:rPr>
          <w:rFonts w:eastAsia="Times New Roman"/>
          <w:color w:val="000000" w:themeColor="text1"/>
          <w:sz w:val="20"/>
        </w:rPr>
      </w:pPr>
      <w:bookmarkStart w:id="1" w:name="_Hlk190084413"/>
      <w:r w:rsidRPr="00F20C5B">
        <w:rPr>
          <w:rFonts w:eastAsia="Times New Roman"/>
          <w:b/>
          <w:bCs/>
          <w:color w:val="000000" w:themeColor="text1"/>
          <w:sz w:val="20"/>
        </w:rPr>
        <w:t>Exam Rating Services</w:t>
      </w:r>
      <w:r w:rsidRPr="00F20C5B">
        <w:rPr>
          <w:rFonts w:eastAsia="Times New Roman"/>
          <w:color w:val="000000" w:themeColor="text1"/>
          <w:sz w:val="20"/>
        </w:rPr>
        <w:t xml:space="preserve"> – Conduct </w:t>
      </w:r>
      <w:r w:rsidRPr="00F20C5B">
        <w:rPr>
          <w:rFonts w:eastAsia="Times New Roman"/>
          <w:b/>
          <w:bCs/>
          <w:color w:val="000000" w:themeColor="text1"/>
          <w:sz w:val="20"/>
        </w:rPr>
        <w:t>up to two (2) exam rating sessions per contract year</w:t>
      </w:r>
      <w:r w:rsidRPr="00F20C5B">
        <w:rPr>
          <w:rFonts w:eastAsia="Times New Roman"/>
          <w:color w:val="000000" w:themeColor="text1"/>
          <w:sz w:val="20"/>
        </w:rPr>
        <w:t xml:space="preserve">: one in the spring (if needed) between March through April, and a more comprehensive session in the summer or fall between July and October in the contract year. These sessions will assess candidates’ language proficiency in accordance with National Center for State Courts (NCSC) certification standards. </w:t>
      </w:r>
    </w:p>
    <w:p w14:paraId="3AC73A67" w14:textId="7B4746B3" w:rsidR="007847BB" w:rsidRDefault="007847BB" w:rsidP="00F20C5B">
      <w:pPr>
        <w:pStyle w:val="ListParagraph"/>
        <w:keepNext/>
        <w:numPr>
          <w:ilvl w:val="0"/>
          <w:numId w:val="20"/>
        </w:numPr>
        <w:spacing w:before="240" w:after="240"/>
        <w:ind w:left="1620" w:hanging="900"/>
        <w:rPr>
          <w:rFonts w:eastAsia="Times New Roman"/>
          <w:color w:val="000000" w:themeColor="text1"/>
          <w:sz w:val="20"/>
        </w:rPr>
      </w:pPr>
      <w:r w:rsidRPr="00F20C5B">
        <w:rPr>
          <w:rFonts w:eastAsia="Times New Roman"/>
          <w:color w:val="000000" w:themeColor="text1"/>
          <w:sz w:val="20"/>
        </w:rPr>
        <w:t xml:space="preserve">The </w:t>
      </w:r>
      <w:r w:rsidR="00884CF1">
        <w:rPr>
          <w:rFonts w:eastAsia="Times New Roman"/>
          <w:color w:val="000000" w:themeColor="text1"/>
          <w:sz w:val="20"/>
        </w:rPr>
        <w:t xml:space="preserve">Contractor </w:t>
      </w:r>
      <w:r w:rsidRPr="00F20C5B">
        <w:rPr>
          <w:rFonts w:eastAsia="Times New Roman"/>
          <w:color w:val="000000" w:themeColor="text1"/>
          <w:sz w:val="20"/>
        </w:rPr>
        <w:t xml:space="preserve">must be capable of rating 50 to 100 BIEs in OTS languages, strictly adhering to NCSC rating guidelines. The exam results should be available to the Judicial Council within </w:t>
      </w:r>
      <w:r w:rsidRPr="00F20C5B">
        <w:rPr>
          <w:rFonts w:eastAsia="Times New Roman"/>
          <w:b/>
          <w:bCs/>
          <w:color w:val="000000" w:themeColor="text1"/>
          <w:sz w:val="20"/>
        </w:rPr>
        <w:t>30 days</w:t>
      </w:r>
      <w:r w:rsidRPr="00F20C5B">
        <w:rPr>
          <w:rFonts w:eastAsia="Times New Roman"/>
          <w:color w:val="000000" w:themeColor="text1"/>
          <w:sz w:val="20"/>
        </w:rPr>
        <w:t xml:space="preserve"> from the last day of each exam administration, with a hard deadline not to exceed </w:t>
      </w:r>
      <w:r w:rsidRPr="00F20C5B">
        <w:rPr>
          <w:rFonts w:eastAsia="Times New Roman"/>
          <w:b/>
          <w:bCs/>
          <w:color w:val="000000" w:themeColor="text1"/>
          <w:sz w:val="20"/>
        </w:rPr>
        <w:t>45 calendar days</w:t>
      </w:r>
      <w:r w:rsidRPr="00F20C5B">
        <w:rPr>
          <w:rFonts w:eastAsia="Times New Roman"/>
          <w:color w:val="000000" w:themeColor="text1"/>
          <w:sz w:val="20"/>
        </w:rPr>
        <w:t xml:space="preserve"> after the last day of each exam administration.</w:t>
      </w:r>
      <w:r w:rsidRPr="00F20C5B">
        <w:rPr>
          <w:rFonts w:eastAsia="Times New Roman"/>
          <w:sz w:val="20"/>
        </w:rPr>
        <w:t xml:space="preserve"> </w:t>
      </w:r>
      <w:r w:rsidRPr="00F20C5B">
        <w:rPr>
          <w:rFonts w:eastAsia="Times New Roman"/>
          <w:color w:val="000000" w:themeColor="text1"/>
          <w:sz w:val="20"/>
        </w:rPr>
        <w:t xml:space="preserve">For candidates, the dissemination of results must occur no later than 45 calendar days after the last day of each exam administration. </w:t>
      </w:r>
    </w:p>
    <w:bookmarkEnd w:id="1"/>
    <w:p w14:paraId="08184E60" w14:textId="29EE89FF" w:rsidR="007847BB" w:rsidRPr="00F20C5B" w:rsidRDefault="007847BB" w:rsidP="00F20C5B">
      <w:pPr>
        <w:pStyle w:val="ListParagraph"/>
        <w:keepNext/>
        <w:numPr>
          <w:ilvl w:val="0"/>
          <w:numId w:val="20"/>
        </w:numPr>
        <w:spacing w:before="240" w:after="240"/>
        <w:ind w:left="1620" w:hanging="900"/>
        <w:rPr>
          <w:rFonts w:eastAsia="Times New Roman"/>
          <w:color w:val="000000" w:themeColor="text1"/>
          <w:sz w:val="20"/>
        </w:rPr>
      </w:pPr>
      <w:r w:rsidRPr="00F20C5B">
        <w:rPr>
          <w:rFonts w:eastAsia="Times New Roman"/>
          <w:color w:val="000000" w:themeColor="text1"/>
          <w:sz w:val="20"/>
        </w:rPr>
        <w:t>These services must be offered as a complete package, ensuring seamless integration and alignment with BIE certification requirements.</w:t>
      </w:r>
    </w:p>
    <w:p w14:paraId="27835AE5" w14:textId="66D0A3D4" w:rsidR="007847BB" w:rsidRPr="007847BB" w:rsidRDefault="007847BB" w:rsidP="00207AD6">
      <w:pPr>
        <w:pStyle w:val="Apnd1"/>
        <w:numPr>
          <w:ilvl w:val="1"/>
          <w:numId w:val="19"/>
        </w:numPr>
        <w:spacing w:before="120" w:after="120"/>
        <w:rPr>
          <w:rFonts w:asciiTheme="minorHAnsi" w:hAnsiTheme="minorHAnsi" w:cstheme="minorHAnsi"/>
          <w:b w:val="0"/>
          <w:sz w:val="20"/>
          <w:lang w:bidi="en-US"/>
        </w:rPr>
      </w:pPr>
      <w:r w:rsidRPr="007847BB">
        <w:rPr>
          <w:rFonts w:asciiTheme="minorHAnsi" w:hAnsiTheme="minorHAnsi" w:cstheme="minorHAnsi"/>
          <w:b w:val="0"/>
          <w:sz w:val="20"/>
          <w:lang w:bidi="en-US"/>
        </w:rPr>
        <w:t xml:space="preserve">The </w:t>
      </w:r>
      <w:r w:rsidR="00A24628" w:rsidRPr="00207AD6">
        <w:rPr>
          <w:rFonts w:asciiTheme="minorHAnsi" w:hAnsiTheme="minorHAnsi" w:cstheme="minorHAnsi"/>
          <w:b w:val="0"/>
          <w:sz w:val="20"/>
          <w:lang w:bidi="en-US"/>
        </w:rPr>
        <w:t>Contractor</w:t>
      </w:r>
      <w:r w:rsidR="00B2375F" w:rsidRPr="00207AD6">
        <w:rPr>
          <w:rFonts w:asciiTheme="minorHAnsi" w:hAnsiTheme="minorHAnsi" w:cstheme="minorHAnsi"/>
          <w:b w:val="0"/>
          <w:sz w:val="20"/>
          <w:lang w:bidi="en-US"/>
        </w:rPr>
        <w:t xml:space="preserve"> </w:t>
      </w:r>
      <w:r w:rsidRPr="007847BB">
        <w:rPr>
          <w:rFonts w:asciiTheme="minorHAnsi" w:hAnsiTheme="minorHAnsi" w:cstheme="minorHAnsi"/>
          <w:b w:val="0"/>
          <w:sz w:val="20"/>
          <w:lang w:bidi="en-US"/>
        </w:rPr>
        <w:t>will facilitate seamless communication between the exam administrator and the Judicial Council project management team by:</w:t>
      </w:r>
    </w:p>
    <w:p w14:paraId="41ACEFBE" w14:textId="0A586177" w:rsidR="001632EE" w:rsidRPr="001632EE" w:rsidRDefault="007847BB" w:rsidP="001632EE">
      <w:pPr>
        <w:pStyle w:val="ListParagraph"/>
        <w:keepNext/>
        <w:numPr>
          <w:ilvl w:val="2"/>
          <w:numId w:val="26"/>
        </w:numPr>
        <w:spacing w:before="240" w:after="240"/>
        <w:rPr>
          <w:rFonts w:eastAsia="Times New Roman"/>
          <w:color w:val="000000" w:themeColor="text1"/>
          <w:sz w:val="20"/>
        </w:rPr>
      </w:pPr>
      <w:r w:rsidRPr="001632EE">
        <w:rPr>
          <w:rFonts w:eastAsia="Times New Roman"/>
          <w:color w:val="000000" w:themeColor="text1"/>
          <w:sz w:val="20"/>
        </w:rPr>
        <w:t>Providing regular, accurate reports on exam ratings, score data, completion progress, and performance metrics.</w:t>
      </w:r>
      <w:r w:rsidR="001632EE" w:rsidRPr="001632EE">
        <w:rPr>
          <w:rFonts w:eastAsia="Times New Roman"/>
          <w:color w:val="000000" w:themeColor="text1"/>
          <w:sz w:val="20"/>
        </w:rPr>
        <w:t xml:space="preserve"> </w:t>
      </w:r>
    </w:p>
    <w:p w14:paraId="1E12B104" w14:textId="1434F7C0" w:rsidR="007847BB" w:rsidRPr="00771268" w:rsidRDefault="007847BB" w:rsidP="00771268">
      <w:pPr>
        <w:pStyle w:val="ListParagraph"/>
        <w:keepNext/>
        <w:numPr>
          <w:ilvl w:val="2"/>
          <w:numId w:val="26"/>
        </w:numPr>
        <w:spacing w:before="240" w:after="240"/>
        <w:rPr>
          <w:rFonts w:eastAsia="Times New Roman"/>
          <w:color w:val="000000" w:themeColor="text1"/>
          <w:sz w:val="20"/>
        </w:rPr>
      </w:pPr>
      <w:r w:rsidRPr="00771268">
        <w:rPr>
          <w:rFonts w:eastAsia="Times New Roman"/>
          <w:color w:val="000000" w:themeColor="text1"/>
          <w:sz w:val="20"/>
        </w:rPr>
        <w:t xml:space="preserve">Submitting exam scores within </w:t>
      </w:r>
      <w:r w:rsidRPr="00771268">
        <w:rPr>
          <w:rFonts w:eastAsia="Times New Roman"/>
          <w:b/>
          <w:bCs/>
          <w:color w:val="000000" w:themeColor="text1"/>
          <w:sz w:val="20"/>
        </w:rPr>
        <w:t>30-45 calendar days</w:t>
      </w:r>
      <w:r w:rsidRPr="00771268">
        <w:rPr>
          <w:rFonts w:eastAsia="Times New Roman"/>
          <w:color w:val="000000" w:themeColor="text1"/>
          <w:sz w:val="20"/>
        </w:rPr>
        <w:t xml:space="preserve"> after the last day of each exam administration.</w:t>
      </w:r>
    </w:p>
    <w:p w14:paraId="4E1DAA1D" w14:textId="77777777" w:rsidR="007847BB" w:rsidRPr="007847BB" w:rsidRDefault="007847BB" w:rsidP="00771268">
      <w:pPr>
        <w:pStyle w:val="ListParagraph"/>
        <w:keepNext/>
        <w:numPr>
          <w:ilvl w:val="2"/>
          <w:numId w:val="26"/>
        </w:numPr>
        <w:spacing w:before="240" w:after="240"/>
        <w:rPr>
          <w:rFonts w:eastAsia="Times New Roman"/>
          <w:color w:val="000000" w:themeColor="text1"/>
          <w:sz w:val="20"/>
        </w:rPr>
      </w:pPr>
      <w:r w:rsidRPr="007847BB">
        <w:rPr>
          <w:rFonts w:eastAsia="Times New Roman"/>
          <w:color w:val="000000" w:themeColor="text1"/>
          <w:sz w:val="20"/>
        </w:rPr>
        <w:t xml:space="preserve">Resolving third-party ratings and appeals within </w:t>
      </w:r>
      <w:r w:rsidRPr="00771268">
        <w:rPr>
          <w:rFonts w:eastAsia="Times New Roman"/>
          <w:b/>
          <w:bCs/>
          <w:color w:val="000000" w:themeColor="text1"/>
          <w:sz w:val="20"/>
        </w:rPr>
        <w:t>45 days</w:t>
      </w:r>
      <w:r w:rsidRPr="007847BB">
        <w:rPr>
          <w:rFonts w:eastAsia="Times New Roman"/>
          <w:color w:val="000000" w:themeColor="text1"/>
          <w:sz w:val="20"/>
        </w:rPr>
        <w:t xml:space="preserve">, with appeals submitted within </w:t>
      </w:r>
      <w:r w:rsidRPr="00031AAA">
        <w:rPr>
          <w:rFonts w:eastAsia="Times New Roman"/>
          <w:b/>
          <w:bCs/>
          <w:color w:val="000000" w:themeColor="text1"/>
          <w:sz w:val="20"/>
        </w:rPr>
        <w:t>15 days</w:t>
      </w:r>
      <w:r w:rsidRPr="007847BB">
        <w:rPr>
          <w:rFonts w:eastAsia="Times New Roman"/>
          <w:color w:val="000000" w:themeColor="text1"/>
          <w:sz w:val="20"/>
        </w:rPr>
        <w:t xml:space="preserve"> of completing the prior month’s ratings. All ratings and appeals must adhere to the approved timelines.</w:t>
      </w:r>
    </w:p>
    <w:p w14:paraId="6313F532" w14:textId="3891DC13" w:rsidR="007847BB" w:rsidRPr="007847BB" w:rsidRDefault="007847BB" w:rsidP="00207AD6">
      <w:pPr>
        <w:pStyle w:val="Apnd1"/>
        <w:numPr>
          <w:ilvl w:val="1"/>
          <w:numId w:val="19"/>
        </w:numPr>
        <w:spacing w:before="120" w:after="120"/>
        <w:rPr>
          <w:rFonts w:asciiTheme="minorHAnsi" w:hAnsiTheme="minorHAnsi" w:cstheme="minorHAnsi"/>
          <w:b w:val="0"/>
          <w:sz w:val="20"/>
          <w:lang w:bidi="en-US"/>
        </w:rPr>
      </w:pPr>
      <w:r w:rsidRPr="007847BB">
        <w:rPr>
          <w:rFonts w:asciiTheme="minorHAnsi" w:hAnsiTheme="minorHAnsi" w:cstheme="minorHAnsi"/>
          <w:b w:val="0"/>
          <w:sz w:val="20"/>
          <w:lang w:bidi="en-US"/>
        </w:rPr>
        <w:t xml:space="preserve">The </w:t>
      </w:r>
      <w:r w:rsidR="00904AE7">
        <w:rPr>
          <w:rFonts w:asciiTheme="minorHAnsi" w:hAnsiTheme="minorHAnsi" w:cstheme="minorHAnsi"/>
          <w:b w:val="0"/>
          <w:sz w:val="20"/>
          <w:lang w:bidi="en-US"/>
        </w:rPr>
        <w:t xml:space="preserve">Contractor </w:t>
      </w:r>
      <w:r w:rsidRPr="007847BB">
        <w:rPr>
          <w:rFonts w:asciiTheme="minorHAnsi" w:hAnsiTheme="minorHAnsi" w:cstheme="minorHAnsi"/>
          <w:b w:val="0"/>
          <w:sz w:val="20"/>
          <w:lang w:bidi="en-US"/>
        </w:rPr>
        <w:t xml:space="preserve">must maintain a pool of qualified and trained raters who are registered with and listed as approved raters by NCSC. Only raters who meet these criteria may be considered eligible for rating BIE exams for requested OTS languages, as outlined in paragraph </w:t>
      </w:r>
      <w:r w:rsidRPr="007847BB">
        <w:rPr>
          <w:rFonts w:asciiTheme="minorHAnsi" w:hAnsiTheme="minorHAnsi" w:cstheme="minorHAnsi"/>
          <w:bCs/>
          <w:sz w:val="20"/>
          <w:lang w:bidi="en-US"/>
        </w:rPr>
        <w:t>2.5</w:t>
      </w:r>
      <w:r w:rsidRPr="007847BB">
        <w:rPr>
          <w:rFonts w:asciiTheme="minorHAnsi" w:hAnsiTheme="minorHAnsi" w:cstheme="minorHAnsi"/>
          <w:b w:val="0"/>
          <w:sz w:val="20"/>
          <w:lang w:bidi="en-US"/>
        </w:rPr>
        <w:t xml:space="preserve">. </w:t>
      </w:r>
    </w:p>
    <w:p w14:paraId="61E10F04" w14:textId="007C2D53" w:rsidR="00F22A04" w:rsidRDefault="007847BB" w:rsidP="00901950">
      <w:pPr>
        <w:pStyle w:val="ListParagraph"/>
        <w:keepNext/>
        <w:numPr>
          <w:ilvl w:val="2"/>
          <w:numId w:val="28"/>
        </w:numPr>
        <w:spacing w:before="240" w:after="240"/>
        <w:ind w:left="1440"/>
        <w:rPr>
          <w:rFonts w:eastAsia="Times New Roman"/>
          <w:bCs/>
          <w:sz w:val="20"/>
        </w:rPr>
      </w:pPr>
      <w:r w:rsidRPr="003E5A1C">
        <w:rPr>
          <w:rFonts w:eastAsia="Times New Roman"/>
          <w:bCs/>
          <w:sz w:val="20"/>
        </w:rPr>
        <w:t xml:space="preserve">A pool with a minimum of four (4) trained and NCSC-approved raters must be available for </w:t>
      </w:r>
      <w:proofErr w:type="gramStart"/>
      <w:r w:rsidRPr="003E5A1C">
        <w:rPr>
          <w:rFonts w:eastAsia="Times New Roman"/>
          <w:bCs/>
          <w:sz w:val="20"/>
        </w:rPr>
        <w:t>each</w:t>
      </w:r>
      <w:r w:rsidR="00F22A04">
        <w:rPr>
          <w:rFonts w:eastAsia="Times New Roman"/>
          <w:bCs/>
          <w:sz w:val="20"/>
        </w:rPr>
        <w:t xml:space="preserve">  </w:t>
      </w:r>
      <w:r w:rsidR="006109CA">
        <w:rPr>
          <w:rFonts w:eastAsia="Times New Roman"/>
          <w:bCs/>
          <w:sz w:val="20"/>
        </w:rPr>
        <w:t>requested</w:t>
      </w:r>
      <w:proofErr w:type="gramEnd"/>
      <w:r w:rsidR="006109CA">
        <w:rPr>
          <w:rFonts w:eastAsia="Times New Roman"/>
          <w:bCs/>
          <w:sz w:val="20"/>
        </w:rPr>
        <w:t xml:space="preserve"> language in </w:t>
      </w:r>
      <w:r w:rsidR="006109CA" w:rsidRPr="006109CA">
        <w:rPr>
          <w:rFonts w:eastAsia="Times New Roman"/>
          <w:b/>
          <w:sz w:val="20"/>
        </w:rPr>
        <w:t>Section 2.5</w:t>
      </w:r>
      <w:r w:rsidR="006109CA">
        <w:rPr>
          <w:rFonts w:eastAsia="Times New Roman"/>
          <w:bCs/>
          <w:sz w:val="20"/>
        </w:rPr>
        <w:t>.</w:t>
      </w:r>
    </w:p>
    <w:p w14:paraId="4C90D90C" w14:textId="3BD6D95A" w:rsidR="007847BB" w:rsidRPr="00BC5B9C" w:rsidRDefault="007847BB" w:rsidP="00901950">
      <w:pPr>
        <w:pStyle w:val="ListParagraph"/>
        <w:keepNext/>
        <w:numPr>
          <w:ilvl w:val="2"/>
          <w:numId w:val="28"/>
        </w:numPr>
        <w:spacing w:before="240" w:after="240"/>
        <w:ind w:left="1440"/>
        <w:rPr>
          <w:rFonts w:eastAsia="Times New Roman"/>
          <w:bCs/>
          <w:sz w:val="20"/>
        </w:rPr>
      </w:pPr>
      <w:r w:rsidRPr="00BC5B9C">
        <w:rPr>
          <w:rFonts w:eastAsia="Times New Roman"/>
          <w:bCs/>
          <w:sz w:val="20"/>
        </w:rPr>
        <w:t>Qualified raters for California-only languages must complete training and meet the rater training requirements established by NCSC.</w:t>
      </w:r>
    </w:p>
    <w:p w14:paraId="6BE373B4" w14:textId="77777777" w:rsidR="007847BB" w:rsidRPr="007847BB" w:rsidRDefault="007847BB" w:rsidP="00207AD6">
      <w:pPr>
        <w:pStyle w:val="Apnd1"/>
        <w:numPr>
          <w:ilvl w:val="1"/>
          <w:numId w:val="19"/>
        </w:numPr>
        <w:spacing w:before="120" w:after="120"/>
        <w:rPr>
          <w:rFonts w:asciiTheme="minorHAnsi" w:hAnsiTheme="minorHAnsi" w:cstheme="minorHAnsi"/>
          <w:b w:val="0"/>
          <w:sz w:val="20"/>
          <w:lang w:bidi="en-US"/>
        </w:rPr>
      </w:pPr>
      <w:r w:rsidRPr="009908FF">
        <w:rPr>
          <w:rFonts w:asciiTheme="minorHAnsi" w:hAnsiTheme="minorHAnsi" w:cstheme="minorHAnsi"/>
          <w:bCs/>
          <w:sz w:val="20"/>
          <w:lang w:bidi="en-US"/>
        </w:rPr>
        <w:t>For 2025, it is anticipated that rater services will be needed for up to</w:t>
      </w:r>
      <w:r w:rsidRPr="007847BB">
        <w:rPr>
          <w:rFonts w:asciiTheme="minorHAnsi" w:hAnsiTheme="minorHAnsi" w:cstheme="minorHAnsi"/>
          <w:b w:val="0"/>
          <w:sz w:val="20"/>
          <w:lang w:bidi="en-US"/>
        </w:rPr>
        <w:t xml:space="preserve"> </w:t>
      </w:r>
      <w:r w:rsidRPr="007847BB">
        <w:rPr>
          <w:rFonts w:asciiTheme="minorHAnsi" w:hAnsiTheme="minorHAnsi" w:cstheme="minorHAnsi"/>
          <w:bCs/>
          <w:sz w:val="20"/>
          <w:lang w:bidi="en-US"/>
        </w:rPr>
        <w:t>eight (8) certified spoken languages</w:t>
      </w:r>
      <w:r w:rsidRPr="007847BB">
        <w:rPr>
          <w:rFonts w:asciiTheme="minorHAnsi" w:hAnsiTheme="minorHAnsi" w:cstheme="minorHAnsi"/>
          <w:b w:val="0"/>
          <w:sz w:val="20"/>
          <w:lang w:bidi="en-US"/>
        </w:rPr>
        <w:t>, including Arabic (Levantine), *Eastern Armenian, Cantonese, Korean, Mandarin, *Punjabi (India), Tagalog (Filipino), and Vietnamese. (*Eastern Armenian and Punjabi are considered California-only languages, while exams for the other languages are maintained by the NCSC).</w:t>
      </w:r>
    </w:p>
    <w:p w14:paraId="0FDAB223" w14:textId="727D3224" w:rsidR="007847BB" w:rsidRPr="007847BB" w:rsidRDefault="002243FA" w:rsidP="00207AD6">
      <w:pPr>
        <w:pStyle w:val="Apnd1"/>
        <w:numPr>
          <w:ilvl w:val="1"/>
          <w:numId w:val="19"/>
        </w:numPr>
        <w:spacing w:before="120" w:after="120"/>
        <w:rPr>
          <w:rFonts w:asciiTheme="minorHAnsi" w:hAnsiTheme="minorHAnsi" w:cstheme="minorHAnsi"/>
          <w:b w:val="0"/>
          <w:sz w:val="20"/>
          <w:lang w:bidi="en-US"/>
        </w:rPr>
      </w:pPr>
      <w:r>
        <w:rPr>
          <w:rFonts w:asciiTheme="minorHAnsi" w:hAnsiTheme="minorHAnsi" w:cstheme="minorHAnsi"/>
          <w:b w:val="0"/>
          <w:sz w:val="20"/>
          <w:lang w:bidi="en-US"/>
        </w:rPr>
        <w:t>R</w:t>
      </w:r>
      <w:r w:rsidRPr="002243FA">
        <w:rPr>
          <w:rFonts w:asciiTheme="minorHAnsi" w:hAnsiTheme="minorHAnsi" w:cstheme="minorHAnsi"/>
          <w:b w:val="0"/>
          <w:sz w:val="20"/>
          <w:lang w:bidi="en-US"/>
        </w:rPr>
        <w:t>ater services</w:t>
      </w:r>
      <w:r>
        <w:rPr>
          <w:rFonts w:asciiTheme="minorHAnsi" w:hAnsiTheme="minorHAnsi" w:cstheme="minorHAnsi"/>
          <w:b w:val="0"/>
          <w:sz w:val="20"/>
          <w:lang w:bidi="en-US"/>
        </w:rPr>
        <w:t xml:space="preserve"> for </w:t>
      </w:r>
      <w:r w:rsidR="007847BB" w:rsidRPr="007847BB">
        <w:rPr>
          <w:rFonts w:asciiTheme="minorHAnsi" w:hAnsiTheme="minorHAnsi" w:cstheme="minorHAnsi"/>
          <w:bCs/>
          <w:sz w:val="20"/>
          <w:lang w:bidi="en-US"/>
        </w:rPr>
        <w:t>Farsi</w:t>
      </w:r>
      <w:r w:rsidR="007847BB" w:rsidRPr="007847BB">
        <w:rPr>
          <w:rFonts w:asciiTheme="minorHAnsi" w:hAnsiTheme="minorHAnsi" w:cstheme="minorHAnsi"/>
          <w:b w:val="0"/>
          <w:sz w:val="20"/>
          <w:lang w:bidi="en-US"/>
        </w:rPr>
        <w:t xml:space="preserve">, </w:t>
      </w:r>
      <w:r w:rsidR="007847BB" w:rsidRPr="007847BB">
        <w:rPr>
          <w:rFonts w:asciiTheme="minorHAnsi" w:hAnsiTheme="minorHAnsi" w:cstheme="minorHAnsi"/>
          <w:bCs/>
          <w:sz w:val="20"/>
          <w:lang w:bidi="en-US"/>
        </w:rPr>
        <w:t>Portuguese</w:t>
      </w:r>
      <w:r w:rsidR="007847BB" w:rsidRPr="007847BB">
        <w:rPr>
          <w:rFonts w:asciiTheme="minorHAnsi" w:hAnsiTheme="minorHAnsi" w:cstheme="minorHAnsi"/>
          <w:b w:val="0"/>
          <w:sz w:val="20"/>
          <w:lang w:bidi="en-US"/>
        </w:rPr>
        <w:t xml:space="preserve">, and </w:t>
      </w:r>
      <w:r w:rsidR="007847BB" w:rsidRPr="007847BB">
        <w:rPr>
          <w:rFonts w:asciiTheme="minorHAnsi" w:hAnsiTheme="minorHAnsi" w:cstheme="minorHAnsi"/>
          <w:bCs/>
          <w:sz w:val="20"/>
          <w:lang w:bidi="en-US"/>
        </w:rPr>
        <w:t>Russian</w:t>
      </w:r>
      <w:r w:rsidR="004D3DD1">
        <w:rPr>
          <w:rFonts w:asciiTheme="minorHAnsi" w:hAnsiTheme="minorHAnsi" w:cstheme="minorHAnsi"/>
          <w:b w:val="0"/>
          <w:sz w:val="20"/>
          <w:lang w:bidi="en-US"/>
        </w:rPr>
        <w:t xml:space="preserve"> </w:t>
      </w:r>
      <w:r>
        <w:rPr>
          <w:rFonts w:asciiTheme="minorHAnsi" w:hAnsiTheme="minorHAnsi" w:cstheme="minorHAnsi"/>
          <w:b w:val="0"/>
          <w:sz w:val="20"/>
          <w:lang w:bidi="en-US"/>
        </w:rPr>
        <w:t>may be</w:t>
      </w:r>
      <w:r w:rsidR="007847BB" w:rsidRPr="007847BB">
        <w:rPr>
          <w:rFonts w:asciiTheme="minorHAnsi" w:hAnsiTheme="minorHAnsi" w:cstheme="minorHAnsi"/>
          <w:b w:val="0"/>
          <w:sz w:val="20"/>
          <w:lang w:bidi="en-US"/>
        </w:rPr>
        <w:t xml:space="preserve"> required during the life of the contract.</w:t>
      </w:r>
    </w:p>
    <w:p w14:paraId="53F09200" w14:textId="333D3DDE" w:rsidR="007847BB" w:rsidRPr="000A2F5D" w:rsidRDefault="007847BB" w:rsidP="000A2F5D">
      <w:pPr>
        <w:pStyle w:val="Apnd1"/>
        <w:numPr>
          <w:ilvl w:val="1"/>
          <w:numId w:val="19"/>
        </w:numPr>
        <w:spacing w:before="120" w:after="120"/>
        <w:rPr>
          <w:rFonts w:asciiTheme="minorHAnsi" w:hAnsiTheme="minorHAnsi" w:cstheme="minorHAnsi"/>
          <w:b w:val="0"/>
          <w:sz w:val="20"/>
          <w:lang w:bidi="en-US"/>
        </w:rPr>
      </w:pPr>
      <w:r w:rsidRPr="007847BB">
        <w:rPr>
          <w:rFonts w:asciiTheme="minorHAnsi" w:hAnsiTheme="minorHAnsi" w:cstheme="minorHAnsi"/>
          <w:b w:val="0"/>
          <w:sz w:val="20"/>
          <w:lang w:bidi="en-US"/>
        </w:rPr>
        <w:t xml:space="preserve">The </w:t>
      </w:r>
      <w:r w:rsidR="009832C3">
        <w:rPr>
          <w:rFonts w:asciiTheme="minorHAnsi" w:hAnsiTheme="minorHAnsi" w:cstheme="minorHAnsi"/>
          <w:b w:val="0"/>
          <w:sz w:val="20"/>
          <w:lang w:bidi="en-US"/>
        </w:rPr>
        <w:t>Contractor</w:t>
      </w:r>
      <w:r w:rsidRPr="007847BB">
        <w:rPr>
          <w:rFonts w:asciiTheme="minorHAnsi" w:hAnsiTheme="minorHAnsi" w:cstheme="minorHAnsi"/>
          <w:b w:val="0"/>
          <w:sz w:val="20"/>
          <w:lang w:bidi="en-US"/>
        </w:rPr>
        <w:t xml:space="preserve"> must securely receive, store, manage, and exchange candidate exam renderings and rated exams with the current Exam Administrator, in full compliance with NCSC guidelines. For guideline </w:t>
      </w:r>
      <w:r w:rsidRPr="007847BB">
        <w:rPr>
          <w:rFonts w:asciiTheme="minorHAnsi" w:hAnsiTheme="minorHAnsi" w:cstheme="minorHAnsi"/>
          <w:b w:val="0"/>
          <w:sz w:val="20"/>
          <w:lang w:bidi="en-US"/>
        </w:rPr>
        <w:lastRenderedPageBreak/>
        <w:t>details,</w:t>
      </w:r>
      <w:r w:rsidR="000A2F5D">
        <w:rPr>
          <w:rFonts w:asciiTheme="minorHAnsi" w:hAnsiTheme="minorHAnsi" w:cstheme="minorHAnsi"/>
          <w:b w:val="0"/>
          <w:sz w:val="20"/>
          <w:lang w:bidi="en-US"/>
        </w:rPr>
        <w:t xml:space="preserve"> </w:t>
      </w:r>
      <w:r w:rsidRPr="000A2F5D">
        <w:rPr>
          <w:rFonts w:asciiTheme="minorHAnsi" w:hAnsiTheme="minorHAnsi" w:cstheme="minorHAnsi"/>
          <w:b w:val="0"/>
          <w:sz w:val="20"/>
          <w:lang w:bidi="en-US"/>
        </w:rPr>
        <w:t>please review</w:t>
      </w:r>
      <w:r w:rsidRPr="000A2F5D">
        <w:rPr>
          <w:rFonts w:eastAsia="Times New Roman"/>
          <w:sz w:val="20"/>
        </w:rPr>
        <w:t xml:space="preserve"> </w:t>
      </w:r>
      <w:hyperlink r:id="rId18" w:history="1">
        <w:r w:rsidRPr="000A2F5D">
          <w:rPr>
            <w:rFonts w:asciiTheme="minorHAnsi" w:eastAsia="Times New Roman" w:hAnsiTheme="minorHAnsi" w:cstheme="minorHAnsi"/>
            <w:color w:val="0000FF"/>
            <w:sz w:val="20"/>
            <w:szCs w:val="20"/>
            <w:u w:val="single"/>
          </w:rPr>
          <w:t>National Center for State Courts State Court Interpreter Testing Desk Reference Manual</w:t>
        </w:r>
      </w:hyperlink>
      <w:r w:rsidRPr="000A2F5D">
        <w:rPr>
          <w:rFonts w:asciiTheme="minorHAnsi" w:eastAsia="Times New Roman" w:hAnsiTheme="minorHAnsi" w:cstheme="minorHAnsi"/>
          <w:sz w:val="20"/>
          <w:szCs w:val="20"/>
        </w:rPr>
        <w:t>.</w:t>
      </w:r>
    </w:p>
    <w:p w14:paraId="4F1DE70F" w14:textId="0668C023" w:rsidR="007847BB" w:rsidRPr="007847BB" w:rsidRDefault="007847BB" w:rsidP="000A2F5D">
      <w:pPr>
        <w:pStyle w:val="Apnd1"/>
        <w:numPr>
          <w:ilvl w:val="1"/>
          <w:numId w:val="19"/>
        </w:numPr>
        <w:spacing w:before="120" w:after="120"/>
        <w:rPr>
          <w:rFonts w:asciiTheme="minorHAnsi" w:hAnsiTheme="minorHAnsi" w:cstheme="minorHAnsi"/>
          <w:b w:val="0"/>
          <w:sz w:val="20"/>
          <w:lang w:bidi="en-US"/>
        </w:rPr>
      </w:pPr>
      <w:r w:rsidRPr="007847BB">
        <w:rPr>
          <w:rFonts w:asciiTheme="minorHAnsi" w:hAnsiTheme="minorHAnsi" w:cstheme="minorHAnsi"/>
          <w:b w:val="0"/>
          <w:sz w:val="20"/>
          <w:lang w:bidi="en-US"/>
        </w:rPr>
        <w:t xml:space="preserve">The </w:t>
      </w:r>
      <w:r w:rsidR="009832C3">
        <w:rPr>
          <w:rFonts w:asciiTheme="minorHAnsi" w:hAnsiTheme="minorHAnsi" w:cstheme="minorHAnsi"/>
          <w:b w:val="0"/>
          <w:sz w:val="20"/>
          <w:lang w:bidi="en-US"/>
        </w:rPr>
        <w:t>Contractor</w:t>
      </w:r>
      <w:r w:rsidRPr="007847BB">
        <w:rPr>
          <w:rFonts w:asciiTheme="minorHAnsi" w:hAnsiTheme="minorHAnsi" w:cstheme="minorHAnsi"/>
          <w:b w:val="0"/>
          <w:sz w:val="20"/>
          <w:lang w:bidi="en-US"/>
        </w:rPr>
        <w:t xml:space="preserve"> must rate/score exams in a timely manner to meet established deadlines for both exam ratings and for providing scores to candidates.</w:t>
      </w:r>
    </w:p>
    <w:p w14:paraId="49361B37" w14:textId="51B33C3F" w:rsidR="007847BB" w:rsidRPr="007847BB" w:rsidRDefault="007847BB" w:rsidP="000A2F5D">
      <w:pPr>
        <w:pStyle w:val="Apnd1"/>
        <w:numPr>
          <w:ilvl w:val="1"/>
          <w:numId w:val="19"/>
        </w:numPr>
        <w:spacing w:before="120" w:after="120"/>
        <w:rPr>
          <w:rFonts w:asciiTheme="minorHAnsi" w:hAnsiTheme="minorHAnsi" w:cstheme="minorHAnsi"/>
          <w:b w:val="0"/>
          <w:sz w:val="20"/>
          <w:lang w:bidi="en-US"/>
        </w:rPr>
      </w:pPr>
      <w:r w:rsidRPr="007847BB">
        <w:rPr>
          <w:rFonts w:asciiTheme="minorHAnsi" w:hAnsiTheme="minorHAnsi" w:cstheme="minorHAnsi"/>
          <w:b w:val="0"/>
          <w:sz w:val="20"/>
          <w:lang w:bidi="en-US"/>
        </w:rPr>
        <w:t xml:space="preserve">The </w:t>
      </w:r>
      <w:r w:rsidR="009832C3">
        <w:rPr>
          <w:rFonts w:asciiTheme="minorHAnsi" w:hAnsiTheme="minorHAnsi" w:cstheme="minorHAnsi"/>
          <w:b w:val="0"/>
          <w:sz w:val="20"/>
          <w:lang w:bidi="en-US"/>
        </w:rPr>
        <w:t>Contractor</w:t>
      </w:r>
      <w:r w:rsidRPr="007847BB">
        <w:rPr>
          <w:rFonts w:asciiTheme="minorHAnsi" w:hAnsiTheme="minorHAnsi" w:cstheme="minorHAnsi"/>
          <w:b w:val="0"/>
          <w:sz w:val="20"/>
          <w:lang w:bidi="en-US"/>
        </w:rPr>
        <w:t xml:space="preserve"> is also responsible for the following:</w:t>
      </w:r>
    </w:p>
    <w:p w14:paraId="27C91F85" w14:textId="135BAD10" w:rsidR="007847BB" w:rsidRDefault="00415218" w:rsidP="00A72D63">
      <w:pPr>
        <w:keepNext/>
        <w:numPr>
          <w:ilvl w:val="2"/>
          <w:numId w:val="30"/>
        </w:numPr>
        <w:spacing w:before="120" w:after="120"/>
        <w:ind w:left="1530" w:hanging="810"/>
        <w:rPr>
          <w:rFonts w:eastAsia="Times New Roman"/>
          <w:color w:val="000000" w:themeColor="text1"/>
          <w:sz w:val="20"/>
        </w:rPr>
      </w:pPr>
      <w:r>
        <w:rPr>
          <w:rFonts w:eastAsia="Times New Roman"/>
          <w:color w:val="000000" w:themeColor="text1"/>
          <w:sz w:val="20"/>
        </w:rPr>
        <w:t xml:space="preserve">Supplying </w:t>
      </w:r>
      <w:r w:rsidRPr="00415218">
        <w:rPr>
          <w:rFonts w:eastAsia="Times New Roman"/>
          <w:color w:val="000000" w:themeColor="text1"/>
          <w:sz w:val="20"/>
        </w:rPr>
        <w:t>the Judicial Council and/or exam administrator with exam results, including scores, overall pass/fail data, individual item-level data, exam rating materials, dictionaries, glossaries, rater notes, and candidate exam renderings.</w:t>
      </w:r>
    </w:p>
    <w:p w14:paraId="3F21D27E" w14:textId="4BE82B41" w:rsidR="00785BE2" w:rsidRPr="007847BB" w:rsidRDefault="00785BE2" w:rsidP="00A72D63">
      <w:pPr>
        <w:keepNext/>
        <w:numPr>
          <w:ilvl w:val="2"/>
          <w:numId w:val="30"/>
        </w:numPr>
        <w:spacing w:before="120" w:after="120"/>
        <w:ind w:left="1530" w:hanging="810"/>
        <w:rPr>
          <w:rFonts w:eastAsia="Times New Roman"/>
          <w:color w:val="000000" w:themeColor="text1"/>
          <w:sz w:val="20"/>
        </w:rPr>
      </w:pPr>
      <w:r>
        <w:rPr>
          <w:rFonts w:eastAsia="Times New Roman"/>
          <w:color w:val="000000" w:themeColor="text1"/>
          <w:sz w:val="20"/>
        </w:rPr>
        <w:t xml:space="preserve">Providing </w:t>
      </w:r>
      <w:r w:rsidRPr="00785BE2">
        <w:rPr>
          <w:rFonts w:eastAsia="Times New Roman"/>
          <w:color w:val="000000" w:themeColor="text1"/>
          <w:sz w:val="20"/>
        </w:rPr>
        <w:t>ad hoc data reports within 15 business days upon request from the Judicial Council or the National Center for State Courts (NCSC).</w:t>
      </w:r>
    </w:p>
    <w:p w14:paraId="69CAFF17" w14:textId="77777777" w:rsidR="007847BB" w:rsidRPr="007847BB" w:rsidRDefault="007847BB" w:rsidP="00785BE2">
      <w:pPr>
        <w:keepNext/>
        <w:numPr>
          <w:ilvl w:val="2"/>
          <w:numId w:val="30"/>
        </w:numPr>
        <w:spacing w:before="120" w:after="120"/>
        <w:ind w:left="1440" w:hanging="720"/>
        <w:rPr>
          <w:rFonts w:eastAsia="Times New Roman"/>
          <w:color w:val="000000" w:themeColor="text1"/>
          <w:sz w:val="20"/>
        </w:rPr>
      </w:pPr>
      <w:r w:rsidRPr="007847BB">
        <w:rPr>
          <w:rFonts w:eastAsia="Times New Roman"/>
          <w:color w:val="000000" w:themeColor="text1"/>
          <w:sz w:val="20"/>
        </w:rPr>
        <w:t>Adhering to NCSC exam administration and rating guidelines, including protocols for auditing rated exams and conducting re-ratings if needed.</w:t>
      </w:r>
    </w:p>
    <w:p w14:paraId="2BA90407" w14:textId="77777777" w:rsidR="007847BB" w:rsidRPr="007847BB" w:rsidRDefault="007847BB" w:rsidP="00785BE2">
      <w:pPr>
        <w:keepNext/>
        <w:numPr>
          <w:ilvl w:val="2"/>
          <w:numId w:val="30"/>
        </w:numPr>
        <w:spacing w:before="120" w:after="120"/>
        <w:ind w:left="1440" w:hanging="720"/>
        <w:rPr>
          <w:rFonts w:eastAsia="Times New Roman"/>
          <w:color w:val="000000" w:themeColor="text1"/>
          <w:sz w:val="20"/>
        </w:rPr>
      </w:pPr>
      <w:r w:rsidRPr="007847BB">
        <w:rPr>
          <w:rFonts w:eastAsia="Times New Roman"/>
          <w:color w:val="000000" w:themeColor="text1"/>
          <w:sz w:val="20"/>
        </w:rPr>
        <w:t>Complying with all NCSC and exam administrator-established quality assurance (QA) policies for exam ratings.</w:t>
      </w:r>
    </w:p>
    <w:p w14:paraId="0E0C3EE3" w14:textId="77777777" w:rsidR="007847BB" w:rsidRPr="007847BB" w:rsidRDefault="007847BB" w:rsidP="00785BE2">
      <w:pPr>
        <w:keepNext/>
        <w:numPr>
          <w:ilvl w:val="2"/>
          <w:numId w:val="30"/>
        </w:numPr>
        <w:spacing w:before="120" w:after="120"/>
        <w:ind w:left="1440" w:hanging="720"/>
        <w:rPr>
          <w:rFonts w:eastAsia="Times New Roman"/>
          <w:color w:val="000000" w:themeColor="text1"/>
          <w:sz w:val="20"/>
        </w:rPr>
      </w:pPr>
      <w:r w:rsidRPr="007847BB">
        <w:rPr>
          <w:rFonts w:eastAsia="Times New Roman"/>
          <w:color w:val="000000" w:themeColor="text1"/>
          <w:sz w:val="20"/>
        </w:rPr>
        <w:t>Working with the exam administrator to resolve exam appeals within the specified timeframes, following NCSC guidelines.</w:t>
      </w:r>
    </w:p>
    <w:p w14:paraId="06D542BD" w14:textId="58354947" w:rsidR="007847BB" w:rsidRPr="004723A5" w:rsidRDefault="009E594B" w:rsidP="004723A5">
      <w:pPr>
        <w:pStyle w:val="Apnd1"/>
        <w:numPr>
          <w:ilvl w:val="1"/>
          <w:numId w:val="19"/>
        </w:numPr>
        <w:spacing w:before="120" w:after="120"/>
        <w:rPr>
          <w:rFonts w:asciiTheme="minorHAnsi" w:hAnsiTheme="minorHAnsi" w:cstheme="minorHAnsi"/>
          <w:b w:val="0"/>
          <w:sz w:val="20"/>
          <w:lang w:bidi="en-US"/>
        </w:rPr>
      </w:pPr>
      <w:r>
        <w:rPr>
          <w:rFonts w:asciiTheme="minorHAnsi" w:hAnsiTheme="minorHAnsi" w:cstheme="minorHAnsi"/>
          <w:b w:val="0"/>
          <w:sz w:val="20"/>
          <w:lang w:bidi="en-US"/>
        </w:rPr>
        <w:t xml:space="preserve">  </w:t>
      </w:r>
      <w:r w:rsidR="007847BB" w:rsidRPr="004723A5">
        <w:rPr>
          <w:rFonts w:asciiTheme="minorHAnsi" w:hAnsiTheme="minorHAnsi" w:cstheme="minorHAnsi"/>
          <w:b w:val="0"/>
          <w:sz w:val="20"/>
          <w:lang w:bidi="en-US"/>
        </w:rPr>
        <w:t>Coordination with External Agencies</w:t>
      </w:r>
    </w:p>
    <w:p w14:paraId="3E6E0FF2" w14:textId="57388F39" w:rsidR="007847BB" w:rsidRPr="007847BB" w:rsidRDefault="003B0A64" w:rsidP="003B0A64">
      <w:pPr>
        <w:keepNext/>
        <w:spacing w:before="120" w:after="120"/>
        <w:ind w:left="1350" w:hanging="630"/>
        <w:rPr>
          <w:rFonts w:eastAsia="Times New Roman"/>
          <w:sz w:val="20"/>
        </w:rPr>
      </w:pPr>
      <w:r>
        <w:rPr>
          <w:rFonts w:eastAsia="Times New Roman"/>
          <w:sz w:val="20"/>
        </w:rPr>
        <w:t>2.10.1.</w:t>
      </w:r>
      <w:r>
        <w:rPr>
          <w:rFonts w:eastAsia="Times New Roman"/>
          <w:sz w:val="20"/>
        </w:rPr>
        <w:tab/>
      </w:r>
      <w:r w:rsidR="007847BB" w:rsidRPr="007847BB">
        <w:rPr>
          <w:rFonts w:eastAsia="Times New Roman"/>
          <w:sz w:val="20"/>
        </w:rPr>
        <w:t xml:space="preserve">The </w:t>
      </w:r>
      <w:r w:rsidR="009832C3">
        <w:rPr>
          <w:rFonts w:eastAsia="Times New Roman"/>
          <w:sz w:val="20"/>
        </w:rPr>
        <w:t>Contractor</w:t>
      </w:r>
      <w:r w:rsidR="007847BB" w:rsidRPr="007847BB">
        <w:rPr>
          <w:rFonts w:eastAsia="Times New Roman"/>
          <w:sz w:val="20"/>
        </w:rPr>
        <w:t xml:space="preserve"> will be responsible for collaborating with the current exam administrator to:</w:t>
      </w:r>
    </w:p>
    <w:p w14:paraId="1F66951A" w14:textId="77777777" w:rsidR="007847BB" w:rsidRPr="007847BB" w:rsidRDefault="007847BB" w:rsidP="00785BE2">
      <w:pPr>
        <w:keepNext/>
        <w:numPr>
          <w:ilvl w:val="3"/>
          <w:numId w:val="30"/>
        </w:numPr>
        <w:spacing w:before="120" w:after="120"/>
        <w:ind w:left="1980" w:hanging="900"/>
        <w:rPr>
          <w:rFonts w:eastAsia="Times New Roman"/>
          <w:sz w:val="20"/>
        </w:rPr>
      </w:pPr>
      <w:r w:rsidRPr="007847BB">
        <w:rPr>
          <w:rFonts w:eastAsia="Times New Roman"/>
          <w:sz w:val="20"/>
        </w:rPr>
        <w:t>Obtain candidate exam recordings</w:t>
      </w:r>
    </w:p>
    <w:p w14:paraId="3D72C649" w14:textId="77777777" w:rsidR="007847BB" w:rsidRPr="007847BB" w:rsidRDefault="007847BB" w:rsidP="00785BE2">
      <w:pPr>
        <w:keepNext/>
        <w:numPr>
          <w:ilvl w:val="3"/>
          <w:numId w:val="30"/>
        </w:numPr>
        <w:spacing w:before="120" w:after="120"/>
        <w:ind w:left="1980" w:hanging="900"/>
        <w:rPr>
          <w:rFonts w:eastAsia="Times New Roman"/>
          <w:sz w:val="20"/>
        </w:rPr>
      </w:pPr>
      <w:r w:rsidRPr="007847BB">
        <w:rPr>
          <w:rFonts w:eastAsia="Times New Roman"/>
          <w:sz w:val="20"/>
        </w:rPr>
        <w:t>Apply NCSC exam rating standards to score the exams</w:t>
      </w:r>
    </w:p>
    <w:p w14:paraId="772DAF10" w14:textId="77777777" w:rsidR="007847BB" w:rsidRPr="007847BB" w:rsidRDefault="007847BB" w:rsidP="00785BE2">
      <w:pPr>
        <w:keepNext/>
        <w:numPr>
          <w:ilvl w:val="3"/>
          <w:numId w:val="30"/>
        </w:numPr>
        <w:spacing w:before="120" w:after="120"/>
        <w:ind w:left="1980" w:hanging="900"/>
        <w:rPr>
          <w:rFonts w:eastAsia="Times New Roman"/>
          <w:sz w:val="20"/>
        </w:rPr>
      </w:pPr>
      <w:r w:rsidRPr="007847BB">
        <w:rPr>
          <w:rFonts w:eastAsia="Times New Roman"/>
          <w:sz w:val="20"/>
        </w:rPr>
        <w:t>Reconcile and report scoring results to both the exam administrator and the Judicial Council of California (JCC)</w:t>
      </w:r>
    </w:p>
    <w:p w14:paraId="2EA20322" w14:textId="77777777" w:rsidR="007847BB" w:rsidRPr="007847BB" w:rsidRDefault="007847BB" w:rsidP="00785BE2">
      <w:pPr>
        <w:keepNext/>
        <w:numPr>
          <w:ilvl w:val="3"/>
          <w:numId w:val="30"/>
        </w:numPr>
        <w:spacing w:before="120" w:after="120"/>
        <w:ind w:left="1980" w:hanging="900"/>
        <w:rPr>
          <w:rFonts w:eastAsia="Times New Roman"/>
          <w:sz w:val="20"/>
        </w:rPr>
      </w:pPr>
      <w:r w:rsidRPr="007847BB">
        <w:rPr>
          <w:rFonts w:eastAsia="Times New Roman"/>
          <w:sz w:val="20"/>
        </w:rPr>
        <w:t>Exchange necessary information to determine candidate eligibility for the BIE</w:t>
      </w:r>
    </w:p>
    <w:p w14:paraId="185EEED2" w14:textId="77777777" w:rsidR="007847BB" w:rsidRPr="007847BB" w:rsidRDefault="007847BB" w:rsidP="00785BE2">
      <w:pPr>
        <w:keepNext/>
        <w:numPr>
          <w:ilvl w:val="3"/>
          <w:numId w:val="30"/>
        </w:numPr>
        <w:spacing w:before="120" w:after="120"/>
        <w:ind w:left="1980" w:hanging="900"/>
        <w:rPr>
          <w:rFonts w:eastAsia="Times New Roman"/>
          <w:sz w:val="20"/>
        </w:rPr>
      </w:pPr>
      <w:r w:rsidRPr="007847BB">
        <w:rPr>
          <w:rFonts w:eastAsia="Times New Roman"/>
          <w:sz w:val="20"/>
        </w:rPr>
        <w:t>Ensure the timely exchange of exam ratings and results between the exam administrator and the Judicial Council</w:t>
      </w:r>
    </w:p>
    <w:p w14:paraId="00CFBB54" w14:textId="28BA77D3" w:rsidR="00D636D3" w:rsidRPr="00B4594B" w:rsidRDefault="00D636D3" w:rsidP="00B4594B">
      <w:pPr>
        <w:pStyle w:val="Apnd1"/>
        <w:numPr>
          <w:ilvl w:val="1"/>
          <w:numId w:val="19"/>
        </w:numPr>
        <w:spacing w:before="120" w:after="120"/>
        <w:ind w:left="810" w:hanging="270"/>
        <w:rPr>
          <w:rFonts w:asciiTheme="minorHAnsi" w:hAnsiTheme="minorHAnsi" w:cstheme="minorHAnsi"/>
          <w:bCs/>
          <w:sz w:val="20"/>
          <w:lang w:bidi="en-US"/>
        </w:rPr>
      </w:pPr>
      <w:r w:rsidRPr="00B4594B">
        <w:rPr>
          <w:rFonts w:asciiTheme="minorHAnsi" w:hAnsiTheme="minorHAnsi" w:cstheme="minorHAnsi"/>
          <w:bCs/>
          <w:sz w:val="20"/>
          <w:lang w:bidi="en-US"/>
        </w:rPr>
        <w:t>Deliverables</w:t>
      </w:r>
      <w:r w:rsidR="00470643">
        <w:rPr>
          <w:rFonts w:asciiTheme="minorHAnsi" w:hAnsiTheme="minorHAnsi" w:cstheme="minorHAnsi"/>
          <w:bCs/>
          <w:sz w:val="20"/>
          <w:lang w:bidi="en-US"/>
        </w:rPr>
        <w:t xml:space="preserve"> – Table 2</w:t>
      </w:r>
    </w:p>
    <w:p w14:paraId="49F7A253" w14:textId="77777777" w:rsidR="00102FCC" w:rsidRDefault="00102FCC" w:rsidP="007847BB">
      <w:pPr>
        <w:spacing w:line="276" w:lineRule="auto"/>
        <w:rPr>
          <w:rFonts w:eastAsia="Times New Roman"/>
          <w:b/>
          <w:bCs/>
          <w:szCs w:val="24"/>
        </w:rPr>
      </w:pPr>
    </w:p>
    <w:tbl>
      <w:tblPr>
        <w:tblStyle w:val="TableGrid0"/>
        <w:tblW w:w="0" w:type="auto"/>
        <w:jc w:val="center"/>
        <w:tblInd w:w="0" w:type="dxa"/>
        <w:tblCellMar>
          <w:top w:w="60" w:type="dxa"/>
          <w:left w:w="4" w:type="dxa"/>
          <w:right w:w="41" w:type="dxa"/>
        </w:tblCellMar>
        <w:tblLook w:val="04A0" w:firstRow="1" w:lastRow="0" w:firstColumn="1" w:lastColumn="0" w:noHBand="0" w:noVBand="1"/>
      </w:tblPr>
      <w:tblGrid>
        <w:gridCol w:w="8815"/>
      </w:tblGrid>
      <w:tr w:rsidR="00102FCC" w:rsidRPr="00102FCC" w14:paraId="5BE36826" w14:textId="77777777" w:rsidTr="007D4658">
        <w:trPr>
          <w:trHeight w:val="1113"/>
          <w:tblHeader/>
          <w:jc w:val="center"/>
        </w:trPr>
        <w:tc>
          <w:tcPr>
            <w:tcW w:w="8815" w:type="dxa"/>
            <w:tcBorders>
              <w:top w:val="single" w:sz="4" w:space="0" w:color="000000"/>
              <w:left w:val="single" w:sz="4" w:space="0" w:color="000000"/>
              <w:bottom w:val="single" w:sz="4" w:space="0" w:color="000000"/>
              <w:right w:val="single" w:sz="4" w:space="0" w:color="000000"/>
            </w:tcBorders>
            <w:shd w:val="clear" w:color="auto" w:fill="F1F1F1"/>
          </w:tcPr>
          <w:p w14:paraId="50335226" w14:textId="5F78A020" w:rsidR="00102FCC" w:rsidRPr="00102FCC" w:rsidRDefault="00102FCC" w:rsidP="00102FCC">
            <w:pPr>
              <w:spacing w:line="259" w:lineRule="auto"/>
              <w:ind w:left="33" w:firstLine="0"/>
              <w:jc w:val="center"/>
              <w:rPr>
                <w:rFonts w:eastAsia="Times New Roman"/>
                <w:sz w:val="20"/>
                <w:szCs w:val="20"/>
              </w:rPr>
            </w:pPr>
            <w:r w:rsidRPr="00102FCC">
              <w:rPr>
                <w:rFonts w:eastAsia="Times New Roman"/>
                <w:b/>
                <w:sz w:val="20"/>
                <w:szCs w:val="20"/>
              </w:rPr>
              <w:t>Deliverables</w:t>
            </w:r>
          </w:p>
        </w:tc>
      </w:tr>
      <w:tr w:rsidR="00102FCC" w:rsidRPr="00102FCC" w14:paraId="4CFD5D78" w14:textId="77777777" w:rsidTr="007D4658">
        <w:trPr>
          <w:trHeight w:val="773"/>
          <w:jc w:val="center"/>
        </w:trPr>
        <w:tc>
          <w:tcPr>
            <w:tcW w:w="8815" w:type="dxa"/>
            <w:tcBorders>
              <w:top w:val="single" w:sz="4" w:space="0" w:color="000000"/>
              <w:left w:val="single" w:sz="4" w:space="0" w:color="000000"/>
              <w:bottom w:val="single" w:sz="4" w:space="0" w:color="000000"/>
              <w:right w:val="single" w:sz="4" w:space="0" w:color="000000"/>
            </w:tcBorders>
          </w:tcPr>
          <w:p w14:paraId="3E1F6CAC" w14:textId="77777777" w:rsidR="00102FCC" w:rsidRPr="00102FCC" w:rsidRDefault="00102FCC" w:rsidP="00102FCC">
            <w:pPr>
              <w:spacing w:before="120" w:after="120"/>
              <w:ind w:left="345" w:firstLine="0"/>
              <w:rPr>
                <w:rFonts w:eastAsia="Times New Roman"/>
                <w:sz w:val="20"/>
                <w:szCs w:val="20"/>
              </w:rPr>
            </w:pPr>
            <w:r w:rsidRPr="00102FCC">
              <w:rPr>
                <w:rFonts w:eastAsia="Times New Roman"/>
                <w:b/>
                <w:bCs/>
                <w:sz w:val="20"/>
                <w:szCs w:val="20"/>
              </w:rPr>
              <w:t>Deliverable 1: Provide a Rater Recruitment Plan</w:t>
            </w:r>
            <w:r w:rsidRPr="00102FCC">
              <w:rPr>
                <w:rFonts w:eastAsia="Times New Roman"/>
                <w:b/>
                <w:bCs/>
                <w:sz w:val="20"/>
                <w:szCs w:val="20"/>
              </w:rPr>
              <w:br/>
            </w:r>
            <w:r w:rsidRPr="00102FCC">
              <w:rPr>
                <w:rFonts w:eastAsia="Times New Roman"/>
                <w:sz w:val="20"/>
                <w:szCs w:val="20"/>
              </w:rPr>
              <w:t>The Contractor will develop a detailed Rater Recruitment Plan based on the certified languages identified by the Judicial Council that require rater services for the year. The plan must include:</w:t>
            </w:r>
          </w:p>
          <w:p w14:paraId="5698C76B" w14:textId="77777777" w:rsidR="00102FCC" w:rsidRPr="00102FCC" w:rsidRDefault="00102FCC" w:rsidP="00102FCC">
            <w:pPr>
              <w:numPr>
                <w:ilvl w:val="0"/>
                <w:numId w:val="34"/>
              </w:numPr>
              <w:spacing w:before="120" w:after="120"/>
              <w:rPr>
                <w:rFonts w:eastAsia="Times New Roman"/>
                <w:sz w:val="20"/>
                <w:szCs w:val="20"/>
              </w:rPr>
            </w:pPr>
            <w:r w:rsidRPr="00102FCC">
              <w:rPr>
                <w:rFonts w:eastAsia="Times New Roman"/>
                <w:sz w:val="20"/>
                <w:szCs w:val="20"/>
              </w:rPr>
              <w:t>Languages that already have sufficient raters (a minimum of four per language).</w:t>
            </w:r>
          </w:p>
          <w:p w14:paraId="3E2731E8" w14:textId="77777777" w:rsidR="00102FCC" w:rsidRPr="00102FCC" w:rsidRDefault="00102FCC" w:rsidP="00102FCC">
            <w:pPr>
              <w:numPr>
                <w:ilvl w:val="0"/>
                <w:numId w:val="34"/>
              </w:numPr>
              <w:spacing w:before="120" w:after="120"/>
              <w:rPr>
                <w:rFonts w:eastAsia="Times New Roman"/>
                <w:sz w:val="20"/>
                <w:szCs w:val="20"/>
              </w:rPr>
            </w:pPr>
            <w:r w:rsidRPr="00102FCC">
              <w:rPr>
                <w:rFonts w:eastAsia="Times New Roman"/>
                <w:sz w:val="20"/>
                <w:szCs w:val="20"/>
              </w:rPr>
              <w:t>Languages that require additional raters to meet the minimum of four per language.</w:t>
            </w:r>
          </w:p>
          <w:p w14:paraId="00B2698D" w14:textId="77777777" w:rsidR="00102FCC" w:rsidRPr="00102FCC" w:rsidRDefault="00102FCC" w:rsidP="003B442E">
            <w:pPr>
              <w:spacing w:before="120" w:after="120"/>
              <w:ind w:left="345" w:firstLine="0"/>
              <w:rPr>
                <w:rFonts w:eastAsia="Times New Roman"/>
                <w:sz w:val="20"/>
                <w:szCs w:val="20"/>
              </w:rPr>
            </w:pPr>
            <w:r w:rsidRPr="00102FCC">
              <w:rPr>
                <w:rFonts w:eastAsia="Times New Roman"/>
                <w:sz w:val="20"/>
                <w:szCs w:val="20"/>
              </w:rPr>
              <w:t>The plan should specify:</w:t>
            </w:r>
          </w:p>
          <w:p w14:paraId="5787F8A6" w14:textId="77777777" w:rsidR="00102FCC" w:rsidRPr="00102FCC" w:rsidRDefault="00102FCC" w:rsidP="00102FCC">
            <w:pPr>
              <w:numPr>
                <w:ilvl w:val="2"/>
                <w:numId w:val="35"/>
              </w:numPr>
              <w:spacing w:before="120" w:after="120"/>
              <w:rPr>
                <w:rFonts w:eastAsia="Times New Roman"/>
                <w:sz w:val="20"/>
                <w:szCs w:val="20"/>
              </w:rPr>
            </w:pPr>
            <w:r w:rsidRPr="00102FCC">
              <w:rPr>
                <w:rFonts w:eastAsia="Times New Roman"/>
                <w:sz w:val="20"/>
                <w:szCs w:val="20"/>
              </w:rPr>
              <w:t>The number of raters needed for each language.</w:t>
            </w:r>
          </w:p>
          <w:p w14:paraId="165ADB84" w14:textId="77777777" w:rsidR="00102FCC" w:rsidRPr="00102FCC" w:rsidRDefault="00102FCC" w:rsidP="00102FCC">
            <w:pPr>
              <w:numPr>
                <w:ilvl w:val="2"/>
                <w:numId w:val="35"/>
              </w:numPr>
              <w:spacing w:before="120" w:after="120"/>
              <w:rPr>
                <w:rFonts w:eastAsia="Times New Roman"/>
                <w:sz w:val="20"/>
                <w:szCs w:val="20"/>
              </w:rPr>
            </w:pPr>
            <w:r w:rsidRPr="00102FCC">
              <w:rPr>
                <w:rFonts w:eastAsia="Times New Roman"/>
                <w:sz w:val="20"/>
                <w:szCs w:val="20"/>
              </w:rPr>
              <w:t>Steps the Contractor will take to recruit and secure the required raters.</w:t>
            </w:r>
          </w:p>
          <w:p w14:paraId="36A4026A" w14:textId="77777777" w:rsidR="00102FCC" w:rsidRPr="00102FCC" w:rsidRDefault="00102FCC" w:rsidP="00102FCC">
            <w:pPr>
              <w:numPr>
                <w:ilvl w:val="2"/>
                <w:numId w:val="35"/>
              </w:numPr>
              <w:spacing w:before="120" w:after="120"/>
              <w:rPr>
                <w:rFonts w:eastAsia="Times New Roman"/>
                <w:sz w:val="20"/>
                <w:szCs w:val="20"/>
              </w:rPr>
            </w:pPr>
            <w:r w:rsidRPr="00102FCC">
              <w:rPr>
                <w:rFonts w:eastAsia="Times New Roman"/>
                <w:sz w:val="20"/>
                <w:szCs w:val="20"/>
              </w:rPr>
              <w:t>An estimated timeline aligned with the anticipated testing dates for certified languages.</w:t>
            </w:r>
          </w:p>
        </w:tc>
      </w:tr>
      <w:tr w:rsidR="00102FCC" w:rsidRPr="00102FCC" w14:paraId="6FAA5B3F" w14:textId="77777777" w:rsidTr="007D4658">
        <w:tblPrEx>
          <w:tblCellMar>
            <w:top w:w="58" w:type="dxa"/>
          </w:tblCellMar>
        </w:tblPrEx>
        <w:trPr>
          <w:trHeight w:val="1057"/>
          <w:jc w:val="center"/>
        </w:trPr>
        <w:tc>
          <w:tcPr>
            <w:tcW w:w="8815" w:type="dxa"/>
            <w:tcBorders>
              <w:top w:val="single" w:sz="4" w:space="0" w:color="000000"/>
              <w:left w:val="single" w:sz="4" w:space="0" w:color="000000"/>
              <w:bottom w:val="single" w:sz="4" w:space="0" w:color="000000"/>
              <w:right w:val="single" w:sz="4" w:space="0" w:color="000000"/>
            </w:tcBorders>
          </w:tcPr>
          <w:p w14:paraId="2EF7B0F1" w14:textId="77777777" w:rsidR="00102FCC" w:rsidRPr="00102FCC" w:rsidRDefault="00102FCC" w:rsidP="003B442E">
            <w:pPr>
              <w:spacing w:before="120"/>
              <w:ind w:left="349" w:firstLine="0"/>
              <w:rPr>
                <w:rFonts w:eastAsia="Times New Roman"/>
                <w:sz w:val="20"/>
                <w:szCs w:val="20"/>
              </w:rPr>
            </w:pPr>
            <w:r w:rsidRPr="00102FCC">
              <w:rPr>
                <w:rFonts w:eastAsia="Times New Roman"/>
                <w:b/>
                <w:bCs/>
                <w:sz w:val="20"/>
                <w:szCs w:val="20"/>
              </w:rPr>
              <w:lastRenderedPageBreak/>
              <w:t>Deliverable 2: Recruit and Train Raters</w:t>
            </w:r>
            <w:r w:rsidRPr="00102FCC">
              <w:rPr>
                <w:rFonts w:eastAsia="Times New Roman"/>
                <w:sz w:val="20"/>
                <w:szCs w:val="20"/>
              </w:rPr>
              <w:br/>
              <w:t>The Contractor may bill the Judicial Council on a per-rater basis once new raters are successfully recruited and trained.</w:t>
            </w:r>
          </w:p>
          <w:p w14:paraId="6F4BDA0D" w14:textId="77777777" w:rsidR="00102FCC" w:rsidRPr="00102FCC" w:rsidRDefault="00102FCC" w:rsidP="003B442E">
            <w:pPr>
              <w:spacing w:before="120"/>
              <w:ind w:left="349" w:firstLine="0"/>
              <w:rPr>
                <w:rFonts w:eastAsia="Times New Roman"/>
                <w:sz w:val="20"/>
                <w:szCs w:val="20"/>
              </w:rPr>
            </w:pPr>
            <w:r w:rsidRPr="00102FCC">
              <w:rPr>
                <w:rFonts w:eastAsia="Times New Roman"/>
                <w:sz w:val="20"/>
                <w:szCs w:val="20"/>
              </w:rPr>
              <w:t>As part of this deliverable, the Contractor shall:</w:t>
            </w:r>
          </w:p>
          <w:p w14:paraId="4BF91005" w14:textId="77777777" w:rsidR="00102FCC" w:rsidRPr="00102FCC" w:rsidRDefault="00102FCC" w:rsidP="00102FCC">
            <w:pPr>
              <w:numPr>
                <w:ilvl w:val="0"/>
                <w:numId w:val="36"/>
              </w:numPr>
              <w:spacing w:before="120"/>
              <w:rPr>
                <w:rFonts w:eastAsia="Times New Roman"/>
                <w:sz w:val="20"/>
                <w:szCs w:val="20"/>
              </w:rPr>
            </w:pPr>
            <w:r w:rsidRPr="00102FCC">
              <w:rPr>
                <w:rFonts w:eastAsia="Times New Roman"/>
                <w:b/>
                <w:bCs/>
                <w:sz w:val="20"/>
                <w:szCs w:val="20"/>
              </w:rPr>
              <w:t>Recruit and Train Raters</w:t>
            </w:r>
            <w:r w:rsidRPr="00102FCC">
              <w:rPr>
                <w:rFonts w:eastAsia="Times New Roman"/>
                <w:sz w:val="20"/>
                <w:szCs w:val="20"/>
              </w:rPr>
              <w:t>—Secure and train new raters as needed.</w:t>
            </w:r>
          </w:p>
          <w:p w14:paraId="2CE86DDA" w14:textId="77777777" w:rsidR="00102FCC" w:rsidRPr="00102FCC" w:rsidRDefault="00102FCC" w:rsidP="00102FCC">
            <w:pPr>
              <w:numPr>
                <w:ilvl w:val="0"/>
                <w:numId w:val="36"/>
              </w:numPr>
              <w:spacing w:before="120"/>
              <w:rPr>
                <w:rFonts w:eastAsia="Times New Roman"/>
                <w:sz w:val="20"/>
                <w:szCs w:val="20"/>
              </w:rPr>
            </w:pPr>
            <w:r w:rsidRPr="00102FCC">
              <w:rPr>
                <w:rFonts w:eastAsia="Times New Roman"/>
                <w:b/>
                <w:bCs/>
                <w:sz w:val="20"/>
                <w:szCs w:val="20"/>
              </w:rPr>
              <w:t>Register Raters with NCSC</w:t>
            </w:r>
            <w:r w:rsidRPr="00102FCC">
              <w:rPr>
                <w:rFonts w:eastAsia="Times New Roman"/>
                <w:sz w:val="20"/>
                <w:szCs w:val="20"/>
              </w:rPr>
              <w:t>—Ensure that all newly qualified, recruited, and successfully trained raters are registered with NCSC as approved for rating NCSC language exams, while raters for California languages must only comply with NCSC training requirements.</w:t>
            </w:r>
          </w:p>
          <w:p w14:paraId="6BCB1C75" w14:textId="77777777" w:rsidR="00102FCC" w:rsidRPr="00102FCC" w:rsidRDefault="00102FCC" w:rsidP="00102FCC">
            <w:pPr>
              <w:numPr>
                <w:ilvl w:val="0"/>
                <w:numId w:val="36"/>
              </w:numPr>
              <w:spacing w:before="120"/>
              <w:rPr>
                <w:rFonts w:eastAsia="Times New Roman"/>
                <w:sz w:val="20"/>
                <w:szCs w:val="20"/>
              </w:rPr>
            </w:pPr>
            <w:r w:rsidRPr="00102FCC">
              <w:rPr>
                <w:rFonts w:eastAsia="Times New Roman"/>
                <w:b/>
                <w:bCs/>
                <w:sz w:val="20"/>
                <w:szCs w:val="20"/>
              </w:rPr>
              <w:t>Monitor and Evaluate Performance</w:t>
            </w:r>
            <w:r w:rsidRPr="00102FCC">
              <w:rPr>
                <w:rFonts w:eastAsia="Times New Roman"/>
                <w:sz w:val="20"/>
                <w:szCs w:val="20"/>
              </w:rPr>
              <w:t>—Oversee rater performance, provide feedback, and conduct ongoing evaluations to ensure high standards of assessment quality.</w:t>
            </w:r>
          </w:p>
          <w:p w14:paraId="776C174F" w14:textId="022EE07A" w:rsidR="00102FCC" w:rsidRPr="00102FCC" w:rsidRDefault="00736B8A" w:rsidP="003B442E">
            <w:pPr>
              <w:spacing w:before="120"/>
              <w:ind w:left="349" w:firstLine="0"/>
              <w:rPr>
                <w:rFonts w:eastAsia="Times New Roman"/>
                <w:sz w:val="20"/>
                <w:szCs w:val="20"/>
              </w:rPr>
            </w:pPr>
            <w:r>
              <w:rPr>
                <w:rFonts w:eastAsia="Times New Roman"/>
                <w:sz w:val="20"/>
                <w:szCs w:val="20"/>
              </w:rPr>
              <w:t>The</w:t>
            </w:r>
            <w:r w:rsidR="00102FCC" w:rsidRPr="00102FCC">
              <w:rPr>
                <w:rFonts w:eastAsia="Times New Roman"/>
                <w:sz w:val="20"/>
                <w:szCs w:val="20"/>
              </w:rPr>
              <w:t xml:space="preserve"> </w:t>
            </w:r>
            <w:r w:rsidR="00102FCC" w:rsidRPr="00102FCC">
              <w:rPr>
                <w:rFonts w:eastAsia="Times New Roman"/>
                <w:b/>
                <w:bCs/>
                <w:sz w:val="20"/>
                <w:szCs w:val="20"/>
              </w:rPr>
              <w:t>per-rater cost</w:t>
            </w:r>
            <w:r w:rsidR="00102FCC" w:rsidRPr="00102FCC">
              <w:rPr>
                <w:rFonts w:eastAsia="Times New Roman"/>
                <w:sz w:val="20"/>
                <w:szCs w:val="20"/>
              </w:rPr>
              <w:t xml:space="preserve"> for recruitment and training, broken down as follows:</w:t>
            </w:r>
          </w:p>
          <w:p w14:paraId="08C72564" w14:textId="77777777" w:rsidR="00102FCC" w:rsidRPr="00102FCC" w:rsidRDefault="00102FCC" w:rsidP="00102FCC">
            <w:pPr>
              <w:numPr>
                <w:ilvl w:val="0"/>
                <w:numId w:val="36"/>
              </w:numPr>
              <w:spacing w:before="120"/>
              <w:rPr>
                <w:rFonts w:eastAsia="Times New Roman"/>
                <w:sz w:val="20"/>
                <w:szCs w:val="20"/>
              </w:rPr>
            </w:pPr>
            <w:r w:rsidRPr="00102FCC">
              <w:rPr>
                <w:rFonts w:eastAsia="Times New Roman"/>
                <w:sz w:val="20"/>
                <w:szCs w:val="20"/>
              </w:rPr>
              <w:t>Recruitment cost per rater.</w:t>
            </w:r>
          </w:p>
          <w:p w14:paraId="5AF23230" w14:textId="77777777" w:rsidR="00102FCC" w:rsidRPr="00102FCC" w:rsidRDefault="00102FCC" w:rsidP="00102FCC">
            <w:pPr>
              <w:numPr>
                <w:ilvl w:val="0"/>
                <w:numId w:val="36"/>
              </w:numPr>
              <w:spacing w:before="120"/>
              <w:rPr>
                <w:rFonts w:eastAsia="Times New Roman"/>
                <w:sz w:val="20"/>
                <w:szCs w:val="20"/>
              </w:rPr>
            </w:pPr>
            <w:r w:rsidRPr="00102FCC">
              <w:rPr>
                <w:rFonts w:eastAsia="Times New Roman"/>
                <w:sz w:val="20"/>
                <w:szCs w:val="20"/>
              </w:rPr>
              <w:t>Training cost per rater.</w:t>
            </w:r>
          </w:p>
          <w:p w14:paraId="187C3282" w14:textId="77777777" w:rsidR="00102FCC" w:rsidRPr="00102FCC" w:rsidRDefault="00102FCC" w:rsidP="004154CE">
            <w:pPr>
              <w:spacing w:before="120"/>
              <w:ind w:left="349" w:firstLine="0"/>
              <w:rPr>
                <w:rFonts w:eastAsia="Times New Roman"/>
                <w:bCs/>
                <w:sz w:val="20"/>
                <w:szCs w:val="20"/>
              </w:rPr>
            </w:pPr>
            <w:r w:rsidRPr="00102FCC">
              <w:rPr>
                <w:rFonts w:eastAsia="Times New Roman"/>
                <w:sz w:val="20"/>
                <w:szCs w:val="20"/>
              </w:rPr>
              <w:t>The Contractor will bill the Judicial Council only for the number of raters recruited and trained, based on the specified per-unit costs.</w:t>
            </w:r>
          </w:p>
        </w:tc>
      </w:tr>
      <w:tr w:rsidR="00102FCC" w:rsidRPr="00102FCC" w14:paraId="01F86CE4" w14:textId="77777777" w:rsidTr="007D4658">
        <w:tblPrEx>
          <w:tblCellMar>
            <w:top w:w="58" w:type="dxa"/>
          </w:tblCellMar>
        </w:tblPrEx>
        <w:trPr>
          <w:trHeight w:val="3487"/>
          <w:jc w:val="center"/>
        </w:trPr>
        <w:tc>
          <w:tcPr>
            <w:tcW w:w="8815" w:type="dxa"/>
            <w:tcBorders>
              <w:top w:val="single" w:sz="4" w:space="0" w:color="000000"/>
              <w:left w:val="single" w:sz="4" w:space="0" w:color="000000"/>
              <w:bottom w:val="single" w:sz="4" w:space="0" w:color="000000"/>
              <w:right w:val="single" w:sz="4" w:space="0" w:color="000000"/>
            </w:tcBorders>
          </w:tcPr>
          <w:p w14:paraId="757B7EAA" w14:textId="77777777" w:rsidR="00102FCC" w:rsidRPr="00102FCC" w:rsidRDefault="00102FCC" w:rsidP="004154CE">
            <w:pPr>
              <w:spacing w:before="120"/>
              <w:ind w:left="349" w:firstLine="0"/>
              <w:rPr>
                <w:rFonts w:eastAsia="Times New Roman"/>
                <w:sz w:val="20"/>
                <w:szCs w:val="20"/>
              </w:rPr>
            </w:pPr>
            <w:r w:rsidRPr="00102FCC">
              <w:rPr>
                <w:rFonts w:eastAsia="Times New Roman"/>
                <w:b/>
                <w:bCs/>
                <w:sz w:val="20"/>
                <w:szCs w:val="20"/>
              </w:rPr>
              <w:t>Deliverable 3: Score Exams</w:t>
            </w:r>
            <w:r w:rsidRPr="00102FCC">
              <w:rPr>
                <w:rFonts w:eastAsia="Times New Roman"/>
                <w:sz w:val="20"/>
                <w:szCs w:val="20"/>
              </w:rPr>
              <w:br/>
              <w:t xml:space="preserve">The Contractor may bill the Judicial Council on a </w:t>
            </w:r>
            <w:r w:rsidRPr="00102FCC">
              <w:rPr>
                <w:rFonts w:eastAsia="Times New Roman"/>
                <w:b/>
                <w:bCs/>
                <w:sz w:val="20"/>
                <w:szCs w:val="20"/>
              </w:rPr>
              <w:t>per-exam basis</w:t>
            </w:r>
            <w:r w:rsidRPr="00102FCC">
              <w:rPr>
                <w:rFonts w:eastAsia="Times New Roman"/>
                <w:sz w:val="20"/>
                <w:szCs w:val="20"/>
              </w:rPr>
              <w:t xml:space="preserve"> once exams have been scored.</w:t>
            </w:r>
          </w:p>
          <w:p w14:paraId="1DB7267D" w14:textId="77777777" w:rsidR="00102FCC" w:rsidRPr="00102FCC" w:rsidRDefault="00102FCC" w:rsidP="004154CE">
            <w:pPr>
              <w:spacing w:before="120"/>
              <w:ind w:left="349" w:firstLine="0"/>
              <w:rPr>
                <w:rFonts w:eastAsia="Times New Roman"/>
                <w:sz w:val="20"/>
                <w:szCs w:val="20"/>
              </w:rPr>
            </w:pPr>
            <w:r w:rsidRPr="00102FCC">
              <w:rPr>
                <w:rFonts w:eastAsia="Times New Roman"/>
                <w:sz w:val="20"/>
                <w:szCs w:val="20"/>
              </w:rPr>
              <w:t>As part of this deliverable, the Contractor shall:</w:t>
            </w:r>
          </w:p>
          <w:p w14:paraId="164C3E16" w14:textId="77777777" w:rsidR="00102FCC" w:rsidRPr="00102FCC" w:rsidRDefault="00102FCC" w:rsidP="00102FCC">
            <w:pPr>
              <w:numPr>
                <w:ilvl w:val="0"/>
                <w:numId w:val="37"/>
              </w:numPr>
              <w:spacing w:before="120"/>
              <w:rPr>
                <w:rFonts w:eastAsia="Times New Roman"/>
                <w:sz w:val="20"/>
                <w:szCs w:val="20"/>
              </w:rPr>
            </w:pPr>
            <w:r w:rsidRPr="00102FCC">
              <w:rPr>
                <w:rFonts w:eastAsia="Times New Roman"/>
                <w:b/>
                <w:bCs/>
                <w:sz w:val="20"/>
                <w:szCs w:val="20"/>
              </w:rPr>
              <w:t>Score Exams</w:t>
            </w:r>
            <w:r w:rsidRPr="00102FCC">
              <w:rPr>
                <w:rFonts w:eastAsia="Times New Roman"/>
                <w:sz w:val="20"/>
                <w:szCs w:val="20"/>
              </w:rPr>
              <w:t>—Complete the scoring of exams according to established NCSC guidelines.</w:t>
            </w:r>
          </w:p>
          <w:p w14:paraId="05F6A012" w14:textId="77777777" w:rsidR="00102FCC" w:rsidRPr="00102FCC" w:rsidRDefault="00102FCC" w:rsidP="00102FCC">
            <w:pPr>
              <w:numPr>
                <w:ilvl w:val="0"/>
                <w:numId w:val="37"/>
              </w:numPr>
              <w:spacing w:before="120"/>
              <w:rPr>
                <w:rFonts w:eastAsia="Times New Roman"/>
                <w:sz w:val="20"/>
                <w:szCs w:val="20"/>
              </w:rPr>
            </w:pPr>
            <w:r w:rsidRPr="00102FCC">
              <w:rPr>
                <w:rFonts w:eastAsia="Times New Roman"/>
                <w:b/>
                <w:bCs/>
                <w:sz w:val="20"/>
                <w:szCs w:val="20"/>
              </w:rPr>
              <w:t>Submit Audited Examination Scores</w:t>
            </w:r>
            <w:r w:rsidRPr="00102FCC">
              <w:rPr>
                <w:rFonts w:eastAsia="Times New Roman"/>
                <w:sz w:val="20"/>
                <w:szCs w:val="20"/>
              </w:rPr>
              <w:t>—Submit all exam scores to the Judicial Council and candidates within 30-45 calendar days after the last day of each exam administration, ensuring they are provided in an agreed-upon format.</w:t>
            </w:r>
          </w:p>
          <w:p w14:paraId="6167905A" w14:textId="77777777" w:rsidR="00102FCC" w:rsidRPr="00102FCC" w:rsidRDefault="00102FCC" w:rsidP="00102FCC">
            <w:pPr>
              <w:numPr>
                <w:ilvl w:val="0"/>
                <w:numId w:val="37"/>
              </w:numPr>
              <w:spacing w:before="120"/>
              <w:rPr>
                <w:rFonts w:eastAsia="Times New Roman"/>
                <w:sz w:val="20"/>
                <w:szCs w:val="20"/>
              </w:rPr>
            </w:pPr>
            <w:r w:rsidRPr="00102FCC">
              <w:rPr>
                <w:rFonts w:eastAsia="Times New Roman"/>
                <w:b/>
                <w:bCs/>
                <w:sz w:val="20"/>
                <w:szCs w:val="20"/>
              </w:rPr>
              <w:t>Re-rate Exams (if applicable)</w:t>
            </w:r>
            <w:r w:rsidRPr="00102FCC">
              <w:rPr>
                <w:rFonts w:eastAsia="Times New Roman"/>
                <w:sz w:val="20"/>
                <w:szCs w:val="20"/>
              </w:rPr>
              <w:t>—Re-rate exams if necessary due to appeals, following the appropriate procedures.</w:t>
            </w:r>
          </w:p>
          <w:p w14:paraId="0A5535AA" w14:textId="77777777" w:rsidR="00102FCC" w:rsidRPr="00102FCC" w:rsidRDefault="00102FCC" w:rsidP="004154CE">
            <w:pPr>
              <w:spacing w:before="120" w:after="120"/>
              <w:ind w:left="349" w:firstLine="0"/>
              <w:rPr>
                <w:rFonts w:eastAsia="Times New Roman"/>
                <w:sz w:val="20"/>
                <w:szCs w:val="20"/>
              </w:rPr>
            </w:pPr>
            <w:r w:rsidRPr="00102FCC">
              <w:rPr>
                <w:rFonts w:eastAsia="Times New Roman"/>
                <w:sz w:val="20"/>
                <w:szCs w:val="20"/>
              </w:rPr>
              <w:t>The Contractor will bill the Judicial Council only for the number of exams scored and re-rated, based on the specified per-unit costs.</w:t>
            </w:r>
          </w:p>
        </w:tc>
      </w:tr>
      <w:tr w:rsidR="00102FCC" w:rsidRPr="00102FCC" w14:paraId="146D9A56" w14:textId="77777777" w:rsidTr="007D4658">
        <w:tblPrEx>
          <w:tblCellMar>
            <w:top w:w="58" w:type="dxa"/>
          </w:tblCellMar>
        </w:tblPrEx>
        <w:trPr>
          <w:trHeight w:val="1093"/>
          <w:jc w:val="center"/>
        </w:trPr>
        <w:tc>
          <w:tcPr>
            <w:tcW w:w="8815" w:type="dxa"/>
            <w:tcBorders>
              <w:top w:val="single" w:sz="4" w:space="0" w:color="000000"/>
              <w:left w:val="single" w:sz="4" w:space="0" w:color="000000"/>
              <w:bottom w:val="single" w:sz="4" w:space="0" w:color="000000"/>
              <w:right w:val="single" w:sz="4" w:space="0" w:color="000000"/>
            </w:tcBorders>
          </w:tcPr>
          <w:p w14:paraId="327607CC" w14:textId="77777777" w:rsidR="00102FCC" w:rsidRPr="00102FCC" w:rsidRDefault="00102FCC" w:rsidP="004154CE">
            <w:pPr>
              <w:spacing w:before="120"/>
              <w:ind w:left="349" w:firstLine="0"/>
              <w:rPr>
                <w:rFonts w:eastAsia="Times New Roman"/>
                <w:b/>
                <w:bCs/>
                <w:sz w:val="20"/>
                <w:szCs w:val="20"/>
              </w:rPr>
            </w:pPr>
            <w:r w:rsidRPr="00102FCC">
              <w:rPr>
                <w:rFonts w:eastAsia="Times New Roman"/>
                <w:b/>
                <w:bCs/>
                <w:sz w:val="20"/>
                <w:szCs w:val="20"/>
              </w:rPr>
              <w:t>Deliverable 4: Rater Activity Report.</w:t>
            </w:r>
          </w:p>
          <w:p w14:paraId="7515F3F3" w14:textId="77777777" w:rsidR="00102FCC" w:rsidRPr="00102FCC" w:rsidRDefault="00102FCC" w:rsidP="00102FCC">
            <w:pPr>
              <w:numPr>
                <w:ilvl w:val="0"/>
                <w:numId w:val="32"/>
              </w:numPr>
              <w:spacing w:line="300" w:lineRule="atLeast"/>
              <w:contextualSpacing/>
              <w:rPr>
                <w:rFonts w:eastAsia="Times New Roman"/>
                <w:sz w:val="20"/>
                <w:szCs w:val="20"/>
              </w:rPr>
            </w:pPr>
            <w:r w:rsidRPr="00102FCC">
              <w:rPr>
                <w:rFonts w:eastAsia="Times New Roman"/>
                <w:b/>
                <w:bCs/>
                <w:sz w:val="20"/>
                <w:szCs w:val="20"/>
              </w:rPr>
              <w:t>Rater Activity Report—</w:t>
            </w:r>
            <w:r w:rsidRPr="00102FCC">
              <w:rPr>
                <w:rFonts w:eastAsia="Times New Roman"/>
                <w:sz w:val="20"/>
                <w:szCs w:val="20"/>
              </w:rPr>
              <w:t>Proposer must submit within 45 days of the last test administration day.</w:t>
            </w:r>
          </w:p>
          <w:p w14:paraId="663CB620" w14:textId="77777777" w:rsidR="00102FCC" w:rsidRPr="00102FCC" w:rsidRDefault="00102FCC" w:rsidP="004154CE">
            <w:pPr>
              <w:spacing w:before="120"/>
              <w:ind w:left="350" w:right="-20" w:firstLine="0"/>
              <w:rPr>
                <w:rFonts w:eastAsia="Times New Roman"/>
                <w:sz w:val="20"/>
                <w:szCs w:val="20"/>
              </w:rPr>
            </w:pPr>
            <w:r w:rsidRPr="00102FCC">
              <w:rPr>
                <w:rFonts w:eastAsia="Times New Roman"/>
                <w:sz w:val="20"/>
                <w:szCs w:val="20"/>
              </w:rPr>
              <w:t>The proposer must comply with these Rater Activity Report content requirements:</w:t>
            </w:r>
          </w:p>
          <w:p w14:paraId="4223C56A"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b/>
                <w:bCs/>
                <w:sz w:val="20"/>
                <w:szCs w:val="20"/>
              </w:rPr>
              <w:t>Exam Ratings</w:t>
            </w:r>
            <w:r w:rsidRPr="00102FCC">
              <w:rPr>
                <w:rFonts w:eastAsia="Times New Roman"/>
                <w:sz w:val="20"/>
                <w:szCs w:val="20"/>
              </w:rPr>
              <w:t>—List of exams rated by language.</w:t>
            </w:r>
          </w:p>
          <w:p w14:paraId="71593A8A"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b/>
                <w:bCs/>
                <w:sz w:val="20"/>
                <w:szCs w:val="20"/>
              </w:rPr>
              <w:t>Scores</w:t>
            </w:r>
            <w:r w:rsidRPr="00102FCC">
              <w:rPr>
                <w:rFonts w:eastAsia="Times New Roman"/>
                <w:sz w:val="20"/>
                <w:szCs w:val="20"/>
              </w:rPr>
              <w:t>—A minimum of two datasets showing scoring units and percentage scores by language.</w:t>
            </w:r>
          </w:p>
          <w:p w14:paraId="0727A178"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b/>
                <w:bCs/>
                <w:sz w:val="20"/>
                <w:szCs w:val="20"/>
              </w:rPr>
              <w:t>Re-rated Exams</w:t>
            </w:r>
            <w:r w:rsidRPr="00102FCC">
              <w:rPr>
                <w:rFonts w:eastAsia="Times New Roman"/>
                <w:sz w:val="20"/>
                <w:szCs w:val="20"/>
              </w:rPr>
              <w:t>—List of exams eligible for third ratings, by language.</w:t>
            </w:r>
          </w:p>
          <w:p w14:paraId="166A2A46"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b/>
                <w:bCs/>
                <w:sz w:val="20"/>
                <w:szCs w:val="20"/>
              </w:rPr>
              <w:t>Quality Assurance</w:t>
            </w:r>
            <w:r w:rsidRPr="00102FCC">
              <w:rPr>
                <w:rFonts w:eastAsia="Times New Roman"/>
                <w:sz w:val="20"/>
                <w:szCs w:val="20"/>
              </w:rPr>
              <w:t>—Methodology for rating activities.</w:t>
            </w:r>
          </w:p>
          <w:p w14:paraId="01E48352" w14:textId="0ACF1170" w:rsidR="00102FCC" w:rsidRPr="00102FCC" w:rsidRDefault="004154CE" w:rsidP="004154CE">
            <w:pPr>
              <w:spacing w:before="120"/>
              <w:ind w:left="0" w:firstLine="0"/>
              <w:rPr>
                <w:rFonts w:eastAsia="Times New Roman"/>
                <w:sz w:val="20"/>
                <w:szCs w:val="20"/>
              </w:rPr>
            </w:pPr>
            <w:r w:rsidRPr="00B13ABB">
              <w:rPr>
                <w:rFonts w:eastAsia="Times New Roman"/>
                <w:sz w:val="20"/>
                <w:szCs w:val="20"/>
              </w:rPr>
              <w:t xml:space="preserve">        </w:t>
            </w:r>
            <w:r w:rsidR="00102FCC" w:rsidRPr="00102FCC">
              <w:rPr>
                <w:rFonts w:eastAsia="Times New Roman"/>
                <w:sz w:val="20"/>
                <w:szCs w:val="20"/>
              </w:rPr>
              <w:t>Additional documentation to be submitted, to include:</w:t>
            </w:r>
          </w:p>
          <w:p w14:paraId="368E83A2"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sz w:val="20"/>
                <w:szCs w:val="20"/>
              </w:rPr>
              <w:t>Candidate audio exam recordings.</w:t>
            </w:r>
          </w:p>
          <w:p w14:paraId="145CA317"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sz w:val="20"/>
                <w:szCs w:val="20"/>
              </w:rPr>
              <w:t>Rater incident reports.</w:t>
            </w:r>
          </w:p>
          <w:p w14:paraId="40E96D8A"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sz w:val="20"/>
                <w:szCs w:val="20"/>
              </w:rPr>
              <w:lastRenderedPageBreak/>
              <w:t>Rater-marked scripts (including sight translation scripts for English to Non-English, Non-English to English, consecutive, and simultaneous sections).</w:t>
            </w:r>
          </w:p>
          <w:p w14:paraId="561C2C36"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sz w:val="20"/>
                <w:szCs w:val="20"/>
              </w:rPr>
              <w:t>Rater Results Forms (from lead rater or supervisor, if applicable).</w:t>
            </w:r>
          </w:p>
          <w:p w14:paraId="11D8EEBC" w14:textId="77777777" w:rsidR="00102FCC" w:rsidRPr="00102FCC" w:rsidRDefault="00102FCC" w:rsidP="00102FCC">
            <w:pPr>
              <w:numPr>
                <w:ilvl w:val="0"/>
                <w:numId w:val="33"/>
              </w:numPr>
              <w:spacing w:line="300" w:lineRule="atLeast"/>
              <w:contextualSpacing/>
              <w:rPr>
                <w:rFonts w:eastAsia="Times New Roman"/>
                <w:sz w:val="20"/>
                <w:szCs w:val="20"/>
              </w:rPr>
            </w:pPr>
            <w:r w:rsidRPr="00102FCC">
              <w:rPr>
                <w:rFonts w:eastAsia="Times New Roman"/>
                <w:sz w:val="20"/>
                <w:szCs w:val="20"/>
              </w:rPr>
              <w:t>Completed Scoring Unit Suggestion Forms (Section 7.3.B, NCSC Test Desk Reference Manual).</w:t>
            </w:r>
          </w:p>
          <w:p w14:paraId="4A4B50FA" w14:textId="77777777" w:rsidR="00102FCC" w:rsidRPr="00102FCC" w:rsidRDefault="00102FCC" w:rsidP="0078199A">
            <w:pPr>
              <w:spacing w:before="120"/>
              <w:ind w:left="360" w:firstLine="0"/>
              <w:rPr>
                <w:rFonts w:eastAsia="Times New Roman"/>
                <w:sz w:val="20"/>
                <w:szCs w:val="20"/>
              </w:rPr>
            </w:pPr>
            <w:r w:rsidRPr="00102FCC">
              <w:rPr>
                <w:rFonts w:eastAsia="Times New Roman"/>
                <w:b/>
                <w:bCs/>
                <w:sz w:val="20"/>
                <w:szCs w:val="20"/>
              </w:rPr>
              <w:t>Fee Structure:</w:t>
            </w:r>
          </w:p>
          <w:p w14:paraId="466E66E1" w14:textId="37537FE2" w:rsidR="00102FCC" w:rsidRPr="00102FCC" w:rsidRDefault="00102FCC" w:rsidP="0078199A">
            <w:pPr>
              <w:spacing w:before="120" w:after="120"/>
              <w:ind w:left="349" w:firstLine="0"/>
              <w:rPr>
                <w:rFonts w:eastAsia="Times New Roman"/>
                <w:sz w:val="20"/>
                <w:szCs w:val="20"/>
              </w:rPr>
            </w:pPr>
            <w:r w:rsidRPr="00102FCC">
              <w:rPr>
                <w:rFonts w:eastAsia="Times New Roman"/>
                <w:sz w:val="20"/>
                <w:szCs w:val="20"/>
              </w:rPr>
              <w:t xml:space="preserve">Proposers should </w:t>
            </w:r>
            <w:r w:rsidR="006E7F0C">
              <w:rPr>
                <w:rFonts w:eastAsia="Times New Roman"/>
                <w:sz w:val="20"/>
                <w:szCs w:val="20"/>
              </w:rPr>
              <w:t>charge</w:t>
            </w:r>
            <w:r w:rsidRPr="00102FCC">
              <w:rPr>
                <w:rFonts w:eastAsia="Times New Roman"/>
                <w:sz w:val="20"/>
                <w:szCs w:val="20"/>
              </w:rPr>
              <w:t xml:space="preserve"> a set fee for compiling and submitting the report and accompanying documentation. The Judicial Council may be billed a single set fee for this report deliverables</w:t>
            </w:r>
          </w:p>
        </w:tc>
      </w:tr>
      <w:tr w:rsidR="00102FCC" w:rsidRPr="00102FCC" w14:paraId="647022D8" w14:textId="77777777" w:rsidTr="007D4658">
        <w:tblPrEx>
          <w:tblCellMar>
            <w:top w:w="58" w:type="dxa"/>
          </w:tblCellMar>
        </w:tblPrEx>
        <w:trPr>
          <w:trHeight w:val="904"/>
          <w:jc w:val="center"/>
        </w:trPr>
        <w:tc>
          <w:tcPr>
            <w:tcW w:w="8815" w:type="dxa"/>
            <w:tcBorders>
              <w:top w:val="single" w:sz="4" w:space="0" w:color="000000"/>
              <w:left w:val="single" w:sz="4" w:space="0" w:color="000000"/>
              <w:bottom w:val="single" w:sz="4" w:space="0" w:color="000000"/>
              <w:right w:val="single" w:sz="4" w:space="0" w:color="000000"/>
            </w:tcBorders>
          </w:tcPr>
          <w:p w14:paraId="4BC68B7D" w14:textId="77777777" w:rsidR="00102FCC" w:rsidRPr="00102FCC" w:rsidRDefault="00102FCC" w:rsidP="0078199A">
            <w:pPr>
              <w:spacing w:before="120"/>
              <w:ind w:left="349" w:firstLine="0"/>
              <w:rPr>
                <w:rFonts w:eastAsia="Times New Roman"/>
                <w:b/>
                <w:bCs/>
                <w:sz w:val="20"/>
                <w:szCs w:val="20"/>
              </w:rPr>
            </w:pPr>
            <w:r w:rsidRPr="00102FCC">
              <w:rPr>
                <w:rFonts w:eastAsia="Times New Roman"/>
                <w:b/>
                <w:bCs/>
                <w:sz w:val="20"/>
                <w:szCs w:val="20"/>
              </w:rPr>
              <w:lastRenderedPageBreak/>
              <w:t>Deliverable 5: Year-End Summary Report.</w:t>
            </w:r>
          </w:p>
          <w:p w14:paraId="1AE227BC" w14:textId="77777777" w:rsidR="00102FCC" w:rsidRPr="00102FCC" w:rsidRDefault="00102FCC" w:rsidP="00102FCC">
            <w:pPr>
              <w:numPr>
                <w:ilvl w:val="0"/>
                <w:numId w:val="39"/>
              </w:numPr>
              <w:spacing w:line="300" w:lineRule="atLeast"/>
              <w:contextualSpacing/>
              <w:rPr>
                <w:rFonts w:eastAsia="Times New Roman"/>
                <w:sz w:val="20"/>
                <w:szCs w:val="20"/>
              </w:rPr>
            </w:pPr>
            <w:r w:rsidRPr="00102FCC">
              <w:rPr>
                <w:rFonts w:eastAsia="Times New Roman"/>
                <w:b/>
                <w:bCs/>
                <w:sz w:val="20"/>
                <w:szCs w:val="20"/>
              </w:rPr>
              <w:t>Year-End Summary Report—</w:t>
            </w:r>
            <w:r w:rsidRPr="00102FCC">
              <w:rPr>
                <w:rFonts w:eastAsia="Times New Roman"/>
                <w:sz w:val="20"/>
                <w:szCs w:val="20"/>
              </w:rPr>
              <w:t>By November 30 or the next business day if November 30 falls on a weekend or holiday.</w:t>
            </w:r>
          </w:p>
          <w:p w14:paraId="711B0B4B" w14:textId="6FF31929" w:rsidR="00102FCC" w:rsidRPr="00102FCC" w:rsidRDefault="0078199A" w:rsidP="0078199A">
            <w:pPr>
              <w:spacing w:before="120"/>
              <w:ind w:left="0" w:firstLine="0"/>
              <w:rPr>
                <w:rFonts w:eastAsia="Times New Roman"/>
                <w:b/>
                <w:bCs/>
                <w:sz w:val="20"/>
                <w:szCs w:val="20"/>
              </w:rPr>
            </w:pPr>
            <w:r w:rsidRPr="00B13ABB">
              <w:rPr>
                <w:rFonts w:eastAsia="Times New Roman"/>
                <w:b/>
                <w:bCs/>
                <w:sz w:val="20"/>
                <w:szCs w:val="20"/>
              </w:rPr>
              <w:t xml:space="preserve">      </w:t>
            </w:r>
            <w:r w:rsidR="00102FCC" w:rsidRPr="00102FCC">
              <w:rPr>
                <w:rFonts w:eastAsia="Times New Roman"/>
                <w:b/>
                <w:bCs/>
                <w:sz w:val="20"/>
                <w:szCs w:val="20"/>
              </w:rPr>
              <w:t>Year-End Summary Report</w:t>
            </w:r>
          </w:p>
          <w:p w14:paraId="358D3EB2" w14:textId="5CFA8187" w:rsidR="00102FCC" w:rsidRPr="00102FCC" w:rsidRDefault="00102FCC" w:rsidP="0078199A">
            <w:pPr>
              <w:spacing w:before="120"/>
              <w:ind w:left="350" w:right="-20" w:firstLine="0"/>
              <w:rPr>
                <w:rFonts w:eastAsia="Times New Roman"/>
                <w:sz w:val="20"/>
                <w:szCs w:val="20"/>
              </w:rPr>
            </w:pPr>
            <w:r w:rsidRPr="00102FCC">
              <w:rPr>
                <w:rFonts w:eastAsia="Times New Roman"/>
                <w:sz w:val="20"/>
                <w:szCs w:val="20"/>
              </w:rPr>
              <w:t xml:space="preserve">The </w:t>
            </w:r>
            <w:r w:rsidR="0071575C">
              <w:rPr>
                <w:rFonts w:eastAsia="Times New Roman"/>
                <w:sz w:val="20"/>
                <w:szCs w:val="20"/>
              </w:rPr>
              <w:t>Contractor</w:t>
            </w:r>
            <w:r w:rsidRPr="00102FCC">
              <w:rPr>
                <w:rFonts w:eastAsia="Times New Roman"/>
                <w:sz w:val="20"/>
                <w:szCs w:val="20"/>
              </w:rPr>
              <w:t xml:space="preserve"> shall provide a Year-End Summary Report that includes the following content criteria:</w:t>
            </w:r>
          </w:p>
          <w:p w14:paraId="06AB15A6" w14:textId="77777777" w:rsidR="00102FCC" w:rsidRPr="00102FCC" w:rsidRDefault="00102FCC" w:rsidP="00102FCC">
            <w:pPr>
              <w:numPr>
                <w:ilvl w:val="0"/>
                <w:numId w:val="39"/>
              </w:numPr>
              <w:spacing w:line="300" w:lineRule="atLeast"/>
              <w:contextualSpacing/>
              <w:rPr>
                <w:rFonts w:eastAsia="Times New Roman"/>
                <w:sz w:val="20"/>
                <w:szCs w:val="20"/>
              </w:rPr>
            </w:pPr>
            <w:r w:rsidRPr="00102FCC">
              <w:rPr>
                <w:rFonts w:eastAsia="Times New Roman"/>
                <w:b/>
                <w:bCs/>
                <w:sz w:val="20"/>
                <w:szCs w:val="20"/>
              </w:rPr>
              <w:t>Recruitment</w:t>
            </w:r>
            <w:r w:rsidRPr="00102FCC">
              <w:rPr>
                <w:rFonts w:eastAsia="Times New Roman"/>
                <w:sz w:val="20"/>
                <w:szCs w:val="20"/>
              </w:rPr>
              <w:t>: A list of recruitment activities and the number of new raters recruited for each OTS language.</w:t>
            </w:r>
          </w:p>
          <w:p w14:paraId="6C6A32C1" w14:textId="77777777" w:rsidR="00102FCC" w:rsidRPr="00102FCC" w:rsidRDefault="00102FCC" w:rsidP="00102FCC">
            <w:pPr>
              <w:numPr>
                <w:ilvl w:val="0"/>
                <w:numId w:val="39"/>
              </w:numPr>
              <w:spacing w:line="300" w:lineRule="atLeast"/>
              <w:contextualSpacing/>
              <w:rPr>
                <w:rFonts w:eastAsia="Times New Roman"/>
                <w:sz w:val="20"/>
                <w:szCs w:val="20"/>
              </w:rPr>
            </w:pPr>
            <w:r w:rsidRPr="00102FCC">
              <w:rPr>
                <w:rFonts w:eastAsia="Times New Roman"/>
                <w:b/>
                <w:bCs/>
                <w:sz w:val="20"/>
                <w:szCs w:val="20"/>
              </w:rPr>
              <w:t>Training</w:t>
            </w:r>
            <w:r w:rsidRPr="00102FCC">
              <w:rPr>
                <w:rFonts w:eastAsia="Times New Roman"/>
                <w:sz w:val="20"/>
                <w:szCs w:val="20"/>
              </w:rPr>
              <w:t>: A list of training activities and the number of raters trained, sorted by language.</w:t>
            </w:r>
          </w:p>
          <w:p w14:paraId="412A11D2" w14:textId="77777777" w:rsidR="00102FCC" w:rsidRPr="00102FCC" w:rsidRDefault="00102FCC" w:rsidP="00102FCC">
            <w:pPr>
              <w:numPr>
                <w:ilvl w:val="0"/>
                <w:numId w:val="39"/>
              </w:numPr>
              <w:spacing w:line="300" w:lineRule="atLeast"/>
              <w:contextualSpacing/>
              <w:rPr>
                <w:rFonts w:eastAsia="Times New Roman"/>
                <w:sz w:val="20"/>
                <w:szCs w:val="20"/>
              </w:rPr>
            </w:pPr>
            <w:r w:rsidRPr="00102FCC">
              <w:rPr>
                <w:rFonts w:eastAsia="Times New Roman"/>
                <w:b/>
                <w:bCs/>
                <w:sz w:val="20"/>
                <w:szCs w:val="20"/>
              </w:rPr>
              <w:t>Exams Rated</w:t>
            </w:r>
            <w:r w:rsidRPr="00102FCC">
              <w:rPr>
                <w:rFonts w:eastAsia="Times New Roman"/>
                <w:sz w:val="20"/>
                <w:szCs w:val="20"/>
              </w:rPr>
              <w:t>: The total number of exams rated by language for the contract year, broken down by BIE administration.</w:t>
            </w:r>
          </w:p>
          <w:p w14:paraId="05FA7AF0" w14:textId="77777777" w:rsidR="00102FCC" w:rsidRPr="00102FCC" w:rsidRDefault="00102FCC" w:rsidP="00102FCC">
            <w:pPr>
              <w:numPr>
                <w:ilvl w:val="0"/>
                <w:numId w:val="39"/>
              </w:numPr>
              <w:spacing w:line="300" w:lineRule="atLeast"/>
              <w:contextualSpacing/>
              <w:rPr>
                <w:rFonts w:eastAsia="Times New Roman"/>
                <w:sz w:val="20"/>
                <w:szCs w:val="20"/>
              </w:rPr>
            </w:pPr>
            <w:r w:rsidRPr="00102FCC">
              <w:rPr>
                <w:rFonts w:eastAsia="Times New Roman"/>
                <w:b/>
                <w:bCs/>
                <w:sz w:val="20"/>
                <w:szCs w:val="20"/>
              </w:rPr>
              <w:t>Re-rated Exams</w:t>
            </w:r>
            <w:r w:rsidRPr="00102FCC">
              <w:rPr>
                <w:rFonts w:eastAsia="Times New Roman"/>
                <w:sz w:val="20"/>
                <w:szCs w:val="20"/>
              </w:rPr>
              <w:t>: The total number of eligible third-rating exams re-rated by language and administration.</w:t>
            </w:r>
          </w:p>
          <w:p w14:paraId="754AEDE6" w14:textId="77777777" w:rsidR="00102FCC" w:rsidRPr="00102FCC" w:rsidRDefault="00102FCC" w:rsidP="00102FCC">
            <w:pPr>
              <w:numPr>
                <w:ilvl w:val="0"/>
                <w:numId w:val="39"/>
              </w:numPr>
              <w:spacing w:line="300" w:lineRule="atLeast"/>
              <w:contextualSpacing/>
              <w:rPr>
                <w:rFonts w:eastAsia="Times New Roman"/>
                <w:sz w:val="20"/>
                <w:szCs w:val="20"/>
              </w:rPr>
            </w:pPr>
            <w:r w:rsidRPr="00102FCC">
              <w:rPr>
                <w:rFonts w:eastAsia="Times New Roman"/>
                <w:b/>
                <w:bCs/>
                <w:sz w:val="20"/>
                <w:szCs w:val="20"/>
              </w:rPr>
              <w:t>Final Dataset</w:t>
            </w:r>
            <w:r w:rsidRPr="00102FCC">
              <w:rPr>
                <w:rFonts w:eastAsia="Times New Roman"/>
                <w:sz w:val="20"/>
                <w:szCs w:val="20"/>
              </w:rPr>
              <w:t>: A comprehensive dataset (preferably in Excel) that includes candidate demographic information, testing score totals, scoring units, percentage scores by language, and BIE administration.</w:t>
            </w:r>
          </w:p>
          <w:p w14:paraId="569590E8" w14:textId="77777777" w:rsidR="00102FCC" w:rsidRPr="00102FCC" w:rsidRDefault="00102FCC" w:rsidP="0078199A">
            <w:pPr>
              <w:spacing w:before="120"/>
              <w:ind w:left="360" w:firstLine="0"/>
              <w:rPr>
                <w:rFonts w:eastAsia="Times New Roman"/>
                <w:sz w:val="20"/>
                <w:szCs w:val="20"/>
              </w:rPr>
            </w:pPr>
            <w:r w:rsidRPr="00102FCC">
              <w:rPr>
                <w:rFonts w:eastAsia="Times New Roman"/>
                <w:b/>
                <w:bCs/>
                <w:sz w:val="20"/>
                <w:szCs w:val="20"/>
              </w:rPr>
              <w:t>Fee Structure:</w:t>
            </w:r>
          </w:p>
          <w:p w14:paraId="42E4F3F7" w14:textId="178586F9" w:rsidR="00102FCC" w:rsidRPr="00102FCC" w:rsidRDefault="0071575C" w:rsidP="0078199A">
            <w:pPr>
              <w:spacing w:line="300" w:lineRule="atLeast"/>
              <w:ind w:left="353" w:firstLine="0"/>
              <w:contextualSpacing/>
              <w:rPr>
                <w:rFonts w:eastAsia="Times New Roman"/>
                <w:b/>
                <w:bCs/>
                <w:sz w:val="20"/>
                <w:szCs w:val="20"/>
              </w:rPr>
            </w:pPr>
            <w:r>
              <w:rPr>
                <w:rFonts w:eastAsia="Times New Roman"/>
                <w:sz w:val="20"/>
                <w:szCs w:val="20"/>
              </w:rPr>
              <w:t>Contractor should charge</w:t>
            </w:r>
            <w:r w:rsidR="00102FCC" w:rsidRPr="00102FCC">
              <w:rPr>
                <w:rFonts w:eastAsia="Times New Roman"/>
                <w:sz w:val="20"/>
                <w:szCs w:val="20"/>
              </w:rPr>
              <w:t xml:space="preserve"> a set fee for compiling and submitting the report and accompanying documentation. The Judicial Council may be billed a single set fee for this report deliverable.</w:t>
            </w:r>
          </w:p>
        </w:tc>
      </w:tr>
      <w:tr w:rsidR="00102FCC" w:rsidRPr="00102FCC" w14:paraId="31658E68" w14:textId="77777777" w:rsidTr="007D4658">
        <w:tblPrEx>
          <w:tblCellMar>
            <w:top w:w="58" w:type="dxa"/>
          </w:tblCellMar>
        </w:tblPrEx>
        <w:trPr>
          <w:trHeight w:val="904"/>
          <w:jc w:val="center"/>
        </w:trPr>
        <w:tc>
          <w:tcPr>
            <w:tcW w:w="8815" w:type="dxa"/>
            <w:tcBorders>
              <w:top w:val="single" w:sz="4" w:space="0" w:color="000000"/>
              <w:left w:val="single" w:sz="4" w:space="0" w:color="000000"/>
              <w:bottom w:val="single" w:sz="4" w:space="0" w:color="000000"/>
              <w:right w:val="single" w:sz="4" w:space="0" w:color="000000"/>
            </w:tcBorders>
          </w:tcPr>
          <w:p w14:paraId="3CF5A9B0" w14:textId="77777777" w:rsidR="00102FCC" w:rsidRPr="00102FCC" w:rsidRDefault="00102FCC" w:rsidP="0078199A">
            <w:pPr>
              <w:spacing w:before="120"/>
              <w:ind w:left="353" w:firstLine="0"/>
              <w:rPr>
                <w:rFonts w:eastAsia="Times New Roman"/>
                <w:b/>
                <w:bCs/>
                <w:sz w:val="20"/>
                <w:szCs w:val="20"/>
              </w:rPr>
            </w:pPr>
            <w:r w:rsidRPr="00102FCC">
              <w:rPr>
                <w:rFonts w:eastAsia="Times New Roman"/>
                <w:b/>
                <w:bCs/>
                <w:sz w:val="20"/>
                <w:szCs w:val="20"/>
              </w:rPr>
              <w:t>Deliverable 6: Ad Hoc Reports (TBD)</w:t>
            </w:r>
          </w:p>
          <w:p w14:paraId="377B8A06" w14:textId="34325B94" w:rsidR="00102FCC" w:rsidRPr="00102FCC" w:rsidRDefault="00102FCC" w:rsidP="0078199A">
            <w:pPr>
              <w:spacing w:before="120"/>
              <w:ind w:left="353" w:firstLine="0"/>
              <w:rPr>
                <w:rFonts w:eastAsia="Times New Roman"/>
                <w:sz w:val="20"/>
                <w:szCs w:val="20"/>
              </w:rPr>
            </w:pPr>
            <w:r w:rsidRPr="00102FCC">
              <w:rPr>
                <w:rFonts w:eastAsia="Times New Roman"/>
                <w:sz w:val="20"/>
                <w:szCs w:val="20"/>
              </w:rPr>
              <w:t>The Judicial Council may occasionally need ad hoc reports on scoring or other data points.</w:t>
            </w:r>
          </w:p>
          <w:p w14:paraId="196ACDCA" w14:textId="77777777" w:rsidR="00102FCC" w:rsidRPr="00102FCC" w:rsidRDefault="00102FCC" w:rsidP="0078199A">
            <w:pPr>
              <w:spacing w:before="120"/>
              <w:ind w:left="353" w:firstLine="0"/>
              <w:rPr>
                <w:rFonts w:eastAsia="Times New Roman"/>
                <w:sz w:val="20"/>
                <w:szCs w:val="20"/>
              </w:rPr>
            </w:pPr>
          </w:p>
        </w:tc>
      </w:tr>
    </w:tbl>
    <w:p w14:paraId="0CFC9C00" w14:textId="48F71544" w:rsidR="007847BB" w:rsidRPr="007847BB" w:rsidRDefault="007847BB" w:rsidP="007847BB">
      <w:pPr>
        <w:spacing w:line="276" w:lineRule="auto"/>
        <w:rPr>
          <w:rFonts w:eastAsia="Times New Roman"/>
          <w:b/>
          <w:bCs/>
          <w:szCs w:val="24"/>
        </w:rPr>
      </w:pPr>
      <w:r w:rsidRPr="007847BB">
        <w:rPr>
          <w:rFonts w:eastAsia="Times New Roman"/>
          <w:b/>
          <w:bCs/>
          <w:szCs w:val="24"/>
        </w:rPr>
        <w:br w:type="page"/>
      </w:r>
    </w:p>
    <w:p w14:paraId="0CF5E19F" w14:textId="77777777" w:rsidR="007F2648" w:rsidRPr="00C4177B" w:rsidRDefault="007F2648" w:rsidP="006D67F1">
      <w:pPr>
        <w:spacing w:before="120" w:after="120"/>
        <w:ind w:left="720"/>
        <w:rPr>
          <w:rFonts w:asciiTheme="minorHAnsi" w:hAnsiTheme="minorHAnsi" w:cstheme="minorHAnsi"/>
          <w:bCs/>
          <w:sz w:val="20"/>
          <w:u w:val="single"/>
          <w:lang w:bidi="en-US"/>
        </w:rPr>
      </w:pPr>
    </w:p>
    <w:p w14:paraId="0C80D7F6" w14:textId="77777777" w:rsidR="000827AC" w:rsidRPr="000827AC" w:rsidRDefault="000827AC" w:rsidP="000827AC">
      <w:pPr>
        <w:ind w:left="2880"/>
        <w:rPr>
          <w:rFonts w:asciiTheme="minorHAnsi" w:eastAsia="Times New Roman" w:hAnsiTheme="minorHAnsi" w:cstheme="minorHAnsi"/>
          <w:sz w:val="20"/>
          <w:u w:val="single"/>
        </w:rPr>
      </w:pPr>
    </w:p>
    <w:p w14:paraId="125143A3" w14:textId="21503D8F" w:rsidR="00570F30" w:rsidRPr="00F624AD" w:rsidRDefault="00F624AD" w:rsidP="00F624AD">
      <w:pPr>
        <w:pStyle w:val="Apnd1"/>
        <w:numPr>
          <w:ilvl w:val="1"/>
          <w:numId w:val="19"/>
        </w:numPr>
        <w:spacing w:before="120" w:after="120"/>
        <w:ind w:left="810"/>
        <w:rPr>
          <w:rFonts w:asciiTheme="minorHAnsi" w:hAnsiTheme="minorHAnsi" w:cstheme="minorHAnsi"/>
          <w:b w:val="0"/>
          <w:sz w:val="20"/>
          <w:lang w:bidi="en-US"/>
        </w:rPr>
      </w:pPr>
      <w:r>
        <w:rPr>
          <w:rFonts w:asciiTheme="minorHAnsi" w:hAnsiTheme="minorHAnsi" w:cstheme="minorHAnsi"/>
          <w:bCs/>
          <w:sz w:val="20"/>
          <w:lang w:bidi="en-US"/>
        </w:rPr>
        <w:t xml:space="preserve"> </w:t>
      </w:r>
      <w:r w:rsidR="00570F30" w:rsidRPr="00F624AD">
        <w:rPr>
          <w:rFonts w:asciiTheme="minorHAnsi" w:hAnsiTheme="minorHAnsi" w:cstheme="minorHAnsi"/>
          <w:bCs/>
          <w:sz w:val="20"/>
          <w:lang w:bidi="en-US"/>
        </w:rPr>
        <w:t>Acceptance Criteria</w:t>
      </w:r>
      <w:r w:rsidR="00C4177B" w:rsidRPr="00F624AD">
        <w:rPr>
          <w:rFonts w:asciiTheme="minorHAnsi" w:hAnsiTheme="minorHAnsi" w:cstheme="minorHAnsi"/>
          <w:b w:val="0"/>
          <w:sz w:val="20"/>
          <w:lang w:bidi="en-US"/>
        </w:rPr>
        <w:t xml:space="preserve">. </w:t>
      </w:r>
      <w:r w:rsidR="00570F30" w:rsidRPr="00F624AD">
        <w:rPr>
          <w:rFonts w:asciiTheme="minorHAnsi" w:hAnsiTheme="minorHAnsi" w:cstheme="minorHAnsi"/>
          <w:b w:val="0"/>
          <w:sz w:val="20"/>
          <w:lang w:bidi="en-US"/>
        </w:rPr>
        <w:t xml:space="preserve"> </w:t>
      </w:r>
      <w:r w:rsidR="000033AA" w:rsidRPr="00F624AD">
        <w:rPr>
          <w:rFonts w:asciiTheme="minorHAnsi" w:hAnsiTheme="minorHAnsi" w:cstheme="minorHAnsi"/>
          <w:b w:val="0"/>
          <w:sz w:val="20"/>
          <w:lang w:bidi="en-US"/>
        </w:rPr>
        <w:t xml:space="preserve">The Services and Deliverables must meet the following </w:t>
      </w:r>
      <w:r w:rsidR="00612BB5" w:rsidRPr="00F624AD">
        <w:rPr>
          <w:rFonts w:asciiTheme="minorHAnsi" w:hAnsiTheme="minorHAnsi" w:cstheme="minorHAnsi"/>
          <w:b w:val="0"/>
          <w:sz w:val="20"/>
          <w:lang w:bidi="en-US"/>
        </w:rPr>
        <w:t>acceptance c</w:t>
      </w:r>
      <w:r w:rsidR="000033AA" w:rsidRPr="00F624AD">
        <w:rPr>
          <w:rFonts w:asciiTheme="minorHAnsi" w:hAnsiTheme="minorHAnsi" w:cstheme="minorHAnsi"/>
          <w:b w:val="0"/>
          <w:sz w:val="20"/>
          <w:lang w:bidi="en-US"/>
        </w:rPr>
        <w:t>riteria</w:t>
      </w:r>
      <w:r w:rsidR="00612BB5" w:rsidRPr="00F624AD">
        <w:rPr>
          <w:rFonts w:asciiTheme="minorHAnsi" w:hAnsiTheme="minorHAnsi" w:cstheme="minorHAnsi"/>
          <w:b w:val="0"/>
          <w:sz w:val="20"/>
          <w:lang w:bidi="en-US"/>
        </w:rPr>
        <w:t xml:space="preserve"> </w:t>
      </w:r>
      <w:r w:rsidR="000033AA" w:rsidRPr="00F624AD">
        <w:rPr>
          <w:rFonts w:asciiTheme="minorHAnsi" w:hAnsiTheme="minorHAnsi" w:cstheme="minorHAnsi"/>
          <w:b w:val="0"/>
          <w:sz w:val="20"/>
          <w:lang w:bidi="en-US"/>
        </w:rPr>
        <w:t xml:space="preserve">or the </w:t>
      </w:r>
      <w:r>
        <w:rPr>
          <w:rFonts w:asciiTheme="minorHAnsi" w:hAnsiTheme="minorHAnsi" w:cstheme="minorHAnsi"/>
          <w:b w:val="0"/>
          <w:sz w:val="20"/>
          <w:lang w:bidi="en-US"/>
        </w:rPr>
        <w:t xml:space="preserve">      </w:t>
      </w:r>
      <w:r w:rsidR="00323CD0" w:rsidRPr="00F624AD">
        <w:rPr>
          <w:rFonts w:asciiTheme="minorHAnsi" w:hAnsiTheme="minorHAnsi" w:cstheme="minorHAnsi"/>
          <w:b w:val="0"/>
          <w:sz w:val="20"/>
          <w:lang w:bidi="en-US"/>
        </w:rPr>
        <w:t>JBE</w:t>
      </w:r>
      <w:r w:rsidR="000033AA" w:rsidRPr="00F624AD">
        <w:rPr>
          <w:rFonts w:asciiTheme="minorHAnsi" w:hAnsiTheme="minorHAnsi" w:cstheme="minorHAnsi"/>
          <w:b w:val="0"/>
          <w:sz w:val="20"/>
          <w:lang w:bidi="en-US"/>
        </w:rPr>
        <w:t xml:space="preserve"> </w:t>
      </w:r>
      <w:r w:rsidR="003E04D4" w:rsidRPr="00F624AD">
        <w:rPr>
          <w:rFonts w:asciiTheme="minorHAnsi" w:hAnsiTheme="minorHAnsi" w:cstheme="minorHAnsi"/>
          <w:b w:val="0"/>
          <w:sz w:val="20"/>
          <w:lang w:bidi="en-US"/>
        </w:rPr>
        <w:t>may</w:t>
      </w:r>
      <w:r w:rsidR="000033AA" w:rsidRPr="00F624AD">
        <w:rPr>
          <w:rFonts w:asciiTheme="minorHAnsi" w:hAnsiTheme="minorHAnsi" w:cstheme="minorHAnsi"/>
          <w:b w:val="0"/>
          <w:sz w:val="20"/>
          <w:lang w:bidi="en-US"/>
        </w:rPr>
        <w:t xml:space="preserve"> reject the applic</w:t>
      </w:r>
      <w:r w:rsidR="00152E34" w:rsidRPr="00F624AD">
        <w:rPr>
          <w:rFonts w:asciiTheme="minorHAnsi" w:hAnsiTheme="minorHAnsi" w:cstheme="minorHAnsi"/>
          <w:b w:val="0"/>
          <w:sz w:val="20"/>
          <w:lang w:bidi="en-US"/>
        </w:rPr>
        <w:t xml:space="preserve">able Services or Deliverables. </w:t>
      </w:r>
      <w:r w:rsidR="00C1317B" w:rsidRPr="00F624AD">
        <w:rPr>
          <w:rFonts w:asciiTheme="minorHAnsi" w:hAnsiTheme="minorHAnsi" w:cstheme="minorHAnsi"/>
          <w:b w:val="0"/>
          <w:sz w:val="20"/>
          <w:lang w:bidi="en-US"/>
        </w:rPr>
        <w:t xml:space="preserve">The </w:t>
      </w:r>
      <w:r w:rsidR="00323CD0" w:rsidRPr="00F624AD">
        <w:rPr>
          <w:rFonts w:asciiTheme="minorHAnsi" w:hAnsiTheme="minorHAnsi" w:cstheme="minorHAnsi"/>
          <w:b w:val="0"/>
          <w:sz w:val="20"/>
          <w:lang w:bidi="en-US"/>
        </w:rPr>
        <w:t>JBE</w:t>
      </w:r>
      <w:r w:rsidR="00C1317B" w:rsidRPr="00F624AD">
        <w:rPr>
          <w:rFonts w:asciiTheme="minorHAnsi" w:hAnsiTheme="minorHAnsi" w:cstheme="minorHAnsi"/>
          <w:b w:val="0"/>
          <w:sz w:val="20"/>
          <w:lang w:bidi="en-US"/>
        </w:rPr>
        <w:t xml:space="preserve"> may use the attached Acceptance and Signoff Form</w:t>
      </w:r>
      <w:r w:rsidR="004B2E58" w:rsidRPr="00F624AD">
        <w:rPr>
          <w:rFonts w:asciiTheme="minorHAnsi" w:hAnsiTheme="minorHAnsi" w:cstheme="minorHAnsi"/>
          <w:b w:val="0"/>
          <w:sz w:val="20"/>
          <w:lang w:bidi="en-US"/>
        </w:rPr>
        <w:t xml:space="preserve"> (</w:t>
      </w:r>
      <w:r w:rsidR="004B2E58" w:rsidRPr="00F624AD">
        <w:rPr>
          <w:rFonts w:asciiTheme="minorHAnsi" w:hAnsiTheme="minorHAnsi" w:cstheme="minorHAnsi"/>
          <w:bCs/>
          <w:sz w:val="20"/>
          <w:lang w:bidi="en-US"/>
        </w:rPr>
        <w:t>Attachment 1</w:t>
      </w:r>
      <w:r w:rsidR="004B2E58" w:rsidRPr="00F624AD">
        <w:rPr>
          <w:rFonts w:asciiTheme="minorHAnsi" w:hAnsiTheme="minorHAnsi" w:cstheme="minorHAnsi"/>
          <w:b w:val="0"/>
          <w:sz w:val="20"/>
          <w:lang w:bidi="en-US"/>
        </w:rPr>
        <w:t>)</w:t>
      </w:r>
      <w:r w:rsidR="00C1317B" w:rsidRPr="00F624AD">
        <w:rPr>
          <w:rFonts w:asciiTheme="minorHAnsi" w:hAnsiTheme="minorHAnsi" w:cstheme="minorHAnsi"/>
          <w:b w:val="0"/>
          <w:sz w:val="20"/>
          <w:lang w:bidi="en-US"/>
        </w:rPr>
        <w:t xml:space="preserve"> to notify Contractor of the acceptance or rejection of the Services and Deliverables.  </w:t>
      </w:r>
      <w:r w:rsidR="000033AA" w:rsidRPr="00F624AD">
        <w:rPr>
          <w:rFonts w:asciiTheme="minorHAnsi" w:hAnsiTheme="minorHAnsi" w:cstheme="minorHAnsi"/>
          <w:b w:val="0"/>
          <w:sz w:val="20"/>
          <w:lang w:bidi="en-US"/>
        </w:rPr>
        <w:t xml:space="preserve">Contractor will not be paid for any rejected Services or Deliverables.  </w:t>
      </w:r>
    </w:p>
    <w:p w14:paraId="539A5186" w14:textId="74359028" w:rsidR="000B7C6E" w:rsidRPr="000B7C6E" w:rsidRDefault="000B7C6E" w:rsidP="003A0663">
      <w:pPr>
        <w:pStyle w:val="ListParagraph"/>
        <w:numPr>
          <w:ilvl w:val="0"/>
          <w:numId w:val="16"/>
        </w:numPr>
        <w:spacing w:before="120" w:after="120"/>
        <w:rPr>
          <w:rFonts w:asciiTheme="minorHAnsi" w:hAnsiTheme="minorHAnsi" w:cstheme="minorHAnsi"/>
          <w:iCs/>
          <w:sz w:val="20"/>
        </w:rPr>
      </w:pPr>
      <w:r w:rsidRPr="000B7C6E">
        <w:rPr>
          <w:rFonts w:asciiTheme="minorHAnsi" w:hAnsiTheme="minorHAnsi" w:cstheme="minorHAnsi"/>
          <w:iCs/>
          <w:sz w:val="20"/>
        </w:rPr>
        <w:t>Completeness: The content of the Deliverables is legally current, correct, and thorough as required by the Agreement.</w:t>
      </w:r>
    </w:p>
    <w:p w14:paraId="623665DB" w14:textId="79B46FFA" w:rsidR="000B7C6E" w:rsidRPr="000B7C6E" w:rsidRDefault="000B7C6E" w:rsidP="003A0663">
      <w:pPr>
        <w:pStyle w:val="ListParagraph"/>
        <w:numPr>
          <w:ilvl w:val="0"/>
          <w:numId w:val="16"/>
        </w:numPr>
        <w:spacing w:before="120" w:after="120"/>
        <w:rPr>
          <w:rFonts w:asciiTheme="minorHAnsi" w:hAnsiTheme="minorHAnsi" w:cstheme="minorHAnsi"/>
          <w:iCs/>
          <w:sz w:val="20"/>
        </w:rPr>
      </w:pPr>
      <w:r w:rsidRPr="000B7C6E">
        <w:rPr>
          <w:rFonts w:asciiTheme="minorHAnsi" w:hAnsiTheme="minorHAnsi" w:cstheme="minorHAnsi"/>
          <w:iCs/>
          <w:sz w:val="20"/>
        </w:rPr>
        <w:t xml:space="preserve">Timeliness: The Services were </w:t>
      </w:r>
      <w:proofErr w:type="gramStart"/>
      <w:r w:rsidRPr="000B7C6E">
        <w:rPr>
          <w:rFonts w:asciiTheme="minorHAnsi" w:hAnsiTheme="minorHAnsi" w:cstheme="minorHAnsi"/>
          <w:iCs/>
          <w:sz w:val="20"/>
        </w:rPr>
        <w:t>completed</w:t>
      </w:r>
      <w:proofErr w:type="gramEnd"/>
      <w:r w:rsidRPr="000B7C6E">
        <w:rPr>
          <w:rFonts w:asciiTheme="minorHAnsi" w:hAnsiTheme="minorHAnsi" w:cstheme="minorHAnsi"/>
          <w:iCs/>
          <w:sz w:val="20"/>
        </w:rPr>
        <w:t xml:space="preserve"> and the Deliverables were delivered on time. </w:t>
      </w:r>
    </w:p>
    <w:p w14:paraId="58522B57" w14:textId="3BEC2069" w:rsidR="00570F30" w:rsidRPr="000B7C6E" w:rsidRDefault="000B7C6E" w:rsidP="003A0663">
      <w:pPr>
        <w:pStyle w:val="ListParagraph"/>
        <w:numPr>
          <w:ilvl w:val="0"/>
          <w:numId w:val="16"/>
        </w:numPr>
        <w:spacing w:before="120" w:after="120"/>
        <w:rPr>
          <w:rFonts w:asciiTheme="minorHAnsi" w:hAnsiTheme="minorHAnsi" w:cstheme="minorHAnsi"/>
          <w:iCs/>
          <w:sz w:val="20"/>
        </w:rPr>
      </w:pPr>
      <w:r w:rsidRPr="000B7C6E">
        <w:rPr>
          <w:rFonts w:asciiTheme="minorHAnsi" w:hAnsiTheme="minorHAnsi" w:cstheme="minorHAnsi"/>
          <w:iCs/>
          <w:sz w:val="20"/>
        </w:rPr>
        <w:t>Technical accuracy: The Deliverables are accurate as measured against commonly accepted standards.</w:t>
      </w:r>
    </w:p>
    <w:p w14:paraId="0FD53187" w14:textId="07EDF514" w:rsidR="00B95237" w:rsidRPr="00823D3E" w:rsidRDefault="00F624AD" w:rsidP="00F624AD">
      <w:pPr>
        <w:numPr>
          <w:ilvl w:val="1"/>
          <w:numId w:val="19"/>
        </w:numPr>
        <w:spacing w:before="120" w:after="120"/>
        <w:ind w:left="720"/>
        <w:rPr>
          <w:rFonts w:asciiTheme="minorHAnsi" w:hAnsiTheme="minorHAnsi" w:cstheme="minorHAnsi"/>
          <w:bCs/>
          <w:sz w:val="20"/>
          <w:u w:val="single"/>
          <w:lang w:bidi="en-US"/>
        </w:rPr>
      </w:pPr>
      <w:r>
        <w:rPr>
          <w:rFonts w:asciiTheme="minorHAnsi" w:hAnsiTheme="minorHAnsi" w:cstheme="minorHAnsi"/>
          <w:b/>
          <w:bCs/>
          <w:sz w:val="20"/>
          <w:lang w:bidi="en-US"/>
        </w:rPr>
        <w:t xml:space="preserve"> </w:t>
      </w:r>
      <w:r w:rsidR="00927DC6">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sidR="00927DC6">
        <w:rPr>
          <w:rFonts w:asciiTheme="minorHAnsi" w:hAnsiTheme="minorHAnsi" w:cstheme="minorHAnsi"/>
          <w:sz w:val="20"/>
        </w:rPr>
        <w:t xml:space="preserve"> must perform the Services and deliver the Deliverables according to the </w:t>
      </w:r>
      <w:r w:rsidR="002C2BDB">
        <w:rPr>
          <w:rFonts w:asciiTheme="minorHAnsi" w:hAnsiTheme="minorHAnsi" w:cstheme="minorHAnsi"/>
          <w:sz w:val="20"/>
        </w:rPr>
        <w:t xml:space="preserve">timeline specified in </w:t>
      </w:r>
      <w:r w:rsidR="002806ED">
        <w:rPr>
          <w:rFonts w:asciiTheme="minorHAnsi" w:hAnsiTheme="minorHAnsi" w:cstheme="minorHAnsi"/>
          <w:b/>
          <w:bCs/>
          <w:sz w:val="20"/>
        </w:rPr>
        <w:t>2.2.5. and 2.3.2.</w:t>
      </w:r>
      <w:r w:rsidR="00823D3E" w:rsidRPr="00823D3E">
        <w:rPr>
          <w:rFonts w:asciiTheme="minorHAnsi" w:hAnsiTheme="minorHAnsi" w:cstheme="minorHAnsi"/>
          <w:bCs/>
          <w:sz w:val="20"/>
          <w:lang w:bidi="en-US"/>
        </w:rPr>
        <w:t xml:space="preserve"> above.</w:t>
      </w:r>
    </w:p>
    <w:p w14:paraId="3AFC2B59" w14:textId="29A8E3D9" w:rsidR="00927DC6" w:rsidRPr="00EB564D" w:rsidRDefault="00F624AD" w:rsidP="003A0663">
      <w:pPr>
        <w:numPr>
          <w:ilvl w:val="1"/>
          <w:numId w:val="19"/>
        </w:numPr>
        <w:spacing w:before="120" w:after="120"/>
        <w:rPr>
          <w:rFonts w:asciiTheme="minorHAnsi" w:hAnsiTheme="minorHAnsi" w:cstheme="minorHAnsi"/>
          <w:bCs/>
          <w:sz w:val="20"/>
          <w:u w:val="single"/>
          <w:lang w:bidi="en-US"/>
        </w:rPr>
      </w:pPr>
      <w:r>
        <w:rPr>
          <w:rFonts w:asciiTheme="minorHAnsi" w:hAnsiTheme="minorHAnsi" w:cstheme="minorHAnsi"/>
          <w:b/>
          <w:sz w:val="20"/>
        </w:rPr>
        <w:t xml:space="preserve"> </w:t>
      </w:r>
      <w:r w:rsidR="00D722B2" w:rsidRPr="00D722B2">
        <w:rPr>
          <w:rFonts w:asciiTheme="minorHAnsi" w:hAnsiTheme="minorHAnsi" w:cstheme="minorHAnsi"/>
          <w:b/>
          <w:sz w:val="20"/>
        </w:rPr>
        <w:t>Project Managers.</w:t>
      </w:r>
      <w:r w:rsidR="00D722B2">
        <w:rPr>
          <w:rFonts w:asciiTheme="minorHAnsi" w:hAnsiTheme="minorHAnsi" w:cstheme="minorHAnsi"/>
          <w:sz w:val="20"/>
        </w:rPr>
        <w:t xml:space="preserve">  </w:t>
      </w:r>
      <w:r w:rsidR="00D722B2" w:rsidRPr="00D1622D">
        <w:rPr>
          <w:rFonts w:asciiTheme="minorHAnsi" w:hAnsiTheme="minorHAnsi" w:cstheme="minorHAnsi"/>
          <w:sz w:val="20"/>
        </w:rPr>
        <w:t xml:space="preserve">The </w:t>
      </w:r>
      <w:r w:rsidR="00323CD0">
        <w:rPr>
          <w:rFonts w:asciiTheme="minorHAnsi" w:hAnsiTheme="minorHAnsi" w:cstheme="minorHAnsi"/>
          <w:sz w:val="20"/>
        </w:rPr>
        <w:t>JBE</w:t>
      </w:r>
      <w:r w:rsidR="00D722B2" w:rsidRPr="00D1622D">
        <w:rPr>
          <w:rFonts w:asciiTheme="minorHAnsi" w:hAnsiTheme="minorHAnsi" w:cstheme="minorHAnsi"/>
          <w:sz w:val="20"/>
        </w:rPr>
        <w:t>’s project manager is:</w:t>
      </w:r>
      <w:r w:rsidR="00D722B2" w:rsidRPr="00152E34">
        <w:rPr>
          <w:rFonts w:asciiTheme="minorHAnsi" w:hAnsiTheme="minorHAnsi" w:cstheme="minorHAnsi"/>
          <w:sz w:val="20"/>
        </w:rPr>
        <w:t xml:space="preserve"> </w:t>
      </w:r>
      <w:r w:rsidR="00D722B2" w:rsidRPr="00152E34">
        <w:rPr>
          <w:rFonts w:asciiTheme="minorHAnsi" w:hAnsiTheme="minorHAnsi" w:cstheme="minorHAnsi"/>
          <w:b/>
          <w:sz w:val="20"/>
        </w:rPr>
        <w:t>[</w:t>
      </w:r>
      <w:r w:rsidR="00D722B2" w:rsidRPr="00152E34">
        <w:rPr>
          <w:rFonts w:asciiTheme="minorHAnsi" w:hAnsiTheme="minorHAnsi" w:cstheme="minorHAnsi"/>
          <w:b/>
          <w:sz w:val="20"/>
          <w:highlight w:val="yellow"/>
        </w:rPr>
        <w:t>Insert name</w:t>
      </w:r>
      <w:r w:rsidR="00D722B2" w:rsidRPr="00152E34">
        <w:rPr>
          <w:rFonts w:asciiTheme="minorHAnsi" w:hAnsiTheme="minorHAnsi" w:cstheme="minorHAnsi"/>
          <w:b/>
          <w:sz w:val="20"/>
        </w:rPr>
        <w:t>]</w:t>
      </w:r>
      <w:r w:rsidR="00D722B2" w:rsidRPr="00152E34">
        <w:rPr>
          <w:rFonts w:asciiTheme="minorHAnsi" w:hAnsiTheme="minorHAnsi" w:cstheme="minorHAnsi"/>
          <w:sz w:val="20"/>
        </w:rPr>
        <w:t xml:space="preserve">. The </w:t>
      </w:r>
      <w:r w:rsidR="00323CD0">
        <w:rPr>
          <w:rFonts w:asciiTheme="minorHAnsi" w:hAnsiTheme="minorHAnsi" w:cstheme="minorHAnsi"/>
          <w:sz w:val="20"/>
        </w:rPr>
        <w:t>JBE</w:t>
      </w:r>
      <w:r w:rsidR="00D722B2"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00D722B2" w:rsidRPr="00152E34">
        <w:rPr>
          <w:rFonts w:asciiTheme="minorHAnsi" w:hAnsiTheme="minorHAnsi" w:cstheme="minorHAnsi"/>
          <w:b/>
          <w:sz w:val="20"/>
        </w:rPr>
        <w:t>[</w:t>
      </w:r>
      <w:r w:rsidR="00D722B2" w:rsidRPr="00152E34">
        <w:rPr>
          <w:rFonts w:asciiTheme="minorHAnsi" w:hAnsiTheme="minorHAnsi" w:cstheme="minorHAnsi"/>
          <w:b/>
          <w:sz w:val="20"/>
          <w:highlight w:val="yellow"/>
        </w:rPr>
        <w:t>Insert name</w:t>
      </w:r>
      <w:r w:rsidR="00D722B2" w:rsidRPr="00152E34">
        <w:rPr>
          <w:rFonts w:asciiTheme="minorHAnsi" w:hAnsiTheme="minorHAnsi" w:cstheme="minorHAnsi"/>
          <w:b/>
          <w:sz w:val="20"/>
        </w:rPr>
        <w:t>]</w:t>
      </w:r>
      <w:r w:rsidR="00D722B2"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00D722B2"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00D722B2"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4F39D7B2" w:rsidR="006C35F6" w:rsidRPr="006C35F6" w:rsidRDefault="00F624AD" w:rsidP="003A0663">
      <w:pPr>
        <w:numPr>
          <w:ilvl w:val="1"/>
          <w:numId w:val="19"/>
        </w:numPr>
        <w:spacing w:before="120" w:after="120"/>
        <w:rPr>
          <w:rFonts w:asciiTheme="minorHAnsi" w:hAnsiTheme="minorHAnsi" w:cstheme="minorHAnsi"/>
          <w:bCs/>
          <w:sz w:val="20"/>
          <w:u w:val="single"/>
          <w:lang w:bidi="en-US"/>
        </w:rPr>
      </w:pPr>
      <w:r>
        <w:rPr>
          <w:rFonts w:asciiTheme="minorHAnsi" w:hAnsiTheme="minorHAnsi" w:cstheme="minorHAnsi"/>
          <w:b/>
          <w:sz w:val="20"/>
        </w:rPr>
        <w:t xml:space="preserve"> </w:t>
      </w:r>
      <w:r w:rsidR="00EB564D" w:rsidRPr="00EB564D">
        <w:rPr>
          <w:rFonts w:asciiTheme="minorHAnsi" w:hAnsiTheme="minorHAnsi" w:cstheme="minorHAnsi"/>
          <w:b/>
          <w:sz w:val="20"/>
        </w:rPr>
        <w:t>Service Warranties.</w:t>
      </w:r>
      <w:r w:rsidR="00EB564D">
        <w:rPr>
          <w:rFonts w:asciiTheme="minorHAnsi" w:hAnsiTheme="minorHAnsi" w:cstheme="minorHAnsi"/>
          <w:sz w:val="20"/>
        </w:rPr>
        <w:t xml:space="preserve">  </w:t>
      </w:r>
      <w:r w:rsidR="00EB564D" w:rsidRPr="00EB564D">
        <w:rPr>
          <w:rFonts w:asciiTheme="minorHAnsi" w:hAnsiTheme="minorHAnsi" w:cstheme="minorHAnsi"/>
          <w:sz w:val="20"/>
        </w:rPr>
        <w:t xml:space="preserve">Contractor </w:t>
      </w:r>
      <w:r w:rsidR="00EB564D">
        <w:rPr>
          <w:rFonts w:asciiTheme="minorHAnsi" w:hAnsiTheme="minorHAnsi" w:cstheme="minorHAnsi"/>
          <w:sz w:val="20"/>
        </w:rPr>
        <w:t xml:space="preserve">warrants </w:t>
      </w:r>
      <w:r w:rsidR="00EB564D"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00EB564D" w:rsidRPr="00EB564D">
        <w:rPr>
          <w:rFonts w:asciiTheme="minorHAnsi" w:hAnsiTheme="minorHAnsi" w:cstheme="minorHAnsi"/>
          <w:sz w:val="20"/>
        </w:rPr>
        <w:t>similar to</w:t>
      </w:r>
      <w:proofErr w:type="gramEnd"/>
      <w:r w:rsidR="00EB564D"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00EB564D" w:rsidRPr="00EB564D">
        <w:rPr>
          <w:rFonts w:asciiTheme="minorHAnsi" w:hAnsiTheme="minorHAnsi" w:cstheme="minorHAnsi"/>
          <w:sz w:val="20"/>
        </w:rPr>
        <w:t xml:space="preserve">manner consistent with the required level of quality and performance. Contractor </w:t>
      </w:r>
      <w:r w:rsidR="00EB564D">
        <w:rPr>
          <w:rFonts w:asciiTheme="minorHAnsi" w:hAnsiTheme="minorHAnsi" w:cstheme="minorHAnsi"/>
          <w:sz w:val="20"/>
        </w:rPr>
        <w:t xml:space="preserve">warrants that </w:t>
      </w:r>
      <w:r w:rsidR="00EB564D" w:rsidRPr="00EB564D">
        <w:rPr>
          <w:rFonts w:asciiTheme="minorHAnsi" w:hAnsiTheme="minorHAnsi" w:cstheme="minorHAnsi"/>
          <w:sz w:val="20"/>
        </w:rPr>
        <w:t xml:space="preserve">each Deliverable will conform to and perform in accordance with the requirements of this Agreement and all applicable </w:t>
      </w:r>
      <w:r w:rsidR="00EB564D">
        <w:rPr>
          <w:rFonts w:asciiTheme="minorHAnsi" w:hAnsiTheme="minorHAnsi" w:cstheme="minorHAnsi"/>
          <w:sz w:val="20"/>
        </w:rPr>
        <w:t>s</w:t>
      </w:r>
      <w:r w:rsidR="00EB564D" w:rsidRPr="00EB564D">
        <w:rPr>
          <w:rFonts w:asciiTheme="minorHAnsi" w:hAnsiTheme="minorHAnsi" w:cstheme="minorHAnsi"/>
          <w:sz w:val="20"/>
        </w:rPr>
        <w:t xml:space="preserve">pecifications and </w:t>
      </w:r>
      <w:r w:rsidR="00EB564D">
        <w:rPr>
          <w:rFonts w:asciiTheme="minorHAnsi" w:hAnsiTheme="minorHAnsi" w:cstheme="minorHAnsi"/>
          <w:sz w:val="20"/>
        </w:rPr>
        <w:t>d</w:t>
      </w:r>
      <w:r w:rsidR="00EB564D"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sidR="00EB564D">
        <w:rPr>
          <w:rFonts w:asciiTheme="minorHAnsi" w:hAnsiTheme="minorHAnsi" w:cstheme="minorHAnsi"/>
          <w:sz w:val="20"/>
        </w:rPr>
        <w:t>’s</w:t>
      </w:r>
      <w:r w:rsidR="00EB564D" w:rsidRPr="00EB564D">
        <w:rPr>
          <w:rFonts w:asciiTheme="minorHAnsi" w:hAnsiTheme="minorHAnsi" w:cstheme="minorHAnsi"/>
          <w:sz w:val="20"/>
        </w:rPr>
        <w:t xml:space="preserve"> acceptance of such </w:t>
      </w:r>
      <w:proofErr w:type="gramStart"/>
      <w:r w:rsidR="00EB564D" w:rsidRPr="00EB564D">
        <w:rPr>
          <w:rFonts w:asciiTheme="minorHAnsi" w:hAnsiTheme="minorHAnsi" w:cstheme="minorHAnsi"/>
          <w:sz w:val="20"/>
        </w:rPr>
        <w:t>Deliverable, and</w:t>
      </w:r>
      <w:proofErr w:type="gramEnd"/>
      <w:r w:rsidR="00EB564D"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00EB564D" w:rsidRPr="00EB564D">
        <w:rPr>
          <w:rFonts w:asciiTheme="minorHAnsi" w:hAnsiTheme="minorHAnsi" w:cstheme="minorHAnsi"/>
          <w:sz w:val="20"/>
        </w:rPr>
        <w:t xml:space="preserve">year following </w:t>
      </w:r>
      <w:r w:rsidR="00EB564D">
        <w:rPr>
          <w:rFonts w:asciiTheme="minorHAnsi" w:hAnsiTheme="minorHAnsi" w:cstheme="minorHAnsi"/>
          <w:sz w:val="20"/>
        </w:rPr>
        <w:t>a</w:t>
      </w:r>
      <w:r w:rsidR="00EB564D" w:rsidRPr="00EB564D">
        <w:rPr>
          <w:rFonts w:asciiTheme="minorHAnsi" w:hAnsiTheme="minorHAnsi" w:cstheme="minorHAnsi"/>
          <w:sz w:val="20"/>
        </w:rPr>
        <w:t xml:space="preserve">cceptance. In the event any Deliverable does not to conform to the foregoing </w:t>
      </w:r>
      <w:r w:rsidR="00EB564D">
        <w:rPr>
          <w:rFonts w:asciiTheme="minorHAnsi" w:hAnsiTheme="minorHAnsi" w:cstheme="minorHAnsi"/>
          <w:sz w:val="20"/>
        </w:rPr>
        <w:t>warranty</w:t>
      </w:r>
      <w:r w:rsidR="00EB564D"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00EB564D" w:rsidRPr="00EB564D">
        <w:rPr>
          <w:rFonts w:asciiTheme="minorHAnsi" w:hAnsiTheme="minorHAnsi" w:cstheme="minorHAnsi"/>
          <w:sz w:val="20"/>
        </w:rPr>
        <w:t>.</w:t>
      </w:r>
    </w:p>
    <w:p w14:paraId="67D55842" w14:textId="628630A1" w:rsidR="00EB564D" w:rsidRPr="003267C5" w:rsidRDefault="00F624AD" w:rsidP="003A0663">
      <w:pPr>
        <w:numPr>
          <w:ilvl w:val="1"/>
          <w:numId w:val="19"/>
        </w:numPr>
        <w:spacing w:before="120" w:after="120"/>
        <w:rPr>
          <w:rFonts w:asciiTheme="minorHAnsi" w:hAnsiTheme="minorHAnsi" w:cstheme="minorHAnsi"/>
          <w:bCs/>
          <w:sz w:val="20"/>
          <w:u w:val="single"/>
          <w:lang w:bidi="en-US"/>
        </w:rPr>
      </w:pPr>
      <w:r>
        <w:rPr>
          <w:b/>
          <w:sz w:val="20"/>
        </w:rPr>
        <w:t xml:space="preserve">  </w:t>
      </w:r>
      <w:r w:rsidR="006C35F6" w:rsidRPr="006C35F6">
        <w:rPr>
          <w:b/>
          <w:sz w:val="20"/>
        </w:rPr>
        <w:t xml:space="preserve">Resources.  </w:t>
      </w:r>
      <w:r w:rsidR="006C35F6" w:rsidRPr="007A0CA1">
        <w:rPr>
          <w:sz w:val="20"/>
        </w:rPr>
        <w:t xml:space="preserve">Contractor is responsible for providing </w:t>
      </w:r>
      <w:proofErr w:type="gramStart"/>
      <w:r w:rsidR="006C35F6" w:rsidRPr="007A0CA1">
        <w:rPr>
          <w:sz w:val="20"/>
        </w:rPr>
        <w:t>any and all</w:t>
      </w:r>
      <w:proofErr w:type="gramEnd"/>
      <w:r w:rsidR="006C35F6" w:rsidRPr="007A0CA1">
        <w:rPr>
          <w:sz w:val="20"/>
        </w:rPr>
        <w:t xml:space="preserve"> facilities, materials and resources (including personnel, equipment and software) necessary and appropriate for </w:t>
      </w:r>
      <w:r w:rsidR="003F1B2B">
        <w:rPr>
          <w:sz w:val="20"/>
        </w:rPr>
        <w:t>performance</w:t>
      </w:r>
      <w:r w:rsidR="006C35F6" w:rsidRPr="007A0CA1">
        <w:rPr>
          <w:sz w:val="20"/>
        </w:rPr>
        <w:t xml:space="preserve"> of the Services and to meet Contractor's obligations under this Agreement.</w:t>
      </w:r>
      <w:r w:rsidR="006C35F6">
        <w:rPr>
          <w:rFonts w:asciiTheme="minorHAnsi" w:hAnsiTheme="minorHAnsi" w:cstheme="minorHAnsi"/>
          <w:sz w:val="20"/>
        </w:rPr>
        <w:t xml:space="preserve"> </w:t>
      </w:r>
    </w:p>
    <w:p w14:paraId="7EA7C2B3" w14:textId="791495A9" w:rsidR="003267C5" w:rsidRPr="00D809AB" w:rsidRDefault="00F624AD" w:rsidP="003A0663">
      <w:pPr>
        <w:numPr>
          <w:ilvl w:val="1"/>
          <w:numId w:val="19"/>
        </w:numPr>
        <w:spacing w:before="120" w:after="120"/>
        <w:rPr>
          <w:rFonts w:asciiTheme="minorHAnsi" w:hAnsiTheme="minorHAnsi" w:cstheme="minorHAnsi"/>
          <w:bCs/>
          <w:sz w:val="20"/>
          <w:u w:val="single"/>
          <w:lang w:bidi="en-US"/>
        </w:rPr>
      </w:pPr>
      <w:r>
        <w:rPr>
          <w:rFonts w:asciiTheme="minorHAnsi" w:hAnsiTheme="minorHAnsi" w:cstheme="minorHAnsi"/>
          <w:b/>
          <w:sz w:val="20"/>
        </w:rPr>
        <w:t xml:space="preserve"> </w:t>
      </w:r>
      <w:r w:rsidR="003267C5" w:rsidRPr="003267C5">
        <w:rPr>
          <w:rFonts w:asciiTheme="minorHAnsi" w:hAnsiTheme="minorHAnsi" w:cstheme="minorHAnsi"/>
          <w:b/>
          <w:sz w:val="20"/>
        </w:rPr>
        <w:t>Commencement of Performance.</w:t>
      </w:r>
      <w:r w:rsidR="003267C5">
        <w:rPr>
          <w:rFonts w:asciiTheme="minorHAnsi" w:hAnsiTheme="minorHAnsi" w:cstheme="minorHAnsi"/>
          <w:sz w:val="20"/>
        </w:rPr>
        <w:t xml:space="preserve">  </w:t>
      </w:r>
      <w:r w:rsidR="003267C5"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sidR="003267C5">
        <w:rPr>
          <w:rFonts w:asciiTheme="minorHAnsi" w:hAnsiTheme="minorHAnsi" w:cstheme="minorHAnsi"/>
          <w:sz w:val="20"/>
        </w:rPr>
        <w:t xml:space="preserve">-required </w:t>
      </w:r>
      <w:r w:rsidR="003267C5"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003267C5" w:rsidRPr="003267C5">
        <w:rPr>
          <w:rFonts w:asciiTheme="minorHAnsi" w:hAnsiTheme="minorHAnsi" w:cstheme="minorHAnsi"/>
          <w:sz w:val="20"/>
        </w:rPr>
        <w:t xml:space="preserve"> Contr</w:t>
      </w:r>
      <w:r w:rsidR="003267C5">
        <w:rPr>
          <w:rFonts w:asciiTheme="minorHAnsi" w:hAnsiTheme="minorHAnsi" w:cstheme="minorHAnsi"/>
          <w:sz w:val="20"/>
        </w:rPr>
        <w:t>actor's own risk</w:t>
      </w:r>
      <w:r w:rsidR="003267C5" w:rsidRPr="003267C5">
        <w:rPr>
          <w:rFonts w:asciiTheme="minorHAnsi" w:hAnsiTheme="minorHAnsi" w:cstheme="minorHAnsi"/>
          <w:sz w:val="20"/>
        </w:rPr>
        <w:t>.</w:t>
      </w:r>
    </w:p>
    <w:p w14:paraId="04E54E5C" w14:textId="3B06837D" w:rsidR="00B15A09" w:rsidRPr="00C52C7B" w:rsidRDefault="00F624AD" w:rsidP="003A0663">
      <w:pPr>
        <w:numPr>
          <w:ilvl w:val="1"/>
          <w:numId w:val="19"/>
        </w:numPr>
        <w:spacing w:before="120" w:after="120"/>
        <w:rPr>
          <w:rFonts w:asciiTheme="minorHAnsi" w:hAnsiTheme="minorHAnsi" w:cstheme="minorHAnsi"/>
          <w:b/>
          <w:sz w:val="20"/>
        </w:rPr>
      </w:pPr>
      <w:r>
        <w:rPr>
          <w:rFonts w:asciiTheme="minorHAnsi" w:hAnsiTheme="minorHAnsi" w:cstheme="minorHAnsi"/>
          <w:b/>
          <w:sz w:val="20"/>
        </w:rPr>
        <w:t xml:space="preserve">  </w:t>
      </w:r>
      <w:r w:rsidR="00D809AB" w:rsidRPr="00C52C7B">
        <w:rPr>
          <w:rFonts w:asciiTheme="minorHAnsi" w:hAnsiTheme="minorHAnsi" w:cstheme="minorHAnsi"/>
          <w:b/>
          <w:sz w:val="20"/>
        </w:rPr>
        <w:t xml:space="preserve">Stop Work Orders.  </w:t>
      </w:r>
    </w:p>
    <w:p w14:paraId="6BFBC050" w14:textId="77777777" w:rsidR="00B15A09" w:rsidRDefault="00C52C7B" w:rsidP="003A0663">
      <w:pPr>
        <w:pStyle w:val="BodyText"/>
        <w:numPr>
          <w:ilvl w:val="2"/>
          <w:numId w:val="19"/>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3A0663">
      <w:pPr>
        <w:pStyle w:val="BodyText"/>
        <w:numPr>
          <w:ilvl w:val="2"/>
          <w:numId w:val="19"/>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lastRenderedPageBreak/>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5BE37DB4" w:rsidR="00B15A09" w:rsidRPr="00272D5F" w:rsidRDefault="00E37567" w:rsidP="003A0663">
      <w:pPr>
        <w:pStyle w:val="BodyText"/>
        <w:numPr>
          <w:ilvl w:val="2"/>
          <w:numId w:val="19"/>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3A0663">
      <w:pPr>
        <w:pStyle w:val="Apnd1"/>
        <w:numPr>
          <w:ilvl w:val="0"/>
          <w:numId w:val="19"/>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22"/>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70EA1F96" w:rsidR="00C36343" w:rsidRPr="000E4F8C" w:rsidRDefault="00C36343" w:rsidP="003A0663">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3A0663">
      <w:pPr>
        <w:numPr>
          <w:ilvl w:val="0"/>
          <w:numId w:val="5"/>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2A287ABB" w14:textId="5F084A31" w:rsidR="00D00CDA" w:rsidRPr="001B628C" w:rsidRDefault="00270F4F" w:rsidP="001B628C">
      <w:pPr>
        <w:numPr>
          <w:ilvl w:val="1"/>
          <w:numId w:val="11"/>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 xml:space="preserve">following </w:t>
      </w:r>
      <w:r w:rsidR="001B628C">
        <w:rPr>
          <w:rFonts w:asciiTheme="minorHAnsi" w:hAnsiTheme="minorHAnsi" w:cstheme="minorHAnsi"/>
          <w:bCs/>
          <w:sz w:val="20"/>
        </w:rPr>
        <w:t>firm-fixed</w:t>
      </w:r>
      <w:r w:rsidR="00D31BF7">
        <w:rPr>
          <w:rFonts w:asciiTheme="minorHAnsi" w:hAnsiTheme="minorHAnsi" w:cstheme="minorHAnsi"/>
          <w:bCs/>
          <w:sz w:val="20"/>
        </w:rPr>
        <w:t xml:space="preserve"> Amounts</w:t>
      </w:r>
      <w:r w:rsidR="001B628C">
        <w:rPr>
          <w:rFonts w:asciiTheme="minorHAnsi" w:hAnsiTheme="minorHAnsi" w:cstheme="minorHAnsi"/>
          <w:bCs/>
          <w:sz w:val="20"/>
        </w:rPr>
        <w:t>/Rates</w:t>
      </w:r>
      <w:r w:rsidR="005C5EAE">
        <w:rPr>
          <w:rFonts w:asciiTheme="minorHAnsi" w:hAnsiTheme="minorHAnsi" w:cstheme="minorHAnsi"/>
          <w:bCs/>
          <w:sz w:val="20"/>
        </w:rPr>
        <w:t xml:space="preserve">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D21F698" w14:textId="7E9F009E" w:rsidR="00C36343" w:rsidRPr="00EC158B" w:rsidRDefault="004B4C2E" w:rsidP="00187545">
      <w:pPr>
        <w:spacing w:before="120" w:after="120"/>
        <w:ind w:left="720"/>
        <w:rPr>
          <w:rFonts w:asciiTheme="minorHAnsi" w:hAnsiTheme="minorHAnsi" w:cstheme="minorHAnsi"/>
          <w:bCs/>
          <w:i/>
          <w:sz w:val="20"/>
          <w:lang w:bidi="en-US"/>
        </w:rPr>
      </w:pPr>
      <w:r w:rsidRPr="004B4C2E">
        <w:rPr>
          <w:rFonts w:asciiTheme="minorHAnsi" w:hAnsiTheme="minorHAnsi" w:cstheme="minorHAnsi"/>
          <w:bCs/>
          <w:i/>
          <w:sz w:val="20"/>
          <w:highlight w:val="yellow"/>
          <w:lang w:bidi="en-US"/>
        </w:rPr>
        <w:t>[TBD]</w:t>
      </w:r>
    </w:p>
    <w:p w14:paraId="0AFDE510" w14:textId="77777777" w:rsidR="00604041" w:rsidRPr="00604041" w:rsidRDefault="00270F4F" w:rsidP="003A0663">
      <w:pPr>
        <w:numPr>
          <w:ilvl w:val="1"/>
          <w:numId w:val="11"/>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3A0663">
      <w:pPr>
        <w:numPr>
          <w:ilvl w:val="1"/>
          <w:numId w:val="1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3A0663">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3A0663">
      <w:pPr>
        <w:pStyle w:val="ListParagraph"/>
        <w:numPr>
          <w:ilvl w:val="1"/>
          <w:numId w:val="19"/>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1E485904" w14:textId="485C9BDE" w:rsidR="00405381" w:rsidRDefault="00E165F5" w:rsidP="003A0663">
      <w:pPr>
        <w:numPr>
          <w:ilvl w:val="0"/>
          <w:numId w:val="8"/>
        </w:numPr>
        <w:ind w:left="720" w:firstLine="0"/>
        <w:rPr>
          <w:rFonts w:asciiTheme="minorHAnsi" w:hAnsiTheme="minorHAnsi" w:cstheme="minorHAnsi"/>
          <w:b/>
          <w:bCs/>
          <w:i/>
          <w:sz w:val="20"/>
          <w:lang w:bidi="en-US"/>
        </w:rPr>
      </w:pPr>
      <w:r>
        <w:rPr>
          <w:rFonts w:asciiTheme="minorHAnsi" w:hAnsiTheme="minorHAnsi" w:cstheme="minorHAnsi"/>
          <w:bCs/>
          <w:i/>
          <w:sz w:val="20"/>
          <w:lang w:bidi="en-US"/>
        </w:rPr>
        <w:t xml:space="preserve">  </w:t>
      </w:r>
      <w:r w:rsidR="00826874" w:rsidRPr="00826874">
        <w:rPr>
          <w:rFonts w:asciiTheme="minorHAnsi" w:hAnsiTheme="minorHAnsi" w:cstheme="minorHAnsi"/>
          <w:b/>
          <w:bCs/>
          <w:i/>
          <w:sz w:val="20"/>
          <w:lang w:bidi="en-US"/>
        </w:rPr>
        <w:t>Not applicable</w:t>
      </w:r>
      <w:r w:rsidR="00826874" w:rsidRPr="00826874">
        <w:rPr>
          <w:rFonts w:asciiTheme="minorHAnsi" w:hAnsiTheme="minorHAnsi" w:cstheme="minorHAnsi"/>
          <w:bCs/>
          <w:i/>
          <w:sz w:val="20"/>
          <w:lang w:bidi="en-US"/>
        </w:rPr>
        <w:t xml:space="preserve"> </w:t>
      </w:r>
    </w:p>
    <w:p w14:paraId="1906E038" w14:textId="77777777" w:rsidR="00826874" w:rsidRPr="00826874" w:rsidRDefault="00826874" w:rsidP="00826874">
      <w:pPr>
        <w:ind w:left="720"/>
        <w:rPr>
          <w:rFonts w:asciiTheme="minorHAnsi" w:hAnsiTheme="minorHAnsi" w:cstheme="minorHAnsi"/>
          <w:b/>
          <w:bCs/>
          <w:i/>
          <w:sz w:val="20"/>
          <w:lang w:bidi="en-US"/>
        </w:rPr>
      </w:pPr>
    </w:p>
    <w:p w14:paraId="1B130AC8" w14:textId="77777777" w:rsidR="0070078B" w:rsidRPr="00AD3D55" w:rsidRDefault="00DC5733" w:rsidP="003A0663">
      <w:pPr>
        <w:numPr>
          <w:ilvl w:val="0"/>
          <w:numId w:val="5"/>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3A0663">
      <w:pPr>
        <w:numPr>
          <w:ilvl w:val="1"/>
          <w:numId w:val="6"/>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67D8F21" w:rsidR="001524A0" w:rsidRDefault="00884DE5" w:rsidP="003A0663">
      <w:pPr>
        <w:numPr>
          <w:ilvl w:val="1"/>
          <w:numId w:val="6"/>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sidRPr="00974E51">
        <w:rPr>
          <w:b/>
          <w:bCs/>
          <w:sz w:val="20"/>
        </w:rPr>
        <w:t>.</w:t>
      </w:r>
      <w:r w:rsidR="00FC1AEF" w:rsidRPr="00974E51">
        <w:rPr>
          <w:b/>
          <w:bCs/>
          <w:sz w:val="20"/>
        </w:rPr>
        <w:t xml:space="preserve"> </w:t>
      </w:r>
      <w:r w:rsidR="00974E51" w:rsidRPr="00974E51">
        <w:rPr>
          <w:b/>
          <w:bCs/>
          <w:sz w:val="20"/>
        </w:rPr>
        <w:t>Judicial Council standard business payment terms are net sixty (60) days after receipt of correct invoice.</w:t>
      </w:r>
      <w:r w:rsidR="00974E51" w:rsidRPr="00974E51">
        <w:rPr>
          <w:sz w:val="20"/>
        </w:rPr>
        <w:t xml:space="preserve"> </w:t>
      </w:r>
      <w:r w:rsidR="00974E51">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3A0663">
      <w:pPr>
        <w:numPr>
          <w:ilvl w:val="1"/>
          <w:numId w:val="6"/>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6B5071" w:rsidRDefault="0070078B" w:rsidP="003A0663">
      <w:pPr>
        <w:numPr>
          <w:ilvl w:val="0"/>
          <w:numId w:val="5"/>
        </w:numPr>
        <w:spacing w:before="120" w:after="120"/>
        <w:rPr>
          <w:rFonts w:asciiTheme="minorHAnsi" w:hAnsiTheme="minorHAnsi" w:cstheme="minorHAnsi"/>
          <w:b/>
          <w:bCs/>
          <w:sz w:val="20"/>
        </w:rPr>
      </w:pPr>
      <w:r w:rsidRPr="006B5071">
        <w:rPr>
          <w:rFonts w:asciiTheme="minorHAnsi" w:hAnsiTheme="minorHAnsi" w:cstheme="minorHAnsi"/>
          <w:b/>
          <w:bCs/>
          <w:sz w:val="20"/>
        </w:rPr>
        <w:t xml:space="preserve">Taxes.  </w:t>
      </w:r>
      <w:r w:rsidRPr="006B5071">
        <w:rPr>
          <w:rFonts w:asciiTheme="minorHAnsi" w:hAnsiTheme="minorHAnsi" w:cstheme="minorHAnsi"/>
          <w:sz w:val="20"/>
        </w:rPr>
        <w:t xml:space="preserve">Unless otherwise required by law, the </w:t>
      </w:r>
      <w:r w:rsidR="00323CD0" w:rsidRPr="006B5071">
        <w:rPr>
          <w:rFonts w:asciiTheme="minorHAnsi" w:hAnsiTheme="minorHAnsi" w:cstheme="minorHAnsi"/>
          <w:sz w:val="20"/>
        </w:rPr>
        <w:t>JBE</w:t>
      </w:r>
      <w:r w:rsidRPr="006B5071">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6B5071">
        <w:rPr>
          <w:rFonts w:asciiTheme="minorHAnsi" w:hAnsiTheme="minorHAnsi" w:cstheme="minorHAnsi"/>
          <w:sz w:val="20"/>
        </w:rPr>
        <w:t>JBE</w:t>
      </w:r>
      <w:r w:rsidRPr="006B5071">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6B5071">
        <w:rPr>
          <w:rFonts w:asciiTheme="minorHAnsi" w:hAnsiTheme="minorHAnsi" w:cstheme="minorHAnsi"/>
          <w:sz w:val="20"/>
        </w:rPr>
        <w:t>JBE</w:t>
      </w:r>
      <w:r w:rsidRPr="006B5071">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23"/>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3A0663">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3A0663">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3A0663">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3A0663">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3A0663">
      <w:pPr>
        <w:numPr>
          <w:ilvl w:val="0"/>
          <w:numId w:val="4"/>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3A0663">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3A0663">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006B0412" w:rsidR="001768BA" w:rsidRPr="00FF29E6" w:rsidRDefault="001768BA" w:rsidP="003A0663">
      <w:pPr>
        <w:numPr>
          <w:ilvl w:val="0"/>
          <w:numId w:val="4"/>
        </w:numPr>
        <w:spacing w:before="120" w:after="120"/>
        <w:rPr>
          <w:b/>
          <w:sz w:val="20"/>
        </w:rPr>
      </w:pPr>
      <w:r w:rsidRPr="00FF29E6">
        <w:rPr>
          <w:b/>
          <w:sz w:val="20"/>
        </w:rPr>
        <w:t xml:space="preserve">Insurance. </w:t>
      </w:r>
    </w:p>
    <w:p w14:paraId="2369D33F" w14:textId="77777777" w:rsidR="001768BA" w:rsidRPr="00FF29E6" w:rsidRDefault="001768BA" w:rsidP="003A0663">
      <w:pPr>
        <w:widowControl w:val="0"/>
        <w:numPr>
          <w:ilvl w:val="1"/>
          <w:numId w:val="14"/>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3A0663">
      <w:pPr>
        <w:numPr>
          <w:ilvl w:val="3"/>
          <w:numId w:val="14"/>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3A0663">
      <w:pPr>
        <w:numPr>
          <w:ilvl w:val="3"/>
          <w:numId w:val="14"/>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3A0663">
      <w:pPr>
        <w:numPr>
          <w:ilvl w:val="3"/>
          <w:numId w:val="14"/>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3A0663">
      <w:pPr>
        <w:numPr>
          <w:ilvl w:val="3"/>
          <w:numId w:val="14"/>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w:t>
      </w:r>
      <w:r w:rsidRPr="00FF29E6">
        <w:rPr>
          <w:sz w:val="20"/>
        </w:rPr>
        <w:lastRenderedPageBreak/>
        <w:t xml:space="preserve">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3A0663">
      <w:pPr>
        <w:numPr>
          <w:ilvl w:val="3"/>
          <w:numId w:val="14"/>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3A0663">
      <w:pPr>
        <w:numPr>
          <w:ilvl w:val="1"/>
          <w:numId w:val="14"/>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3A0663">
      <w:pPr>
        <w:numPr>
          <w:ilvl w:val="3"/>
          <w:numId w:val="14"/>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E21FC7">
        <w:rPr>
          <w:sz w:val="20"/>
        </w:rPr>
        <w:t>one million dollars ($1,000,000)</w:t>
      </w:r>
      <w:r w:rsidRPr="00FF29E6">
        <w:rPr>
          <w:sz w:val="20"/>
        </w:rPr>
        <w:t xml:space="preserve"> per occurrence for bodily injury and property damage and </w:t>
      </w:r>
      <w:r w:rsidRPr="00E21FC7">
        <w:rPr>
          <w:sz w:val="20"/>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FF29E6">
        <w:rPr>
          <w:sz w:val="20"/>
        </w:rPr>
        <w:t>made</w:t>
      </w:r>
      <w:proofErr w:type="gramEnd"/>
      <w:r w:rsidRPr="00FF29E6">
        <w:rPr>
          <w:sz w:val="20"/>
        </w:rPr>
        <w:t xml:space="preserv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3A0663">
      <w:pPr>
        <w:numPr>
          <w:ilvl w:val="3"/>
          <w:numId w:val="14"/>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3A0663">
      <w:pPr>
        <w:numPr>
          <w:ilvl w:val="3"/>
          <w:numId w:val="14"/>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3A0663">
      <w:pPr>
        <w:numPr>
          <w:ilvl w:val="3"/>
          <w:numId w:val="14"/>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w:t>
      </w:r>
      <w:proofErr w:type="gramStart"/>
      <w:r w:rsidR="003C0592">
        <w:rPr>
          <w:sz w:val="20"/>
        </w:rPr>
        <w:t xml:space="preserve">required </w:t>
      </w:r>
      <w:r w:rsidRPr="00FF29E6">
        <w:rPr>
          <w:sz w:val="20"/>
        </w:rPr>
        <w:t xml:space="preserve"> under</w:t>
      </w:r>
      <w:proofErr w:type="gramEnd"/>
      <w:r w:rsidRPr="00FF29E6">
        <w:rPr>
          <w:sz w:val="20"/>
        </w:rPr>
        <w:t xml:space="preserve"> the terms of this Agreement. The policy shall provide limits of not less than </w:t>
      </w:r>
      <w:r w:rsidRPr="00907333">
        <w:rPr>
          <w:sz w:val="20"/>
        </w:rPr>
        <w:t>one million dollars ($1,000,000)</w:t>
      </w:r>
      <w:r w:rsidRPr="00FF29E6">
        <w:rPr>
          <w:sz w:val="20"/>
        </w:rPr>
        <w:t xml:space="preserve"> per claim or per occurrence and </w:t>
      </w:r>
      <w:r w:rsidRPr="00907333">
        <w:rPr>
          <w:sz w:val="20"/>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3A0663">
      <w:pPr>
        <w:numPr>
          <w:ilvl w:val="3"/>
          <w:numId w:val="14"/>
        </w:numPr>
        <w:spacing w:line="259" w:lineRule="auto"/>
        <w:contextualSpacing/>
        <w:rPr>
          <w:sz w:val="20"/>
        </w:rPr>
      </w:pPr>
      <w:r w:rsidRPr="00FF29E6">
        <w:rPr>
          <w:sz w:val="20"/>
          <w:u w:val="single"/>
        </w:rPr>
        <w:t>Cyber Liability Insurance</w:t>
      </w:r>
    </w:p>
    <w:p w14:paraId="36C82B21" w14:textId="77777777" w:rsidR="001768BA" w:rsidRPr="00FF29E6" w:rsidRDefault="001768BA" w:rsidP="001768BA">
      <w:pPr>
        <w:rPr>
          <w:i/>
          <w:iCs/>
          <w:sz w:val="20"/>
        </w:rPr>
      </w:pPr>
      <w:r w:rsidRPr="00FF29E6">
        <w:rPr>
          <w:sz w:val="20"/>
        </w:rPr>
        <w:t xml:space="preserve">Cyber Liability Insurance, with limits not less than </w:t>
      </w:r>
      <w:r w:rsidRPr="00907333">
        <w:rPr>
          <w:sz w:val="20"/>
        </w:rPr>
        <w:t>two million dollars ($2,000,000)</w:t>
      </w:r>
      <w:r w:rsidRPr="00FF29E6">
        <w:rPr>
          <w:sz w:val="20"/>
        </w:rPr>
        <w:t xml:space="preserve"> per occurrence or claim, </w:t>
      </w:r>
      <w:r w:rsidRPr="00907333">
        <w:rPr>
          <w:sz w:val="20"/>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 xml:space="preserve">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w:t>
      </w:r>
      <w:r w:rsidRPr="00FF29E6">
        <w:rPr>
          <w:sz w:val="20"/>
        </w:rPr>
        <w:lastRenderedPageBreak/>
        <w:t>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3A0663">
      <w:pPr>
        <w:numPr>
          <w:ilvl w:val="3"/>
          <w:numId w:val="14"/>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907333">
        <w:rPr>
          <w:sz w:val="20"/>
        </w:rPr>
        <w:t>two million dollars ($2,000,000)</w:t>
      </w:r>
      <w:r w:rsidRPr="00FF29E6">
        <w:rPr>
          <w:sz w:val="20"/>
        </w:rPr>
        <w:t xml:space="preserve"> per occurrence, and </w:t>
      </w:r>
      <w:r w:rsidRPr="00907333">
        <w:rPr>
          <w:sz w:val="20"/>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w:t>
      </w:r>
      <w:proofErr w:type="gramStart"/>
      <w:r w:rsidRPr="00FF29E6">
        <w:rPr>
          <w:sz w:val="20"/>
        </w:rPr>
        <w:t>include,</w:t>
      </w:r>
      <w:proofErr w:type="gramEnd"/>
      <w:r w:rsidRPr="00FF29E6">
        <w:rPr>
          <w:sz w:val="20"/>
        </w:rPr>
        <w:t xml:space="preserv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E0FA093" w14:textId="77777777" w:rsidR="001768BA" w:rsidRPr="00FF29E6" w:rsidRDefault="001768BA" w:rsidP="001768BA">
      <w:pPr>
        <w:rPr>
          <w:sz w:val="20"/>
        </w:rPr>
      </w:pPr>
    </w:p>
    <w:p w14:paraId="088FE66C" w14:textId="77777777" w:rsidR="001768BA" w:rsidRPr="00FF29E6" w:rsidRDefault="001768BA" w:rsidP="003A0663">
      <w:pPr>
        <w:numPr>
          <w:ilvl w:val="3"/>
          <w:numId w:val="14"/>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3A0663">
      <w:pPr>
        <w:numPr>
          <w:ilvl w:val="1"/>
          <w:numId w:val="14"/>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3A0663">
      <w:pPr>
        <w:pStyle w:val="ListParagraph"/>
        <w:numPr>
          <w:ilvl w:val="0"/>
          <w:numId w:val="4"/>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3751FF9" w:rsidR="00081C7A" w:rsidRPr="00E16357" w:rsidRDefault="007E21F5" w:rsidP="003A0663">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EC3A3A">
        <w:rPr>
          <w:rFonts w:asciiTheme="minorHAnsi" w:hAnsiTheme="minorHAnsi" w:cstheme="minorHAnsi"/>
          <w:bCs/>
          <w:sz w:val="20"/>
        </w:rPr>
        <w:t xml:space="preserve">up to </w:t>
      </w:r>
      <w:r w:rsidR="002C446F">
        <w:rPr>
          <w:rFonts w:asciiTheme="minorHAnsi" w:hAnsiTheme="minorHAnsi" w:cstheme="minorHAnsi"/>
          <w:b/>
          <w:sz w:val="20"/>
        </w:rPr>
        <w:t>two</w:t>
      </w:r>
      <w:r w:rsidR="00EC3A3A" w:rsidRPr="00E86440">
        <w:rPr>
          <w:rFonts w:asciiTheme="minorHAnsi" w:hAnsiTheme="minorHAnsi" w:cstheme="minorHAnsi"/>
          <w:b/>
          <w:sz w:val="20"/>
        </w:rPr>
        <w:t xml:space="preserve"> consecutive </w:t>
      </w:r>
      <w:r w:rsidR="00081C7A" w:rsidRPr="00E86440">
        <w:rPr>
          <w:rFonts w:asciiTheme="minorHAnsi" w:hAnsiTheme="minorHAnsi" w:cstheme="minorHAnsi"/>
          <w:b/>
          <w:sz w:val="20"/>
        </w:rPr>
        <w:t>one-year term</w:t>
      </w:r>
      <w:r w:rsidR="00EC3A3A" w:rsidRPr="00E86440">
        <w:rPr>
          <w:rFonts w:asciiTheme="minorHAnsi" w:hAnsiTheme="minorHAnsi" w:cstheme="minorHAnsi"/>
          <w:b/>
          <w:sz w:val="20"/>
        </w:rPr>
        <w:t>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w:t>
      </w:r>
      <w:r w:rsidR="006A0ABC">
        <w:rPr>
          <w:rFonts w:asciiTheme="minorHAnsi" w:hAnsiTheme="minorHAnsi" w:cstheme="minorHAnsi"/>
          <w:bCs/>
          <w:sz w:val="20"/>
        </w:rPr>
        <w:t>an</w:t>
      </w:r>
      <w:r w:rsidR="006F36FB">
        <w:rPr>
          <w:rFonts w:asciiTheme="minorHAnsi" w:hAnsiTheme="minorHAnsi" w:cstheme="minorHAnsi"/>
          <w:bCs/>
          <w:sz w:val="20"/>
        </w:rPr>
        <w:t xml:space="preserve">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C56708">
        <w:rPr>
          <w:rFonts w:asciiTheme="minorHAnsi" w:hAnsiTheme="minorHAnsi" w:cstheme="minorHAnsi"/>
          <w:bCs/>
          <w:sz w:val="20"/>
        </w:rPr>
        <w:t xml:space="preserve"> (or the then-current Option Term)</w:t>
      </w:r>
      <w:r w:rsidR="00125E09">
        <w:rPr>
          <w:rFonts w:asciiTheme="minorHAnsi" w:hAnsiTheme="minorHAnsi" w:cstheme="minorHAnsi"/>
          <w:bCs/>
          <w:sz w:val="20"/>
        </w:rPr>
        <w:t>.</w:t>
      </w:r>
    </w:p>
    <w:p w14:paraId="1C0E8FEF" w14:textId="43C07CF8" w:rsidR="00E16357" w:rsidRDefault="00D86A7C" w:rsidP="00E16357">
      <w:pPr>
        <w:spacing w:before="120" w:after="120"/>
        <w:ind w:left="360"/>
        <w:rPr>
          <w:rFonts w:asciiTheme="minorHAnsi" w:hAnsiTheme="minorHAnsi" w:cstheme="minorHAnsi"/>
          <w:b/>
          <w:bCs/>
          <w:sz w:val="20"/>
        </w:rPr>
      </w:pPr>
      <w:r>
        <w:rPr>
          <w:rFonts w:asciiTheme="minorHAnsi" w:hAnsiTheme="minorHAnsi" w:cstheme="minorHAnsi"/>
          <w:b/>
          <w:bCs/>
          <w:sz w:val="20"/>
        </w:rPr>
        <w:t>Initial Term:</w:t>
      </w:r>
      <w:r w:rsidR="00056335">
        <w:rPr>
          <w:rFonts w:asciiTheme="minorHAnsi" w:hAnsiTheme="minorHAnsi" w:cstheme="minorHAnsi"/>
          <w:b/>
          <w:bCs/>
          <w:sz w:val="20"/>
        </w:rPr>
        <w:t xml:space="preserve">  June 1, 2025 – May 31, 2026</w:t>
      </w:r>
    </w:p>
    <w:p w14:paraId="67C82633" w14:textId="5FB0A43B" w:rsidR="00D86A7C" w:rsidRDefault="00D86A7C" w:rsidP="00E16357">
      <w:pPr>
        <w:spacing w:before="120" w:after="120"/>
        <w:ind w:left="360"/>
        <w:rPr>
          <w:rFonts w:asciiTheme="minorHAnsi" w:hAnsiTheme="minorHAnsi" w:cstheme="minorHAnsi"/>
          <w:b/>
          <w:bCs/>
          <w:sz w:val="20"/>
        </w:rPr>
      </w:pPr>
      <w:r>
        <w:rPr>
          <w:rFonts w:asciiTheme="minorHAnsi" w:hAnsiTheme="minorHAnsi" w:cstheme="minorHAnsi"/>
          <w:b/>
          <w:bCs/>
          <w:sz w:val="20"/>
        </w:rPr>
        <w:t xml:space="preserve">First Option Term: </w:t>
      </w:r>
      <w:r w:rsidR="00056335">
        <w:rPr>
          <w:rFonts w:asciiTheme="minorHAnsi" w:hAnsiTheme="minorHAnsi" w:cstheme="minorHAnsi"/>
          <w:b/>
          <w:bCs/>
          <w:sz w:val="20"/>
        </w:rPr>
        <w:t>June 1, 2026 – May 31, 2027</w:t>
      </w:r>
    </w:p>
    <w:p w14:paraId="12AB5929" w14:textId="4C370FC3" w:rsidR="00D86A7C" w:rsidRDefault="00D86A7C" w:rsidP="00E16357">
      <w:pPr>
        <w:spacing w:before="120" w:after="120"/>
        <w:ind w:left="360"/>
        <w:rPr>
          <w:rFonts w:asciiTheme="minorHAnsi" w:hAnsiTheme="minorHAnsi" w:cstheme="minorHAnsi"/>
          <w:b/>
          <w:bCs/>
          <w:sz w:val="20"/>
        </w:rPr>
      </w:pPr>
      <w:r>
        <w:rPr>
          <w:rFonts w:asciiTheme="minorHAnsi" w:hAnsiTheme="minorHAnsi" w:cstheme="minorHAnsi"/>
          <w:b/>
          <w:bCs/>
          <w:sz w:val="20"/>
        </w:rPr>
        <w:t xml:space="preserve">Second Option Term: </w:t>
      </w:r>
      <w:r w:rsidR="00056335">
        <w:rPr>
          <w:rFonts w:asciiTheme="minorHAnsi" w:hAnsiTheme="minorHAnsi" w:cstheme="minorHAnsi"/>
          <w:b/>
          <w:bCs/>
          <w:sz w:val="20"/>
        </w:rPr>
        <w:t>June 1, 2027 – May 31, 2028</w:t>
      </w:r>
    </w:p>
    <w:p w14:paraId="3BCBFD86" w14:textId="77777777" w:rsidR="007F3498" w:rsidRDefault="007F3498" w:rsidP="003A0663">
      <w:pPr>
        <w:numPr>
          <w:ilvl w:val="0"/>
          <w:numId w:val="4"/>
        </w:numPr>
        <w:spacing w:before="120" w:after="120"/>
        <w:rPr>
          <w:rFonts w:asciiTheme="minorHAnsi" w:hAnsiTheme="minorHAnsi" w:cstheme="minorHAnsi"/>
          <w:b/>
          <w:bCs/>
          <w:sz w:val="20"/>
        </w:rPr>
      </w:pPr>
      <w:r w:rsidRPr="007F3498">
        <w:rPr>
          <w:rFonts w:asciiTheme="minorHAnsi" w:hAnsiTheme="minorHAnsi" w:cstheme="minorHAnsi"/>
          <w:b/>
          <w:bCs/>
          <w:sz w:val="20"/>
        </w:rPr>
        <w:lastRenderedPageBreak/>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3A0663">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3A0663">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3A0663">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3A0663">
      <w:pPr>
        <w:pStyle w:val="ListParagraph"/>
        <w:numPr>
          <w:ilvl w:val="1"/>
          <w:numId w:val="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3A0663">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3A0663">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3A0663">
      <w:pPr>
        <w:pStyle w:val="BodyText"/>
        <w:numPr>
          <w:ilvl w:val="2"/>
          <w:numId w:val="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3A0663">
      <w:pPr>
        <w:pStyle w:val="BodyText"/>
        <w:numPr>
          <w:ilvl w:val="2"/>
          <w:numId w:val="4"/>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3A0663">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 xml:space="preserve">-provided </w:t>
      </w:r>
      <w:r w:rsidR="008648B6">
        <w:rPr>
          <w:rFonts w:asciiTheme="minorHAnsi" w:hAnsiTheme="minorHAnsi" w:cstheme="minorHAnsi"/>
          <w:bCs/>
          <w:sz w:val="20"/>
        </w:rPr>
        <w:lastRenderedPageBreak/>
        <w:t>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3A0663">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3A0663">
      <w:pPr>
        <w:numPr>
          <w:ilvl w:val="0"/>
          <w:numId w:val="4"/>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3A0663">
      <w:pPr>
        <w:numPr>
          <w:ilvl w:val="0"/>
          <w:numId w:val="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3A0663">
      <w:pPr>
        <w:pStyle w:val="Apnd1"/>
        <w:numPr>
          <w:ilvl w:val="0"/>
          <w:numId w:val="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3A0663">
      <w:pPr>
        <w:numPr>
          <w:ilvl w:val="1"/>
          <w:numId w:val="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3A0663">
      <w:pPr>
        <w:pStyle w:val="BodyText"/>
        <w:numPr>
          <w:ilvl w:val="1"/>
          <w:numId w:val="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792C7F33" w14:textId="4BFA7706" w:rsidR="008F1CA8" w:rsidRPr="00F224D0" w:rsidRDefault="00EC6410" w:rsidP="003A0663">
      <w:pPr>
        <w:numPr>
          <w:ilvl w:val="1"/>
          <w:numId w:val="4"/>
        </w:numPr>
        <w:spacing w:before="120" w:after="120"/>
        <w:rPr>
          <w:rFonts w:asciiTheme="minorHAnsi" w:hAnsiTheme="minorHAnsi" w:cstheme="minorHAnsi"/>
          <w:sz w:val="20"/>
        </w:rPr>
      </w:pPr>
      <w:r>
        <w:rPr>
          <w:rFonts w:asciiTheme="minorHAnsi" w:hAnsiTheme="minorHAnsi" w:cstheme="minorHAnsi"/>
          <w:b/>
          <w:sz w:val="20"/>
        </w:rPr>
        <w:lastRenderedPageBreak/>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3A0663">
      <w:pPr>
        <w:pStyle w:val="ListParagraph"/>
        <w:numPr>
          <w:ilvl w:val="1"/>
          <w:numId w:val="4"/>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3A0663">
      <w:pPr>
        <w:pStyle w:val="ListParagraph"/>
        <w:numPr>
          <w:ilvl w:val="1"/>
          <w:numId w:val="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4"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3A0663">
      <w:pPr>
        <w:numPr>
          <w:ilvl w:val="1"/>
          <w:numId w:val="4"/>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3A0663">
      <w:pPr>
        <w:pStyle w:val="ListParagraph"/>
        <w:numPr>
          <w:ilvl w:val="1"/>
          <w:numId w:val="4"/>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3A0663">
      <w:pPr>
        <w:pStyle w:val="ListParagraph"/>
        <w:numPr>
          <w:ilvl w:val="1"/>
          <w:numId w:val="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5BEE8518" w14:textId="77777777" w:rsidR="00305C21" w:rsidRPr="00556840" w:rsidRDefault="00B313DA" w:rsidP="003A0663">
      <w:pPr>
        <w:pStyle w:val="ListParagraph"/>
        <w:numPr>
          <w:ilvl w:val="1"/>
          <w:numId w:val="4"/>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3A0663">
      <w:pPr>
        <w:numPr>
          <w:ilvl w:val="0"/>
          <w:numId w:val="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3A0663">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3A0663">
      <w:pPr>
        <w:numPr>
          <w:ilvl w:val="1"/>
          <w:numId w:val="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3A0663">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 xml:space="preserve">years following final </w:t>
      </w:r>
      <w:r w:rsidR="00E902D5" w:rsidRPr="00594F71">
        <w:rPr>
          <w:sz w:val="20"/>
        </w:rPr>
        <w:lastRenderedPageBreak/>
        <w:t>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3A0663">
      <w:pPr>
        <w:numPr>
          <w:ilvl w:val="1"/>
          <w:numId w:val="4"/>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3A0663">
      <w:pPr>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3A0663">
      <w:pPr>
        <w:numPr>
          <w:ilvl w:val="1"/>
          <w:numId w:val="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3A0663">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3A0663">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w:t>
      </w:r>
      <w:r w:rsidR="0009413B" w:rsidRPr="00BC3F04">
        <w:rPr>
          <w:rFonts w:asciiTheme="minorHAnsi" w:hAnsiTheme="minorHAnsi" w:cstheme="minorHAnsi"/>
          <w:bCs/>
          <w:sz w:val="20"/>
        </w:rPr>
        <w:lastRenderedPageBreak/>
        <w:t xml:space="preserve">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3A0663">
      <w:pPr>
        <w:numPr>
          <w:ilvl w:val="1"/>
          <w:numId w:val="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3A0663">
      <w:pPr>
        <w:numPr>
          <w:ilvl w:val="1"/>
          <w:numId w:val="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3A0663">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5"/>
          <w:footerReference w:type="first" r:id="rId26"/>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8DD28D8" w14:textId="77777777" w:rsidR="006E0AD4" w:rsidRDefault="00437785" w:rsidP="005C5777">
      <w:pPr>
        <w:pStyle w:val="BodyText"/>
        <w:spacing w:before="120" w:after="120" w:line="240" w:lineRule="auto"/>
        <w:rPr>
          <w:rFonts w:asciiTheme="minorHAnsi" w:hAnsiTheme="minorHAnsi" w:cstheme="minorHAnsi"/>
          <w:sz w:val="20"/>
        </w:rPr>
        <w:sectPr w:rsidR="006E0AD4" w:rsidSect="008B493E">
          <w:footerReference w:type="default" r:id="rId27"/>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77777777"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9D49" w14:textId="77777777" w:rsidR="00683857" w:rsidRDefault="00683857" w:rsidP="00437785">
      <w:r>
        <w:separator/>
      </w:r>
    </w:p>
  </w:endnote>
  <w:endnote w:type="continuationSeparator" w:id="0">
    <w:p w14:paraId="7579FFB5" w14:textId="77777777" w:rsidR="00683857" w:rsidRDefault="00683857"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9BF0" w14:textId="5A0BA88E" w:rsidR="003B4F33" w:rsidRPr="00DF2086" w:rsidRDefault="00DF2086" w:rsidP="00DF2086">
    <w:pPr>
      <w:pStyle w:val="Footer"/>
      <w:ind w:right="360"/>
      <w:jc w:val="right"/>
      <w:rPr>
        <w:sz w:val="20"/>
      </w:rPr>
    </w:pPr>
    <w:r w:rsidRPr="00DF2086">
      <w:rPr>
        <w:sz w:val="20"/>
      </w:rP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63BE" w14:textId="3A65ED7E" w:rsidR="006E0AD4" w:rsidRPr="00DF2086" w:rsidRDefault="006E0AD4" w:rsidP="00DF2086">
    <w:pPr>
      <w:pStyle w:val="Footer"/>
      <w:ind w:right="360"/>
      <w:jc w:val="right"/>
      <w:rPr>
        <w:sz w:val="20"/>
      </w:rPr>
    </w:pPr>
    <w:r>
      <w:rPr>
        <w:sz w:val="20"/>
      </w:rPr>
      <w:t>E</w:t>
    </w:r>
    <w:r w:rsidRPr="00DF2086">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DF2086">
          <w:rPr>
            <w:sz w:val="20"/>
          </w:rPr>
          <w:t>A-</w:t>
        </w:r>
        <w:r w:rsidR="00E5363C" w:rsidRPr="00DF2086">
          <w:rPr>
            <w:sz w:val="20"/>
          </w:rPr>
          <w:fldChar w:fldCharType="begin"/>
        </w:r>
        <w:r w:rsidR="00E5363C" w:rsidRPr="00DF2086">
          <w:rPr>
            <w:sz w:val="20"/>
          </w:rPr>
          <w:instrText xml:space="preserve"> PAGE   \* MERGEFORMAT </w:instrText>
        </w:r>
        <w:r w:rsidR="00E5363C" w:rsidRPr="00DF2086">
          <w:rPr>
            <w:sz w:val="20"/>
          </w:rPr>
          <w:fldChar w:fldCharType="separate"/>
        </w:r>
        <w:r w:rsidR="00844DBC" w:rsidRPr="00DF2086">
          <w:rPr>
            <w:noProof/>
            <w:sz w:val="20"/>
          </w:rPr>
          <w:t>2</w:t>
        </w:r>
        <w:r w:rsidR="00E5363C" w:rsidRPr="00DF2086">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E63A6FA" w:rsidR="00001542" w:rsidRPr="00DF2086" w:rsidRDefault="00001542" w:rsidP="00DF2086">
    <w:pPr>
      <w:pStyle w:val="Footer"/>
      <w:jc w:val="right"/>
      <w:rPr>
        <w:sz w:val="20"/>
      </w:rPr>
    </w:pPr>
    <w:r w:rsidRPr="00DF2086">
      <w:rPr>
        <w:sz w:val="20"/>
      </w:rPr>
      <w:t xml:space="preserve">                                                                                                                                             A-</w:t>
    </w:r>
    <w:r w:rsidR="001975EC" w:rsidRPr="00DF2086">
      <w:rPr>
        <w:sz w:val="20"/>
      </w:rPr>
      <w:fldChar w:fldCharType="begin"/>
    </w:r>
    <w:r w:rsidRPr="00DF2086">
      <w:rPr>
        <w:sz w:val="20"/>
      </w:rPr>
      <w:instrText xml:space="preserve"> PAGE   \* MERGEFORMAT </w:instrText>
    </w:r>
    <w:r w:rsidR="001975EC" w:rsidRPr="00DF2086">
      <w:rPr>
        <w:sz w:val="20"/>
      </w:rPr>
      <w:fldChar w:fldCharType="separate"/>
    </w:r>
    <w:r w:rsidR="00844DBC" w:rsidRPr="00DF2086">
      <w:rPr>
        <w:noProof/>
        <w:sz w:val="20"/>
      </w:rPr>
      <w:t>1</w:t>
    </w:r>
    <w:r w:rsidR="001975EC" w:rsidRPr="00DF2086">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DF2086">
          <w:rPr>
            <w:sz w:val="20"/>
          </w:rPr>
          <w:t>B-</w:t>
        </w:r>
        <w:r w:rsidR="00E5363C" w:rsidRPr="00DF2086">
          <w:rPr>
            <w:sz w:val="20"/>
          </w:rPr>
          <w:fldChar w:fldCharType="begin"/>
        </w:r>
        <w:r w:rsidR="00E5363C" w:rsidRPr="00DF2086">
          <w:rPr>
            <w:sz w:val="20"/>
          </w:rPr>
          <w:instrText xml:space="preserve"> PAGE   \* MERGEFORMAT </w:instrText>
        </w:r>
        <w:r w:rsidR="00E5363C" w:rsidRPr="00DF2086">
          <w:rPr>
            <w:sz w:val="20"/>
          </w:rPr>
          <w:fldChar w:fldCharType="separate"/>
        </w:r>
        <w:r w:rsidR="00844DBC" w:rsidRPr="00DF2086">
          <w:rPr>
            <w:noProof/>
            <w:sz w:val="20"/>
          </w:rPr>
          <w:t>1</w:t>
        </w:r>
        <w:r w:rsidR="00E5363C" w:rsidRPr="00DF2086">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9DCA6D" w:rsidR="001524A0" w:rsidRDefault="001524A0" w:rsidP="00896EE8">
    <w:pPr>
      <w:pStyle w:val="Footer"/>
      <w:jc w:val="right"/>
    </w:pPr>
    <w:r w:rsidRPr="00C314CE">
      <w:rPr>
        <w:b/>
        <w:sz w:val="16"/>
        <w:szCs w:val="16"/>
      </w:rPr>
      <w:t xml:space="preserve"> </w:t>
    </w:r>
    <w:r>
      <w:rPr>
        <w:b/>
        <w:sz w:val="16"/>
        <w:szCs w:val="16"/>
      </w:rPr>
      <w:tab/>
    </w:r>
    <w:r>
      <w:rPr>
        <w:b/>
        <w:sz w:val="16"/>
        <w:szCs w:val="16"/>
      </w:rPr>
      <w:tab/>
    </w:r>
    <w:sdt>
      <w:sdtPr>
        <w:rPr>
          <w:sz w:val="20"/>
        </w:rPr>
        <w:id w:val="4451525"/>
        <w:docPartObj>
          <w:docPartGallery w:val="Page Numbers (Bottom of Page)"/>
          <w:docPartUnique/>
        </w:docPartObj>
      </w:sdtPr>
      <w:sdtEndPr/>
      <w:sdtContent>
        <w:r w:rsidRPr="00DF2086">
          <w:rPr>
            <w:sz w:val="20"/>
          </w:rP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D0185C">
          <w:rPr>
            <w:sz w:val="20"/>
          </w:rPr>
          <w:t>C-</w:t>
        </w:r>
        <w:r w:rsidR="00E5363C" w:rsidRPr="00D0185C">
          <w:rPr>
            <w:sz w:val="20"/>
          </w:rPr>
          <w:fldChar w:fldCharType="begin"/>
        </w:r>
        <w:r w:rsidR="00E5363C" w:rsidRPr="00D0185C">
          <w:rPr>
            <w:sz w:val="20"/>
          </w:rPr>
          <w:instrText xml:space="preserve"> PAGE   \* MERGEFORMAT </w:instrText>
        </w:r>
        <w:r w:rsidR="00E5363C" w:rsidRPr="00D0185C">
          <w:rPr>
            <w:sz w:val="20"/>
          </w:rPr>
          <w:fldChar w:fldCharType="separate"/>
        </w:r>
        <w:r w:rsidR="00844DBC" w:rsidRPr="00D0185C">
          <w:rPr>
            <w:noProof/>
            <w:sz w:val="20"/>
          </w:rPr>
          <w:t>5</w:t>
        </w:r>
        <w:r w:rsidR="00E5363C" w:rsidRPr="00D0185C">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rsidRPr="00DF2086">
      <w:rPr>
        <w:sz w:val="20"/>
      </w:rPr>
      <w:t>C-</w:t>
    </w:r>
    <w:sdt>
      <w:sdtPr>
        <w:rPr>
          <w:sz w:val="20"/>
        </w:rPr>
        <w:id w:val="14642146"/>
        <w:docPartObj>
          <w:docPartGallery w:val="Page Numbers (Bottom of Page)"/>
          <w:docPartUnique/>
        </w:docPartObj>
      </w:sdtPr>
      <w:sdtEndPr/>
      <w:sdtContent>
        <w:r w:rsidR="00E5363C" w:rsidRPr="00DF2086">
          <w:rPr>
            <w:sz w:val="20"/>
          </w:rPr>
          <w:fldChar w:fldCharType="begin"/>
        </w:r>
        <w:r w:rsidR="00E5363C" w:rsidRPr="00DF2086">
          <w:rPr>
            <w:sz w:val="20"/>
          </w:rPr>
          <w:instrText xml:space="preserve"> PAGE   \* MERGEFORMAT </w:instrText>
        </w:r>
        <w:r w:rsidR="00E5363C" w:rsidRPr="00DF2086">
          <w:rPr>
            <w:sz w:val="20"/>
          </w:rPr>
          <w:fldChar w:fldCharType="separate"/>
        </w:r>
        <w:r w:rsidR="00844DBC" w:rsidRPr="00DF2086">
          <w:rPr>
            <w:noProof/>
            <w:sz w:val="20"/>
          </w:rPr>
          <w:t>1</w:t>
        </w:r>
        <w:r w:rsidR="00E5363C" w:rsidRPr="00DF2086">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37BC" w14:textId="77777777" w:rsidR="00683857" w:rsidRDefault="00683857" w:rsidP="00437785">
      <w:r>
        <w:separator/>
      </w:r>
    </w:p>
  </w:footnote>
  <w:footnote w:type="continuationSeparator" w:id="0">
    <w:p w14:paraId="4A34A973" w14:textId="77777777" w:rsidR="00683857" w:rsidRDefault="00683857"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2D33DA5A" w:rsidR="003B4F33" w:rsidRPr="008723BA" w:rsidRDefault="008723BA" w:rsidP="008723BA">
    <w:pPr>
      <w:ind w:left="-86"/>
      <w:jc w:val="center"/>
      <w:rPr>
        <w:rFonts w:asciiTheme="minorHAnsi" w:eastAsia="Times New Roman" w:hAnsiTheme="minorHAnsi" w:cstheme="minorHAnsi"/>
        <w:iCs/>
        <w:sz w:val="20"/>
      </w:rPr>
    </w:pPr>
    <w:r w:rsidRPr="008723BA">
      <w:rPr>
        <w:rFonts w:asciiTheme="minorHAnsi" w:eastAsia="Times New Roman" w:hAnsiTheme="minorHAnsi" w:cstheme="minorHAnsi"/>
        <w:iCs/>
        <w:sz w:val="20"/>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7B0F" w14:textId="77777777" w:rsidR="00515E81" w:rsidRPr="003E52BA" w:rsidRDefault="00515E81" w:rsidP="00515E81">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6C0DB7A7" w14:textId="77777777" w:rsidR="00515E81" w:rsidRPr="003B3C0B" w:rsidRDefault="00515E81"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381"/>
    <w:multiLevelType w:val="multilevel"/>
    <w:tmpl w:val="2528D51E"/>
    <w:lvl w:ilvl="0">
      <w:start w:val="1"/>
      <w:numFmt w:val="decimal"/>
      <w:lvlText w:val="%1."/>
      <w:lvlJc w:val="left"/>
      <w:pPr>
        <w:ind w:left="463" w:hanging="463"/>
      </w:pPr>
      <w:rPr>
        <w:rFonts w:hint="default"/>
        <w:b/>
      </w:rPr>
    </w:lvl>
    <w:lvl w:ilvl="1">
      <w:start w:val="9"/>
      <w:numFmt w:val="decimal"/>
      <w:lvlText w:val="%1.%2."/>
      <w:lvlJc w:val="left"/>
      <w:pPr>
        <w:ind w:left="463" w:hanging="46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B8F154F"/>
    <w:multiLevelType w:val="multilevel"/>
    <w:tmpl w:val="087246AC"/>
    <w:styleLink w:val="Style1"/>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5F457B1"/>
    <w:multiLevelType w:val="hybridMultilevel"/>
    <w:tmpl w:val="D21C1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54532"/>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F540EAF"/>
    <w:multiLevelType w:val="hybridMultilevel"/>
    <w:tmpl w:val="1F8202B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2E9B23F1"/>
    <w:multiLevelType w:val="multilevel"/>
    <w:tmpl w:val="D9680B92"/>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2.3.%3."/>
      <w:lvlJc w:val="left"/>
      <w:pPr>
        <w:ind w:left="1080"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CB68B0"/>
    <w:multiLevelType w:val="multilevel"/>
    <w:tmpl w:val="33D6EAEC"/>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1.9.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3A6A98"/>
    <w:multiLevelType w:val="multilevel"/>
    <w:tmpl w:val="DECE2EB4"/>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2.4.%3."/>
      <w:lvlJc w:val="left"/>
      <w:pPr>
        <w:ind w:left="1080"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8322E7"/>
    <w:multiLevelType w:val="hybridMultilevel"/>
    <w:tmpl w:val="61D229CE"/>
    <w:lvl w:ilvl="0" w:tplc="E7D8D4E4">
      <w:start w:val="1"/>
      <w:numFmt w:val="decimal"/>
      <w:lvlText w:val="2.2.%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4EC00D7"/>
    <w:multiLevelType w:val="multilevel"/>
    <w:tmpl w:val="BDDAC57A"/>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41A57A8"/>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44483CB7"/>
    <w:multiLevelType w:val="multilevel"/>
    <w:tmpl w:val="087246AC"/>
    <w:numStyleLink w:val="Style1"/>
  </w:abstractNum>
  <w:abstractNum w:abstractNumId="18" w15:restartNumberingAfterBreak="0">
    <w:nsid w:val="4479289C"/>
    <w:multiLevelType w:val="multilevel"/>
    <w:tmpl w:val="E56E4F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854936"/>
    <w:multiLevelType w:val="multilevel"/>
    <w:tmpl w:val="A48E63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D4FFC"/>
    <w:multiLevelType w:val="hybridMultilevel"/>
    <w:tmpl w:val="7C44A3A4"/>
    <w:lvl w:ilvl="0" w:tplc="4C90B5FE">
      <w:start w:val="1"/>
      <w:numFmt w:val="decimal"/>
      <w:lvlText w:val="1.9.%1"/>
      <w:lvlJc w:val="left"/>
      <w:pPr>
        <w:ind w:left="27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55C38"/>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D3B0D69"/>
    <w:multiLevelType w:val="multilevel"/>
    <w:tmpl w:val="6AB04B9A"/>
    <w:lvl w:ilvl="0">
      <w:start w:val="2"/>
      <w:numFmt w:val="decimal"/>
      <w:lvlText w:val="%1."/>
      <w:lvlJc w:val="left"/>
      <w:pPr>
        <w:ind w:left="463" w:hanging="463"/>
      </w:pPr>
      <w:rPr>
        <w:rFonts w:hint="default"/>
        <w:color w:val="000000" w:themeColor="text1"/>
      </w:rPr>
    </w:lvl>
    <w:lvl w:ilvl="1">
      <w:start w:val="9"/>
      <w:numFmt w:val="decimal"/>
      <w:lvlText w:val="%1.%2."/>
      <w:lvlJc w:val="left"/>
      <w:pPr>
        <w:ind w:left="1183" w:hanging="463"/>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400" w:hanging="108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6" w15:restartNumberingAfterBreak="0">
    <w:nsid w:val="4DBB3CDA"/>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546626EF"/>
    <w:multiLevelType w:val="multilevel"/>
    <w:tmpl w:val="595CA47C"/>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2.9.%3."/>
      <w:lvlJc w:val="left"/>
      <w:pPr>
        <w:ind w:left="1080" w:hanging="360"/>
      </w:pPr>
      <w:rPr>
        <w:rFonts w:hint="default"/>
      </w:rPr>
    </w:lvl>
    <w:lvl w:ilvl="3">
      <w:start w:val="1"/>
      <w:numFmt w:val="decimal"/>
      <w:lvlText w:val="2.%20.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6D3561"/>
    <w:multiLevelType w:val="multilevel"/>
    <w:tmpl w:val="04BE3F9E"/>
    <w:lvl w:ilvl="0">
      <w:start w:val="2"/>
      <w:numFmt w:val="decimal"/>
      <w:lvlText w:val="%1."/>
      <w:lvlJc w:val="left"/>
      <w:pPr>
        <w:ind w:left="463" w:hanging="463"/>
      </w:pPr>
      <w:rPr>
        <w:rFonts w:hint="default"/>
      </w:rPr>
    </w:lvl>
    <w:lvl w:ilvl="1">
      <w:start w:val="3"/>
      <w:numFmt w:val="decimal"/>
      <w:lvlText w:val="%1.%2."/>
      <w:lvlJc w:val="left"/>
      <w:pPr>
        <w:ind w:left="823" w:hanging="46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FB13CB"/>
    <w:multiLevelType w:val="multilevel"/>
    <w:tmpl w:val="E548BB0A"/>
    <w:lvl w:ilvl="0">
      <w:start w:val="1"/>
      <w:numFmt w:val="decimal"/>
      <w:lvlText w:val="%1."/>
      <w:lvlJc w:val="left"/>
      <w:pPr>
        <w:ind w:left="360" w:hanging="360"/>
      </w:pPr>
      <w:rPr>
        <w:rFonts w:hint="default"/>
      </w:rPr>
    </w:lvl>
    <w:lvl w:ilvl="1">
      <w:start w:val="1"/>
      <w:numFmt w:val="decimal"/>
      <w:lvlText w:val="%2.8"/>
      <w:lvlJc w:val="left"/>
      <w:pPr>
        <w:ind w:left="720" w:hanging="360"/>
      </w:pPr>
      <w:rPr>
        <w:rFonts w:hint="default"/>
      </w:rPr>
    </w:lvl>
    <w:lvl w:ilvl="2">
      <w:start w:val="1"/>
      <w:numFmt w:val="decimal"/>
      <w:lvlText w:val="1.8.%3."/>
      <w:lvlJc w:val="left"/>
      <w:pPr>
        <w:ind w:left="1080"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673B8D"/>
    <w:multiLevelType w:val="multilevel"/>
    <w:tmpl w:val="D3A018D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590B48BB"/>
    <w:multiLevelType w:val="multilevel"/>
    <w:tmpl w:val="AEFC6CB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heme="minorBidi"/>
        <w:b w:val="0"/>
        <w:bCs/>
        <w:i w:val="0"/>
        <w:iCs w:val="0"/>
      </w:rPr>
    </w:lvl>
    <w:lvl w:ilvl="2">
      <w:start w:val="1"/>
      <w:numFmt w:val="decimal"/>
      <w:lvlText w:val="%3."/>
      <w:lvlJc w:val="left"/>
      <w:pPr>
        <w:ind w:left="1224" w:hanging="504"/>
      </w:pPr>
      <w:rPr>
        <w:rFonts w:ascii="Times New Roman" w:eastAsia="Times New Roman" w:hAnsi="Times New Roman" w:cstheme="minorBidi"/>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ECC13F2"/>
    <w:multiLevelType w:val="multilevel"/>
    <w:tmpl w:val="8E806C7A"/>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6A9C37B2"/>
    <w:multiLevelType w:val="multilevel"/>
    <w:tmpl w:val="6F347C1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7" w15:restartNumberingAfterBreak="0">
    <w:nsid w:val="6FAA225F"/>
    <w:multiLevelType w:val="multilevel"/>
    <w:tmpl w:val="87648DFE"/>
    <w:lvl w:ilvl="0">
      <w:start w:val="2"/>
      <w:numFmt w:val="decimal"/>
      <w:lvlText w:val="%1."/>
      <w:lvlJc w:val="left"/>
      <w:pPr>
        <w:ind w:left="463" w:hanging="463"/>
      </w:pPr>
      <w:rPr>
        <w:rFonts w:hint="default"/>
      </w:rPr>
    </w:lvl>
    <w:lvl w:ilvl="1">
      <w:start w:val="4"/>
      <w:numFmt w:val="decimal"/>
      <w:lvlText w:val="%1.%2."/>
      <w:lvlJc w:val="left"/>
      <w:pPr>
        <w:ind w:left="643" w:hanging="46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757551A6"/>
    <w:multiLevelType w:val="multilevel"/>
    <w:tmpl w:val="BD8C3F36"/>
    <w:lvl w:ilvl="0">
      <w:start w:val="1"/>
      <w:numFmt w:val="decimal"/>
      <w:lvlText w:val="%1."/>
      <w:lvlJc w:val="left"/>
      <w:pPr>
        <w:ind w:left="463" w:hanging="463"/>
      </w:pPr>
      <w:rPr>
        <w:rFonts w:hint="default"/>
        <w:b/>
      </w:rPr>
    </w:lvl>
    <w:lvl w:ilvl="1">
      <w:start w:val="9"/>
      <w:numFmt w:val="decimal"/>
      <w:lvlText w:val="%1.%2."/>
      <w:lvlJc w:val="left"/>
      <w:pPr>
        <w:ind w:left="823" w:hanging="463"/>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74283074">
    <w:abstractNumId w:val="12"/>
  </w:num>
  <w:num w:numId="2" w16cid:durableId="2094740623">
    <w:abstractNumId w:val="7"/>
  </w:num>
  <w:num w:numId="3" w16cid:durableId="1418016961">
    <w:abstractNumId w:val="33"/>
  </w:num>
  <w:num w:numId="4" w16cid:durableId="1576403217">
    <w:abstractNumId w:val="23"/>
  </w:num>
  <w:num w:numId="5" w16cid:durableId="563760532">
    <w:abstractNumId w:val="5"/>
  </w:num>
  <w:num w:numId="6" w16cid:durableId="1938053588">
    <w:abstractNumId w:val="34"/>
  </w:num>
  <w:num w:numId="7" w16cid:durableId="1352603823">
    <w:abstractNumId w:val="2"/>
  </w:num>
  <w:num w:numId="8" w16cid:durableId="10835287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246722">
    <w:abstractNumId w:val="24"/>
  </w:num>
  <w:num w:numId="10" w16cid:durableId="1928075811">
    <w:abstractNumId w:val="32"/>
  </w:num>
  <w:num w:numId="11" w16cid:durableId="266623786">
    <w:abstractNumId w:val="17"/>
  </w:num>
  <w:num w:numId="12" w16cid:durableId="171923030">
    <w:abstractNumId w:val="14"/>
  </w:num>
  <w:num w:numId="13" w16cid:durableId="1743285898">
    <w:abstractNumId w:val="36"/>
  </w:num>
  <w:num w:numId="14" w16cid:durableId="2114129718">
    <w:abstractNumId w:val="15"/>
  </w:num>
  <w:num w:numId="15" w16cid:durableId="435684163">
    <w:abstractNumId w:val="1"/>
  </w:num>
  <w:num w:numId="16" w16cid:durableId="945770795">
    <w:abstractNumId w:val="6"/>
  </w:num>
  <w:num w:numId="17" w16cid:durableId="1187451870">
    <w:abstractNumId w:val="29"/>
  </w:num>
  <w:num w:numId="18" w16cid:durableId="1163931466">
    <w:abstractNumId w:val="13"/>
  </w:num>
  <w:num w:numId="19" w16cid:durableId="1194877244">
    <w:abstractNumId w:val="35"/>
  </w:num>
  <w:num w:numId="20" w16cid:durableId="1518227468">
    <w:abstractNumId w:val="11"/>
  </w:num>
  <w:num w:numId="21" w16cid:durableId="719206698">
    <w:abstractNumId w:val="20"/>
  </w:num>
  <w:num w:numId="22" w16cid:durableId="26486730">
    <w:abstractNumId w:val="9"/>
  </w:num>
  <w:num w:numId="23" w16cid:durableId="1179277401">
    <w:abstractNumId w:val="0"/>
  </w:num>
  <w:num w:numId="24" w16cid:durableId="1536117457">
    <w:abstractNumId w:val="38"/>
  </w:num>
  <w:num w:numId="25" w16cid:durableId="410666069">
    <w:abstractNumId w:val="8"/>
  </w:num>
  <w:num w:numId="26" w16cid:durableId="120466921">
    <w:abstractNumId w:val="28"/>
  </w:num>
  <w:num w:numId="27" w16cid:durableId="2104719298">
    <w:abstractNumId w:val="10"/>
  </w:num>
  <w:num w:numId="28" w16cid:durableId="1860193940">
    <w:abstractNumId w:val="37"/>
  </w:num>
  <w:num w:numId="29" w16cid:durableId="1704595986">
    <w:abstractNumId w:val="25"/>
  </w:num>
  <w:num w:numId="30" w16cid:durableId="1721905342">
    <w:abstractNumId w:val="27"/>
  </w:num>
  <w:num w:numId="31" w16cid:durableId="758597339">
    <w:abstractNumId w:val="3"/>
  </w:num>
  <w:num w:numId="32" w16cid:durableId="592707659">
    <w:abstractNumId w:val="19"/>
  </w:num>
  <w:num w:numId="33" w16cid:durableId="1062024978">
    <w:abstractNumId w:val="26"/>
  </w:num>
  <w:num w:numId="34" w16cid:durableId="1611888996">
    <w:abstractNumId w:val="16"/>
  </w:num>
  <w:num w:numId="35" w16cid:durableId="337854466">
    <w:abstractNumId w:val="31"/>
  </w:num>
  <w:num w:numId="36" w16cid:durableId="813106230">
    <w:abstractNumId w:val="21"/>
  </w:num>
  <w:num w:numId="37" w16cid:durableId="835538175">
    <w:abstractNumId w:val="4"/>
  </w:num>
  <w:num w:numId="38" w16cid:durableId="1906066091">
    <w:abstractNumId w:val="30"/>
  </w:num>
  <w:num w:numId="39" w16cid:durableId="40121577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1AF5"/>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74A"/>
    <w:rsid w:val="00027D51"/>
    <w:rsid w:val="00030551"/>
    <w:rsid w:val="000305D5"/>
    <w:rsid w:val="00031AAA"/>
    <w:rsid w:val="00033FB5"/>
    <w:rsid w:val="00034626"/>
    <w:rsid w:val="0004230B"/>
    <w:rsid w:val="00044772"/>
    <w:rsid w:val="000468B3"/>
    <w:rsid w:val="000478D3"/>
    <w:rsid w:val="000479FB"/>
    <w:rsid w:val="000514D0"/>
    <w:rsid w:val="00054881"/>
    <w:rsid w:val="0005543F"/>
    <w:rsid w:val="0005567F"/>
    <w:rsid w:val="00055BF3"/>
    <w:rsid w:val="00056335"/>
    <w:rsid w:val="0005644C"/>
    <w:rsid w:val="00060045"/>
    <w:rsid w:val="00061630"/>
    <w:rsid w:val="00061AC7"/>
    <w:rsid w:val="00061C2A"/>
    <w:rsid w:val="00061EE3"/>
    <w:rsid w:val="00062659"/>
    <w:rsid w:val="00062B39"/>
    <w:rsid w:val="000648D9"/>
    <w:rsid w:val="00071324"/>
    <w:rsid w:val="0007144C"/>
    <w:rsid w:val="0007178C"/>
    <w:rsid w:val="0007239D"/>
    <w:rsid w:val="00076FB0"/>
    <w:rsid w:val="00080202"/>
    <w:rsid w:val="00081C7A"/>
    <w:rsid w:val="00082271"/>
    <w:rsid w:val="000827AC"/>
    <w:rsid w:val="00083558"/>
    <w:rsid w:val="00083BB8"/>
    <w:rsid w:val="00083CB3"/>
    <w:rsid w:val="00085746"/>
    <w:rsid w:val="0008577F"/>
    <w:rsid w:val="00085B1D"/>
    <w:rsid w:val="00090ECB"/>
    <w:rsid w:val="0009405D"/>
    <w:rsid w:val="0009413B"/>
    <w:rsid w:val="000960F6"/>
    <w:rsid w:val="00096DF1"/>
    <w:rsid w:val="00097A1A"/>
    <w:rsid w:val="000A24AD"/>
    <w:rsid w:val="000A2F5D"/>
    <w:rsid w:val="000A44C5"/>
    <w:rsid w:val="000A5326"/>
    <w:rsid w:val="000A5A6C"/>
    <w:rsid w:val="000A7F58"/>
    <w:rsid w:val="000B02B9"/>
    <w:rsid w:val="000B0A21"/>
    <w:rsid w:val="000B2422"/>
    <w:rsid w:val="000B43E6"/>
    <w:rsid w:val="000B4F1E"/>
    <w:rsid w:val="000B53FC"/>
    <w:rsid w:val="000B7C6E"/>
    <w:rsid w:val="000B7D2E"/>
    <w:rsid w:val="000C05BF"/>
    <w:rsid w:val="000C489A"/>
    <w:rsid w:val="000C6709"/>
    <w:rsid w:val="000D010D"/>
    <w:rsid w:val="000D13B9"/>
    <w:rsid w:val="000D2618"/>
    <w:rsid w:val="000D31D9"/>
    <w:rsid w:val="000D4419"/>
    <w:rsid w:val="000D49F9"/>
    <w:rsid w:val="000D4DFC"/>
    <w:rsid w:val="000D4F75"/>
    <w:rsid w:val="000D4FEE"/>
    <w:rsid w:val="000D70E6"/>
    <w:rsid w:val="000D7583"/>
    <w:rsid w:val="000E0993"/>
    <w:rsid w:val="000E0D3B"/>
    <w:rsid w:val="000E10DB"/>
    <w:rsid w:val="000E4514"/>
    <w:rsid w:val="000E4F8C"/>
    <w:rsid w:val="000E4F9D"/>
    <w:rsid w:val="000F1798"/>
    <w:rsid w:val="000F1B95"/>
    <w:rsid w:val="000F1BE1"/>
    <w:rsid w:val="000F344A"/>
    <w:rsid w:val="000F46CB"/>
    <w:rsid w:val="000F46FE"/>
    <w:rsid w:val="00100700"/>
    <w:rsid w:val="00101134"/>
    <w:rsid w:val="00102FCC"/>
    <w:rsid w:val="00103ACF"/>
    <w:rsid w:val="001046A6"/>
    <w:rsid w:val="0010523B"/>
    <w:rsid w:val="00110C0E"/>
    <w:rsid w:val="00111990"/>
    <w:rsid w:val="00111AD3"/>
    <w:rsid w:val="00111C4D"/>
    <w:rsid w:val="00113136"/>
    <w:rsid w:val="00115EF4"/>
    <w:rsid w:val="00120596"/>
    <w:rsid w:val="001205BF"/>
    <w:rsid w:val="00120963"/>
    <w:rsid w:val="00122651"/>
    <w:rsid w:val="00122EBC"/>
    <w:rsid w:val="00125E09"/>
    <w:rsid w:val="001267AC"/>
    <w:rsid w:val="00127293"/>
    <w:rsid w:val="0012759E"/>
    <w:rsid w:val="0012785C"/>
    <w:rsid w:val="00127E74"/>
    <w:rsid w:val="00132A64"/>
    <w:rsid w:val="001338FE"/>
    <w:rsid w:val="00133C8F"/>
    <w:rsid w:val="00133CE8"/>
    <w:rsid w:val="00133DDE"/>
    <w:rsid w:val="00134BA5"/>
    <w:rsid w:val="00142A64"/>
    <w:rsid w:val="00144EF7"/>
    <w:rsid w:val="0014500D"/>
    <w:rsid w:val="00146395"/>
    <w:rsid w:val="00146BA3"/>
    <w:rsid w:val="0014755E"/>
    <w:rsid w:val="0014780E"/>
    <w:rsid w:val="00150E36"/>
    <w:rsid w:val="00150FE1"/>
    <w:rsid w:val="00151033"/>
    <w:rsid w:val="001524A0"/>
    <w:rsid w:val="00152846"/>
    <w:rsid w:val="00152E34"/>
    <w:rsid w:val="00153D95"/>
    <w:rsid w:val="00154198"/>
    <w:rsid w:val="0015468B"/>
    <w:rsid w:val="00154715"/>
    <w:rsid w:val="00155B3C"/>
    <w:rsid w:val="001607F6"/>
    <w:rsid w:val="00161629"/>
    <w:rsid w:val="00161729"/>
    <w:rsid w:val="00161926"/>
    <w:rsid w:val="00162635"/>
    <w:rsid w:val="00162FA0"/>
    <w:rsid w:val="001632EE"/>
    <w:rsid w:val="00164796"/>
    <w:rsid w:val="00174CAF"/>
    <w:rsid w:val="001768BA"/>
    <w:rsid w:val="0017725F"/>
    <w:rsid w:val="00182519"/>
    <w:rsid w:val="0018280E"/>
    <w:rsid w:val="00187025"/>
    <w:rsid w:val="00187545"/>
    <w:rsid w:val="00190550"/>
    <w:rsid w:val="001942E5"/>
    <w:rsid w:val="00195D2E"/>
    <w:rsid w:val="001975EC"/>
    <w:rsid w:val="0019777A"/>
    <w:rsid w:val="001A4299"/>
    <w:rsid w:val="001A4F28"/>
    <w:rsid w:val="001A627D"/>
    <w:rsid w:val="001A6D73"/>
    <w:rsid w:val="001B0231"/>
    <w:rsid w:val="001B03E3"/>
    <w:rsid w:val="001B628C"/>
    <w:rsid w:val="001B7DCE"/>
    <w:rsid w:val="001C2EE5"/>
    <w:rsid w:val="001C41EE"/>
    <w:rsid w:val="001C4B83"/>
    <w:rsid w:val="001C532A"/>
    <w:rsid w:val="001D22F3"/>
    <w:rsid w:val="001D5208"/>
    <w:rsid w:val="001D61F6"/>
    <w:rsid w:val="001D645F"/>
    <w:rsid w:val="001D7253"/>
    <w:rsid w:val="001E16FB"/>
    <w:rsid w:val="001E2002"/>
    <w:rsid w:val="001E2DA7"/>
    <w:rsid w:val="001E4DE3"/>
    <w:rsid w:val="001E73F9"/>
    <w:rsid w:val="001F2FD0"/>
    <w:rsid w:val="001F38CB"/>
    <w:rsid w:val="001F4718"/>
    <w:rsid w:val="001F4850"/>
    <w:rsid w:val="001F63FC"/>
    <w:rsid w:val="001F7005"/>
    <w:rsid w:val="0020154A"/>
    <w:rsid w:val="00201BC4"/>
    <w:rsid w:val="00204BFF"/>
    <w:rsid w:val="0020756C"/>
    <w:rsid w:val="00207AD6"/>
    <w:rsid w:val="00207CAC"/>
    <w:rsid w:val="0021281B"/>
    <w:rsid w:val="00212FB0"/>
    <w:rsid w:val="0021599C"/>
    <w:rsid w:val="00222C95"/>
    <w:rsid w:val="002237DE"/>
    <w:rsid w:val="002243FA"/>
    <w:rsid w:val="00224C85"/>
    <w:rsid w:val="00225A01"/>
    <w:rsid w:val="00230C9B"/>
    <w:rsid w:val="00231153"/>
    <w:rsid w:val="00231581"/>
    <w:rsid w:val="00232192"/>
    <w:rsid w:val="00233756"/>
    <w:rsid w:val="0023478D"/>
    <w:rsid w:val="0023667C"/>
    <w:rsid w:val="00245806"/>
    <w:rsid w:val="002464F0"/>
    <w:rsid w:val="00247DB8"/>
    <w:rsid w:val="00251F8F"/>
    <w:rsid w:val="00252FCB"/>
    <w:rsid w:val="00253223"/>
    <w:rsid w:val="0026550A"/>
    <w:rsid w:val="00266469"/>
    <w:rsid w:val="00266A66"/>
    <w:rsid w:val="00270F4F"/>
    <w:rsid w:val="002721A9"/>
    <w:rsid w:val="00272D5F"/>
    <w:rsid w:val="002757DC"/>
    <w:rsid w:val="002806ED"/>
    <w:rsid w:val="00281180"/>
    <w:rsid w:val="0028284E"/>
    <w:rsid w:val="00282A73"/>
    <w:rsid w:val="00282C5E"/>
    <w:rsid w:val="002860C2"/>
    <w:rsid w:val="00286EF4"/>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3BA0"/>
    <w:rsid w:val="002B6210"/>
    <w:rsid w:val="002B6BEC"/>
    <w:rsid w:val="002B7412"/>
    <w:rsid w:val="002C0630"/>
    <w:rsid w:val="002C27DF"/>
    <w:rsid w:val="002C2BDB"/>
    <w:rsid w:val="002C3EAE"/>
    <w:rsid w:val="002C4401"/>
    <w:rsid w:val="002C446F"/>
    <w:rsid w:val="002C46D6"/>
    <w:rsid w:val="002C6CC6"/>
    <w:rsid w:val="002D0CE7"/>
    <w:rsid w:val="002D64F8"/>
    <w:rsid w:val="002D6C9E"/>
    <w:rsid w:val="002E0C69"/>
    <w:rsid w:val="002E2158"/>
    <w:rsid w:val="002E3A43"/>
    <w:rsid w:val="002E630A"/>
    <w:rsid w:val="002F1E5A"/>
    <w:rsid w:val="002F5B37"/>
    <w:rsid w:val="002F6134"/>
    <w:rsid w:val="002F6159"/>
    <w:rsid w:val="00301F9D"/>
    <w:rsid w:val="00303D20"/>
    <w:rsid w:val="00304C1E"/>
    <w:rsid w:val="00305C21"/>
    <w:rsid w:val="00307977"/>
    <w:rsid w:val="003112E4"/>
    <w:rsid w:val="00312025"/>
    <w:rsid w:val="00312B07"/>
    <w:rsid w:val="0031336E"/>
    <w:rsid w:val="00313500"/>
    <w:rsid w:val="00314456"/>
    <w:rsid w:val="003145FD"/>
    <w:rsid w:val="0031481D"/>
    <w:rsid w:val="003158EB"/>
    <w:rsid w:val="00315BE7"/>
    <w:rsid w:val="00315C7E"/>
    <w:rsid w:val="003162A7"/>
    <w:rsid w:val="00316C98"/>
    <w:rsid w:val="00317923"/>
    <w:rsid w:val="00321576"/>
    <w:rsid w:val="00321D04"/>
    <w:rsid w:val="00323CD0"/>
    <w:rsid w:val="00323F3D"/>
    <w:rsid w:val="003251A3"/>
    <w:rsid w:val="00325920"/>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1AD0"/>
    <w:rsid w:val="00382569"/>
    <w:rsid w:val="00387F13"/>
    <w:rsid w:val="00390A05"/>
    <w:rsid w:val="00391DD1"/>
    <w:rsid w:val="00392299"/>
    <w:rsid w:val="00392AC3"/>
    <w:rsid w:val="00395CCE"/>
    <w:rsid w:val="00396831"/>
    <w:rsid w:val="003971C7"/>
    <w:rsid w:val="003A0663"/>
    <w:rsid w:val="003A1C4D"/>
    <w:rsid w:val="003A254A"/>
    <w:rsid w:val="003A4EAB"/>
    <w:rsid w:val="003B04F6"/>
    <w:rsid w:val="003B08BC"/>
    <w:rsid w:val="003B0A64"/>
    <w:rsid w:val="003B10D9"/>
    <w:rsid w:val="003B3742"/>
    <w:rsid w:val="003B3C0B"/>
    <w:rsid w:val="003B42AC"/>
    <w:rsid w:val="003B442E"/>
    <w:rsid w:val="003B4F33"/>
    <w:rsid w:val="003B54CD"/>
    <w:rsid w:val="003B5BE0"/>
    <w:rsid w:val="003C00A7"/>
    <w:rsid w:val="003C0592"/>
    <w:rsid w:val="003C0DD8"/>
    <w:rsid w:val="003C2303"/>
    <w:rsid w:val="003C255A"/>
    <w:rsid w:val="003C5DDC"/>
    <w:rsid w:val="003C633A"/>
    <w:rsid w:val="003D48FB"/>
    <w:rsid w:val="003D5C85"/>
    <w:rsid w:val="003D5D89"/>
    <w:rsid w:val="003D7AFA"/>
    <w:rsid w:val="003E04D4"/>
    <w:rsid w:val="003E1A45"/>
    <w:rsid w:val="003E28A6"/>
    <w:rsid w:val="003E52BA"/>
    <w:rsid w:val="003E5A1C"/>
    <w:rsid w:val="003E7FA6"/>
    <w:rsid w:val="003F0E91"/>
    <w:rsid w:val="003F1B2B"/>
    <w:rsid w:val="003F713C"/>
    <w:rsid w:val="00402D43"/>
    <w:rsid w:val="00405381"/>
    <w:rsid w:val="00412133"/>
    <w:rsid w:val="00415218"/>
    <w:rsid w:val="004154CE"/>
    <w:rsid w:val="00417572"/>
    <w:rsid w:val="00417B3C"/>
    <w:rsid w:val="00420271"/>
    <w:rsid w:val="004224F0"/>
    <w:rsid w:val="004225A7"/>
    <w:rsid w:val="00422FF5"/>
    <w:rsid w:val="00425AD1"/>
    <w:rsid w:val="00425D21"/>
    <w:rsid w:val="00427521"/>
    <w:rsid w:val="004307BE"/>
    <w:rsid w:val="00430EBA"/>
    <w:rsid w:val="00431C14"/>
    <w:rsid w:val="004330C8"/>
    <w:rsid w:val="00435DC8"/>
    <w:rsid w:val="00437785"/>
    <w:rsid w:val="004419A8"/>
    <w:rsid w:val="00441C6D"/>
    <w:rsid w:val="00443744"/>
    <w:rsid w:val="00445058"/>
    <w:rsid w:val="00445C89"/>
    <w:rsid w:val="0044669E"/>
    <w:rsid w:val="004544D7"/>
    <w:rsid w:val="00455CAE"/>
    <w:rsid w:val="004571DF"/>
    <w:rsid w:val="0045759E"/>
    <w:rsid w:val="00465653"/>
    <w:rsid w:val="00470643"/>
    <w:rsid w:val="00470AB2"/>
    <w:rsid w:val="004723A5"/>
    <w:rsid w:val="004759E9"/>
    <w:rsid w:val="00475D0F"/>
    <w:rsid w:val="00476253"/>
    <w:rsid w:val="004801A7"/>
    <w:rsid w:val="0048020C"/>
    <w:rsid w:val="004825E8"/>
    <w:rsid w:val="00483DAC"/>
    <w:rsid w:val="004849EE"/>
    <w:rsid w:val="0048509F"/>
    <w:rsid w:val="004867BB"/>
    <w:rsid w:val="00492383"/>
    <w:rsid w:val="00492619"/>
    <w:rsid w:val="00492684"/>
    <w:rsid w:val="00492990"/>
    <w:rsid w:val="004929F4"/>
    <w:rsid w:val="00496ED0"/>
    <w:rsid w:val="0049741B"/>
    <w:rsid w:val="00497C61"/>
    <w:rsid w:val="004A079B"/>
    <w:rsid w:val="004A4A27"/>
    <w:rsid w:val="004A7D8E"/>
    <w:rsid w:val="004B134C"/>
    <w:rsid w:val="004B2E58"/>
    <w:rsid w:val="004B45F7"/>
    <w:rsid w:val="004B4879"/>
    <w:rsid w:val="004B4C2E"/>
    <w:rsid w:val="004B597F"/>
    <w:rsid w:val="004C02A0"/>
    <w:rsid w:val="004C0DB6"/>
    <w:rsid w:val="004C2C74"/>
    <w:rsid w:val="004C34B2"/>
    <w:rsid w:val="004C6E60"/>
    <w:rsid w:val="004C795B"/>
    <w:rsid w:val="004C7DAC"/>
    <w:rsid w:val="004D007C"/>
    <w:rsid w:val="004D11C4"/>
    <w:rsid w:val="004D2739"/>
    <w:rsid w:val="004D31FD"/>
    <w:rsid w:val="004D392D"/>
    <w:rsid w:val="004D3DD1"/>
    <w:rsid w:val="004D466F"/>
    <w:rsid w:val="004D5BFA"/>
    <w:rsid w:val="004D75E8"/>
    <w:rsid w:val="004E2E16"/>
    <w:rsid w:val="004E4AF2"/>
    <w:rsid w:val="004E5170"/>
    <w:rsid w:val="004F7C4E"/>
    <w:rsid w:val="00502D4E"/>
    <w:rsid w:val="00504C57"/>
    <w:rsid w:val="005075E3"/>
    <w:rsid w:val="005129C0"/>
    <w:rsid w:val="00513347"/>
    <w:rsid w:val="00513F73"/>
    <w:rsid w:val="00515E81"/>
    <w:rsid w:val="005200C3"/>
    <w:rsid w:val="00524487"/>
    <w:rsid w:val="00524AF9"/>
    <w:rsid w:val="00530507"/>
    <w:rsid w:val="005316F2"/>
    <w:rsid w:val="00531ACF"/>
    <w:rsid w:val="00531BE0"/>
    <w:rsid w:val="00535786"/>
    <w:rsid w:val="005361A7"/>
    <w:rsid w:val="005365C6"/>
    <w:rsid w:val="005367DD"/>
    <w:rsid w:val="00537F13"/>
    <w:rsid w:val="00541590"/>
    <w:rsid w:val="00542159"/>
    <w:rsid w:val="00543A67"/>
    <w:rsid w:val="00547188"/>
    <w:rsid w:val="00547C42"/>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10BB"/>
    <w:rsid w:val="00583AB8"/>
    <w:rsid w:val="00583BAF"/>
    <w:rsid w:val="005843F1"/>
    <w:rsid w:val="005848E6"/>
    <w:rsid w:val="00585E07"/>
    <w:rsid w:val="005929F7"/>
    <w:rsid w:val="00595ECD"/>
    <w:rsid w:val="00597223"/>
    <w:rsid w:val="0059778A"/>
    <w:rsid w:val="00597EA5"/>
    <w:rsid w:val="005A5C92"/>
    <w:rsid w:val="005B0639"/>
    <w:rsid w:val="005B29DC"/>
    <w:rsid w:val="005B4C2B"/>
    <w:rsid w:val="005C1E31"/>
    <w:rsid w:val="005C3491"/>
    <w:rsid w:val="005C554B"/>
    <w:rsid w:val="005C55DF"/>
    <w:rsid w:val="005C5777"/>
    <w:rsid w:val="005C5EAE"/>
    <w:rsid w:val="005C631C"/>
    <w:rsid w:val="005C7677"/>
    <w:rsid w:val="005C7E7D"/>
    <w:rsid w:val="005D0FDF"/>
    <w:rsid w:val="005D13EB"/>
    <w:rsid w:val="005D1C99"/>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9CA"/>
    <w:rsid w:val="00610BAC"/>
    <w:rsid w:val="0061194F"/>
    <w:rsid w:val="00611B11"/>
    <w:rsid w:val="00612BB5"/>
    <w:rsid w:val="006229AF"/>
    <w:rsid w:val="00632E5F"/>
    <w:rsid w:val="006337CC"/>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0D1C"/>
    <w:rsid w:val="006753E3"/>
    <w:rsid w:val="00676FA7"/>
    <w:rsid w:val="00683857"/>
    <w:rsid w:val="00685CE2"/>
    <w:rsid w:val="00686493"/>
    <w:rsid w:val="00692502"/>
    <w:rsid w:val="0069534A"/>
    <w:rsid w:val="00695544"/>
    <w:rsid w:val="0069613D"/>
    <w:rsid w:val="00696594"/>
    <w:rsid w:val="006A079F"/>
    <w:rsid w:val="006A0ABC"/>
    <w:rsid w:val="006A3235"/>
    <w:rsid w:val="006A354E"/>
    <w:rsid w:val="006A44EB"/>
    <w:rsid w:val="006A52B9"/>
    <w:rsid w:val="006A6251"/>
    <w:rsid w:val="006A7EC4"/>
    <w:rsid w:val="006B1B7E"/>
    <w:rsid w:val="006B2700"/>
    <w:rsid w:val="006B373E"/>
    <w:rsid w:val="006B5071"/>
    <w:rsid w:val="006C0CA4"/>
    <w:rsid w:val="006C265C"/>
    <w:rsid w:val="006C27C1"/>
    <w:rsid w:val="006C35F6"/>
    <w:rsid w:val="006C44C7"/>
    <w:rsid w:val="006C50FF"/>
    <w:rsid w:val="006C6263"/>
    <w:rsid w:val="006C6399"/>
    <w:rsid w:val="006C67DF"/>
    <w:rsid w:val="006C6A5A"/>
    <w:rsid w:val="006C6C0A"/>
    <w:rsid w:val="006C750E"/>
    <w:rsid w:val="006C7BB3"/>
    <w:rsid w:val="006D0349"/>
    <w:rsid w:val="006D175E"/>
    <w:rsid w:val="006D1868"/>
    <w:rsid w:val="006D2DBA"/>
    <w:rsid w:val="006D67F1"/>
    <w:rsid w:val="006E0AD4"/>
    <w:rsid w:val="006E1541"/>
    <w:rsid w:val="006E28EB"/>
    <w:rsid w:val="006E3615"/>
    <w:rsid w:val="006E5AFD"/>
    <w:rsid w:val="006E75AB"/>
    <w:rsid w:val="006E7AB0"/>
    <w:rsid w:val="006E7F0C"/>
    <w:rsid w:val="006F2DEF"/>
    <w:rsid w:val="006F36FB"/>
    <w:rsid w:val="006F4CE0"/>
    <w:rsid w:val="006F4F71"/>
    <w:rsid w:val="006F5597"/>
    <w:rsid w:val="006F5BD5"/>
    <w:rsid w:val="006F63F6"/>
    <w:rsid w:val="0070078B"/>
    <w:rsid w:val="00701788"/>
    <w:rsid w:val="0070246D"/>
    <w:rsid w:val="007027AF"/>
    <w:rsid w:val="0070299B"/>
    <w:rsid w:val="00702D06"/>
    <w:rsid w:val="007031B1"/>
    <w:rsid w:val="00704114"/>
    <w:rsid w:val="00711025"/>
    <w:rsid w:val="00711F5E"/>
    <w:rsid w:val="00713AF8"/>
    <w:rsid w:val="00714958"/>
    <w:rsid w:val="0071575C"/>
    <w:rsid w:val="00715EB8"/>
    <w:rsid w:val="00716117"/>
    <w:rsid w:val="00725C90"/>
    <w:rsid w:val="00730B92"/>
    <w:rsid w:val="007356A9"/>
    <w:rsid w:val="00735C15"/>
    <w:rsid w:val="00736AA3"/>
    <w:rsid w:val="00736B8A"/>
    <w:rsid w:val="00740EFF"/>
    <w:rsid w:val="00742C5C"/>
    <w:rsid w:val="00743129"/>
    <w:rsid w:val="00745858"/>
    <w:rsid w:val="007477E1"/>
    <w:rsid w:val="00747A0F"/>
    <w:rsid w:val="00747C96"/>
    <w:rsid w:val="007507FB"/>
    <w:rsid w:val="00751D43"/>
    <w:rsid w:val="00751E04"/>
    <w:rsid w:val="00751EC4"/>
    <w:rsid w:val="00757CD3"/>
    <w:rsid w:val="0076263D"/>
    <w:rsid w:val="0076656F"/>
    <w:rsid w:val="00767122"/>
    <w:rsid w:val="00771268"/>
    <w:rsid w:val="00775B4F"/>
    <w:rsid w:val="00776948"/>
    <w:rsid w:val="00781159"/>
    <w:rsid w:val="0078199A"/>
    <w:rsid w:val="00782731"/>
    <w:rsid w:val="007847BB"/>
    <w:rsid w:val="00785BE2"/>
    <w:rsid w:val="00785D44"/>
    <w:rsid w:val="00785F95"/>
    <w:rsid w:val="00786481"/>
    <w:rsid w:val="00786FF7"/>
    <w:rsid w:val="00787D2D"/>
    <w:rsid w:val="00791BCB"/>
    <w:rsid w:val="00791FB6"/>
    <w:rsid w:val="00792351"/>
    <w:rsid w:val="00797BC5"/>
    <w:rsid w:val="007A25BA"/>
    <w:rsid w:val="007A6241"/>
    <w:rsid w:val="007A62B5"/>
    <w:rsid w:val="007B1D82"/>
    <w:rsid w:val="007B2092"/>
    <w:rsid w:val="007B23A5"/>
    <w:rsid w:val="007B56DB"/>
    <w:rsid w:val="007B78A8"/>
    <w:rsid w:val="007B7DA6"/>
    <w:rsid w:val="007C01AF"/>
    <w:rsid w:val="007C0272"/>
    <w:rsid w:val="007C44A0"/>
    <w:rsid w:val="007C5351"/>
    <w:rsid w:val="007C53B0"/>
    <w:rsid w:val="007C6BB3"/>
    <w:rsid w:val="007C6E7A"/>
    <w:rsid w:val="007D069D"/>
    <w:rsid w:val="007D0DF0"/>
    <w:rsid w:val="007D3A9E"/>
    <w:rsid w:val="007D45AB"/>
    <w:rsid w:val="007D47CE"/>
    <w:rsid w:val="007D48DE"/>
    <w:rsid w:val="007D4F9D"/>
    <w:rsid w:val="007D7DB2"/>
    <w:rsid w:val="007E076C"/>
    <w:rsid w:val="007E0B1B"/>
    <w:rsid w:val="007E0CB9"/>
    <w:rsid w:val="007E2102"/>
    <w:rsid w:val="007E21F5"/>
    <w:rsid w:val="007E32ED"/>
    <w:rsid w:val="007E3BC8"/>
    <w:rsid w:val="007E5428"/>
    <w:rsid w:val="007F106C"/>
    <w:rsid w:val="007F20A7"/>
    <w:rsid w:val="007F2648"/>
    <w:rsid w:val="007F3498"/>
    <w:rsid w:val="00805AD1"/>
    <w:rsid w:val="00806692"/>
    <w:rsid w:val="00806F13"/>
    <w:rsid w:val="00807BC8"/>
    <w:rsid w:val="00810509"/>
    <w:rsid w:val="008110B5"/>
    <w:rsid w:val="008114BC"/>
    <w:rsid w:val="00813FB6"/>
    <w:rsid w:val="00814FE4"/>
    <w:rsid w:val="00815F67"/>
    <w:rsid w:val="0081736F"/>
    <w:rsid w:val="00823D3E"/>
    <w:rsid w:val="0082542F"/>
    <w:rsid w:val="00826874"/>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BA"/>
    <w:rsid w:val="008723E8"/>
    <w:rsid w:val="00872B54"/>
    <w:rsid w:val="008758B9"/>
    <w:rsid w:val="00875E33"/>
    <w:rsid w:val="00876F69"/>
    <w:rsid w:val="00877076"/>
    <w:rsid w:val="008774E2"/>
    <w:rsid w:val="00884CF1"/>
    <w:rsid w:val="00884DE5"/>
    <w:rsid w:val="00886CA9"/>
    <w:rsid w:val="00890118"/>
    <w:rsid w:val="008906EF"/>
    <w:rsid w:val="00890E21"/>
    <w:rsid w:val="00893E1A"/>
    <w:rsid w:val="008953BE"/>
    <w:rsid w:val="00896AFB"/>
    <w:rsid w:val="00896EE8"/>
    <w:rsid w:val="008A0851"/>
    <w:rsid w:val="008A0E14"/>
    <w:rsid w:val="008A5847"/>
    <w:rsid w:val="008A6AE4"/>
    <w:rsid w:val="008B08B2"/>
    <w:rsid w:val="008B08FC"/>
    <w:rsid w:val="008B0EAD"/>
    <w:rsid w:val="008B0FB4"/>
    <w:rsid w:val="008B1D57"/>
    <w:rsid w:val="008B45DE"/>
    <w:rsid w:val="008B493E"/>
    <w:rsid w:val="008C0983"/>
    <w:rsid w:val="008C1E27"/>
    <w:rsid w:val="008C32F3"/>
    <w:rsid w:val="008C4071"/>
    <w:rsid w:val="008C5A43"/>
    <w:rsid w:val="008C697F"/>
    <w:rsid w:val="008C6BAD"/>
    <w:rsid w:val="008C7ACD"/>
    <w:rsid w:val="008C7CF1"/>
    <w:rsid w:val="008D1514"/>
    <w:rsid w:val="008D1584"/>
    <w:rsid w:val="008D25DF"/>
    <w:rsid w:val="008D2FFB"/>
    <w:rsid w:val="008D450B"/>
    <w:rsid w:val="008D4E59"/>
    <w:rsid w:val="008D5F42"/>
    <w:rsid w:val="008D7B70"/>
    <w:rsid w:val="008E0BF4"/>
    <w:rsid w:val="008E219B"/>
    <w:rsid w:val="008E228D"/>
    <w:rsid w:val="008E53A0"/>
    <w:rsid w:val="008E642A"/>
    <w:rsid w:val="008E646C"/>
    <w:rsid w:val="008E69D0"/>
    <w:rsid w:val="008F1B64"/>
    <w:rsid w:val="008F1CA8"/>
    <w:rsid w:val="008F47FB"/>
    <w:rsid w:val="008F7E48"/>
    <w:rsid w:val="00900040"/>
    <w:rsid w:val="00901950"/>
    <w:rsid w:val="009041E6"/>
    <w:rsid w:val="00904AE7"/>
    <w:rsid w:val="0090613B"/>
    <w:rsid w:val="009066FA"/>
    <w:rsid w:val="009069F1"/>
    <w:rsid w:val="00907333"/>
    <w:rsid w:val="0090769D"/>
    <w:rsid w:val="0090796F"/>
    <w:rsid w:val="009131B5"/>
    <w:rsid w:val="0091330D"/>
    <w:rsid w:val="00915140"/>
    <w:rsid w:val="00917C64"/>
    <w:rsid w:val="0092477C"/>
    <w:rsid w:val="00925FEE"/>
    <w:rsid w:val="009263E4"/>
    <w:rsid w:val="009263F4"/>
    <w:rsid w:val="00926411"/>
    <w:rsid w:val="0092758B"/>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5C4A"/>
    <w:rsid w:val="009668A0"/>
    <w:rsid w:val="0097034E"/>
    <w:rsid w:val="00971465"/>
    <w:rsid w:val="00973AE2"/>
    <w:rsid w:val="00974E51"/>
    <w:rsid w:val="009756FA"/>
    <w:rsid w:val="00976661"/>
    <w:rsid w:val="009819E9"/>
    <w:rsid w:val="009832C3"/>
    <w:rsid w:val="00987AEC"/>
    <w:rsid w:val="009908FF"/>
    <w:rsid w:val="00992113"/>
    <w:rsid w:val="00992570"/>
    <w:rsid w:val="00992B4C"/>
    <w:rsid w:val="00993261"/>
    <w:rsid w:val="0099364E"/>
    <w:rsid w:val="00993813"/>
    <w:rsid w:val="0099514A"/>
    <w:rsid w:val="0099764D"/>
    <w:rsid w:val="009A1613"/>
    <w:rsid w:val="009A48D7"/>
    <w:rsid w:val="009A5CDC"/>
    <w:rsid w:val="009A7413"/>
    <w:rsid w:val="009B0E65"/>
    <w:rsid w:val="009B350D"/>
    <w:rsid w:val="009B448D"/>
    <w:rsid w:val="009B5E10"/>
    <w:rsid w:val="009C0911"/>
    <w:rsid w:val="009C3D22"/>
    <w:rsid w:val="009C48C9"/>
    <w:rsid w:val="009C4C4B"/>
    <w:rsid w:val="009D0CDB"/>
    <w:rsid w:val="009D0F29"/>
    <w:rsid w:val="009D4D4D"/>
    <w:rsid w:val="009D7991"/>
    <w:rsid w:val="009D7CA0"/>
    <w:rsid w:val="009E594B"/>
    <w:rsid w:val="009E7973"/>
    <w:rsid w:val="009F5920"/>
    <w:rsid w:val="009F6D38"/>
    <w:rsid w:val="00A05AE8"/>
    <w:rsid w:val="00A0602F"/>
    <w:rsid w:val="00A07092"/>
    <w:rsid w:val="00A074FD"/>
    <w:rsid w:val="00A1068E"/>
    <w:rsid w:val="00A10988"/>
    <w:rsid w:val="00A11140"/>
    <w:rsid w:val="00A118C5"/>
    <w:rsid w:val="00A11950"/>
    <w:rsid w:val="00A137B5"/>
    <w:rsid w:val="00A13EDB"/>
    <w:rsid w:val="00A15131"/>
    <w:rsid w:val="00A203FE"/>
    <w:rsid w:val="00A208E8"/>
    <w:rsid w:val="00A21332"/>
    <w:rsid w:val="00A217E4"/>
    <w:rsid w:val="00A2251F"/>
    <w:rsid w:val="00A23C0E"/>
    <w:rsid w:val="00A24395"/>
    <w:rsid w:val="00A24628"/>
    <w:rsid w:val="00A2566C"/>
    <w:rsid w:val="00A2777E"/>
    <w:rsid w:val="00A31134"/>
    <w:rsid w:val="00A31A82"/>
    <w:rsid w:val="00A33015"/>
    <w:rsid w:val="00A3307E"/>
    <w:rsid w:val="00A336CB"/>
    <w:rsid w:val="00A34CA6"/>
    <w:rsid w:val="00A35850"/>
    <w:rsid w:val="00A37BCE"/>
    <w:rsid w:val="00A43C44"/>
    <w:rsid w:val="00A43D8C"/>
    <w:rsid w:val="00A46FBE"/>
    <w:rsid w:val="00A51A60"/>
    <w:rsid w:val="00A51D9D"/>
    <w:rsid w:val="00A5202E"/>
    <w:rsid w:val="00A52EB4"/>
    <w:rsid w:val="00A61016"/>
    <w:rsid w:val="00A61D62"/>
    <w:rsid w:val="00A621B8"/>
    <w:rsid w:val="00A62672"/>
    <w:rsid w:val="00A62C2B"/>
    <w:rsid w:val="00A63087"/>
    <w:rsid w:val="00A653F3"/>
    <w:rsid w:val="00A65D6B"/>
    <w:rsid w:val="00A67B0A"/>
    <w:rsid w:val="00A70467"/>
    <w:rsid w:val="00A7066B"/>
    <w:rsid w:val="00A72D63"/>
    <w:rsid w:val="00A7300D"/>
    <w:rsid w:val="00A767EC"/>
    <w:rsid w:val="00A803FD"/>
    <w:rsid w:val="00A8160D"/>
    <w:rsid w:val="00A816FC"/>
    <w:rsid w:val="00A81702"/>
    <w:rsid w:val="00A8191B"/>
    <w:rsid w:val="00A848DF"/>
    <w:rsid w:val="00A86DD2"/>
    <w:rsid w:val="00A90043"/>
    <w:rsid w:val="00A90B9E"/>
    <w:rsid w:val="00A91FC3"/>
    <w:rsid w:val="00A932DF"/>
    <w:rsid w:val="00A95357"/>
    <w:rsid w:val="00AA1362"/>
    <w:rsid w:val="00AA236F"/>
    <w:rsid w:val="00AA23D8"/>
    <w:rsid w:val="00AA3E44"/>
    <w:rsid w:val="00AA6B8E"/>
    <w:rsid w:val="00AA7661"/>
    <w:rsid w:val="00AB2267"/>
    <w:rsid w:val="00AC012C"/>
    <w:rsid w:val="00AC2E92"/>
    <w:rsid w:val="00AC360F"/>
    <w:rsid w:val="00AC3804"/>
    <w:rsid w:val="00AC497D"/>
    <w:rsid w:val="00AC4A49"/>
    <w:rsid w:val="00AC73EE"/>
    <w:rsid w:val="00AD3993"/>
    <w:rsid w:val="00AD3D55"/>
    <w:rsid w:val="00AD421F"/>
    <w:rsid w:val="00AD550D"/>
    <w:rsid w:val="00AD682C"/>
    <w:rsid w:val="00AE253A"/>
    <w:rsid w:val="00AE61A6"/>
    <w:rsid w:val="00AE6F08"/>
    <w:rsid w:val="00AF64AB"/>
    <w:rsid w:val="00AF7186"/>
    <w:rsid w:val="00B00CD8"/>
    <w:rsid w:val="00B00E84"/>
    <w:rsid w:val="00B03A7B"/>
    <w:rsid w:val="00B1181C"/>
    <w:rsid w:val="00B13ABB"/>
    <w:rsid w:val="00B1586F"/>
    <w:rsid w:val="00B15A09"/>
    <w:rsid w:val="00B15E24"/>
    <w:rsid w:val="00B170A3"/>
    <w:rsid w:val="00B174EC"/>
    <w:rsid w:val="00B1762D"/>
    <w:rsid w:val="00B2054F"/>
    <w:rsid w:val="00B21784"/>
    <w:rsid w:val="00B23496"/>
    <w:rsid w:val="00B2375F"/>
    <w:rsid w:val="00B25024"/>
    <w:rsid w:val="00B261F6"/>
    <w:rsid w:val="00B27256"/>
    <w:rsid w:val="00B31197"/>
    <w:rsid w:val="00B313DA"/>
    <w:rsid w:val="00B32EB5"/>
    <w:rsid w:val="00B334BD"/>
    <w:rsid w:val="00B36F83"/>
    <w:rsid w:val="00B37F12"/>
    <w:rsid w:val="00B42FB2"/>
    <w:rsid w:val="00B4594B"/>
    <w:rsid w:val="00B4598F"/>
    <w:rsid w:val="00B46FA5"/>
    <w:rsid w:val="00B52602"/>
    <w:rsid w:val="00B52783"/>
    <w:rsid w:val="00B53A0B"/>
    <w:rsid w:val="00B545D0"/>
    <w:rsid w:val="00B5595C"/>
    <w:rsid w:val="00B601FA"/>
    <w:rsid w:val="00B6312C"/>
    <w:rsid w:val="00B63F85"/>
    <w:rsid w:val="00B651F5"/>
    <w:rsid w:val="00B659B5"/>
    <w:rsid w:val="00B66180"/>
    <w:rsid w:val="00B67CC9"/>
    <w:rsid w:val="00B719EB"/>
    <w:rsid w:val="00B7248B"/>
    <w:rsid w:val="00B7427C"/>
    <w:rsid w:val="00B7449E"/>
    <w:rsid w:val="00B75124"/>
    <w:rsid w:val="00B76BF5"/>
    <w:rsid w:val="00B76FAA"/>
    <w:rsid w:val="00B815DA"/>
    <w:rsid w:val="00B81B6A"/>
    <w:rsid w:val="00B8714B"/>
    <w:rsid w:val="00B876B0"/>
    <w:rsid w:val="00B92573"/>
    <w:rsid w:val="00B95237"/>
    <w:rsid w:val="00B9594C"/>
    <w:rsid w:val="00B95BF6"/>
    <w:rsid w:val="00B97478"/>
    <w:rsid w:val="00BA2888"/>
    <w:rsid w:val="00BA5A19"/>
    <w:rsid w:val="00BB02D4"/>
    <w:rsid w:val="00BB1979"/>
    <w:rsid w:val="00BB6D26"/>
    <w:rsid w:val="00BC00C8"/>
    <w:rsid w:val="00BC0A8D"/>
    <w:rsid w:val="00BC28F1"/>
    <w:rsid w:val="00BC3F04"/>
    <w:rsid w:val="00BC41BC"/>
    <w:rsid w:val="00BC4907"/>
    <w:rsid w:val="00BC566A"/>
    <w:rsid w:val="00BC5B9C"/>
    <w:rsid w:val="00BD04DE"/>
    <w:rsid w:val="00BD2BD8"/>
    <w:rsid w:val="00BD4BC8"/>
    <w:rsid w:val="00BD595A"/>
    <w:rsid w:val="00BE3331"/>
    <w:rsid w:val="00BE39E2"/>
    <w:rsid w:val="00BE57EA"/>
    <w:rsid w:val="00BE7891"/>
    <w:rsid w:val="00BF1918"/>
    <w:rsid w:val="00BF2D45"/>
    <w:rsid w:val="00BF400D"/>
    <w:rsid w:val="00C01E7A"/>
    <w:rsid w:val="00C034E2"/>
    <w:rsid w:val="00C03C0F"/>
    <w:rsid w:val="00C03ED5"/>
    <w:rsid w:val="00C04E07"/>
    <w:rsid w:val="00C04E9F"/>
    <w:rsid w:val="00C05A87"/>
    <w:rsid w:val="00C05E3D"/>
    <w:rsid w:val="00C073BF"/>
    <w:rsid w:val="00C07857"/>
    <w:rsid w:val="00C11790"/>
    <w:rsid w:val="00C1179D"/>
    <w:rsid w:val="00C1317B"/>
    <w:rsid w:val="00C14585"/>
    <w:rsid w:val="00C14704"/>
    <w:rsid w:val="00C200EA"/>
    <w:rsid w:val="00C20C3D"/>
    <w:rsid w:val="00C21D5B"/>
    <w:rsid w:val="00C23EB7"/>
    <w:rsid w:val="00C25273"/>
    <w:rsid w:val="00C25E2F"/>
    <w:rsid w:val="00C25F03"/>
    <w:rsid w:val="00C335AB"/>
    <w:rsid w:val="00C337CA"/>
    <w:rsid w:val="00C337EB"/>
    <w:rsid w:val="00C34EDA"/>
    <w:rsid w:val="00C36343"/>
    <w:rsid w:val="00C407EE"/>
    <w:rsid w:val="00C4144A"/>
    <w:rsid w:val="00C4177B"/>
    <w:rsid w:val="00C4659B"/>
    <w:rsid w:val="00C47A01"/>
    <w:rsid w:val="00C52402"/>
    <w:rsid w:val="00C52C7B"/>
    <w:rsid w:val="00C54301"/>
    <w:rsid w:val="00C54853"/>
    <w:rsid w:val="00C54EE7"/>
    <w:rsid w:val="00C55998"/>
    <w:rsid w:val="00C5670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87E3A"/>
    <w:rsid w:val="00C908A1"/>
    <w:rsid w:val="00C92562"/>
    <w:rsid w:val="00C92AF0"/>
    <w:rsid w:val="00C9327F"/>
    <w:rsid w:val="00C93D81"/>
    <w:rsid w:val="00C941B3"/>
    <w:rsid w:val="00C976A5"/>
    <w:rsid w:val="00CA27A3"/>
    <w:rsid w:val="00CA3230"/>
    <w:rsid w:val="00CB4090"/>
    <w:rsid w:val="00CB7F42"/>
    <w:rsid w:val="00CC15AF"/>
    <w:rsid w:val="00CC3816"/>
    <w:rsid w:val="00CC66B5"/>
    <w:rsid w:val="00CD0129"/>
    <w:rsid w:val="00CD120E"/>
    <w:rsid w:val="00CD1F82"/>
    <w:rsid w:val="00CD213D"/>
    <w:rsid w:val="00CD4ABA"/>
    <w:rsid w:val="00CE1F6A"/>
    <w:rsid w:val="00CE2670"/>
    <w:rsid w:val="00CE390C"/>
    <w:rsid w:val="00CE4B08"/>
    <w:rsid w:val="00CE6E18"/>
    <w:rsid w:val="00CF045C"/>
    <w:rsid w:val="00CF16AA"/>
    <w:rsid w:val="00CF3F5E"/>
    <w:rsid w:val="00CF3FEA"/>
    <w:rsid w:val="00CF4418"/>
    <w:rsid w:val="00CF4D61"/>
    <w:rsid w:val="00CF57B5"/>
    <w:rsid w:val="00CF5FF4"/>
    <w:rsid w:val="00CF6AC2"/>
    <w:rsid w:val="00CF7FBD"/>
    <w:rsid w:val="00D009DB"/>
    <w:rsid w:val="00D00CDA"/>
    <w:rsid w:val="00D0185C"/>
    <w:rsid w:val="00D01E89"/>
    <w:rsid w:val="00D03779"/>
    <w:rsid w:val="00D0381D"/>
    <w:rsid w:val="00D044F5"/>
    <w:rsid w:val="00D05306"/>
    <w:rsid w:val="00D111A4"/>
    <w:rsid w:val="00D138E3"/>
    <w:rsid w:val="00D14F73"/>
    <w:rsid w:val="00D1622D"/>
    <w:rsid w:val="00D17605"/>
    <w:rsid w:val="00D216E3"/>
    <w:rsid w:val="00D223D4"/>
    <w:rsid w:val="00D24DFA"/>
    <w:rsid w:val="00D259DB"/>
    <w:rsid w:val="00D26ED3"/>
    <w:rsid w:val="00D27208"/>
    <w:rsid w:val="00D27BF1"/>
    <w:rsid w:val="00D31BF7"/>
    <w:rsid w:val="00D34A04"/>
    <w:rsid w:val="00D42253"/>
    <w:rsid w:val="00D428EB"/>
    <w:rsid w:val="00D4348D"/>
    <w:rsid w:val="00D437C9"/>
    <w:rsid w:val="00D43A10"/>
    <w:rsid w:val="00D44034"/>
    <w:rsid w:val="00D44EE7"/>
    <w:rsid w:val="00D461F6"/>
    <w:rsid w:val="00D53BB2"/>
    <w:rsid w:val="00D53FA9"/>
    <w:rsid w:val="00D54FBD"/>
    <w:rsid w:val="00D552F2"/>
    <w:rsid w:val="00D60051"/>
    <w:rsid w:val="00D61977"/>
    <w:rsid w:val="00D62405"/>
    <w:rsid w:val="00D629CF"/>
    <w:rsid w:val="00D62E15"/>
    <w:rsid w:val="00D6300D"/>
    <w:rsid w:val="00D636D3"/>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5D21"/>
    <w:rsid w:val="00D86A7C"/>
    <w:rsid w:val="00D87DE7"/>
    <w:rsid w:val="00D926C8"/>
    <w:rsid w:val="00D95066"/>
    <w:rsid w:val="00D96273"/>
    <w:rsid w:val="00D967DF"/>
    <w:rsid w:val="00DA091B"/>
    <w:rsid w:val="00DA1417"/>
    <w:rsid w:val="00DA1712"/>
    <w:rsid w:val="00DA2118"/>
    <w:rsid w:val="00DA38AC"/>
    <w:rsid w:val="00DA60FB"/>
    <w:rsid w:val="00DB4932"/>
    <w:rsid w:val="00DB7427"/>
    <w:rsid w:val="00DB767F"/>
    <w:rsid w:val="00DC0837"/>
    <w:rsid w:val="00DC1500"/>
    <w:rsid w:val="00DC5733"/>
    <w:rsid w:val="00DC5D43"/>
    <w:rsid w:val="00DC60AD"/>
    <w:rsid w:val="00DC69C9"/>
    <w:rsid w:val="00DD0125"/>
    <w:rsid w:val="00DD4365"/>
    <w:rsid w:val="00DD6992"/>
    <w:rsid w:val="00DE139E"/>
    <w:rsid w:val="00DE1759"/>
    <w:rsid w:val="00DE272E"/>
    <w:rsid w:val="00DE3A96"/>
    <w:rsid w:val="00DE48E8"/>
    <w:rsid w:val="00DE71A3"/>
    <w:rsid w:val="00DE72A5"/>
    <w:rsid w:val="00DF1DE3"/>
    <w:rsid w:val="00DF2086"/>
    <w:rsid w:val="00DF27CD"/>
    <w:rsid w:val="00DF34C7"/>
    <w:rsid w:val="00DF3DAF"/>
    <w:rsid w:val="00DF411A"/>
    <w:rsid w:val="00DF4181"/>
    <w:rsid w:val="00DF516F"/>
    <w:rsid w:val="00DF5814"/>
    <w:rsid w:val="00DF6679"/>
    <w:rsid w:val="00DF7C30"/>
    <w:rsid w:val="00E0076C"/>
    <w:rsid w:val="00E01C10"/>
    <w:rsid w:val="00E02AEF"/>
    <w:rsid w:val="00E03929"/>
    <w:rsid w:val="00E0785D"/>
    <w:rsid w:val="00E10029"/>
    <w:rsid w:val="00E10CBD"/>
    <w:rsid w:val="00E1369E"/>
    <w:rsid w:val="00E16357"/>
    <w:rsid w:val="00E165F5"/>
    <w:rsid w:val="00E17CB7"/>
    <w:rsid w:val="00E17F92"/>
    <w:rsid w:val="00E20E03"/>
    <w:rsid w:val="00E21FC7"/>
    <w:rsid w:val="00E24A83"/>
    <w:rsid w:val="00E24A86"/>
    <w:rsid w:val="00E24E71"/>
    <w:rsid w:val="00E3061A"/>
    <w:rsid w:val="00E323FD"/>
    <w:rsid w:val="00E367B1"/>
    <w:rsid w:val="00E37567"/>
    <w:rsid w:val="00E42240"/>
    <w:rsid w:val="00E46145"/>
    <w:rsid w:val="00E4693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26F1"/>
    <w:rsid w:val="00E73699"/>
    <w:rsid w:val="00E7511F"/>
    <w:rsid w:val="00E75163"/>
    <w:rsid w:val="00E75319"/>
    <w:rsid w:val="00E757E1"/>
    <w:rsid w:val="00E76FC8"/>
    <w:rsid w:val="00E77106"/>
    <w:rsid w:val="00E8056E"/>
    <w:rsid w:val="00E8486D"/>
    <w:rsid w:val="00E84CF8"/>
    <w:rsid w:val="00E85901"/>
    <w:rsid w:val="00E85E6D"/>
    <w:rsid w:val="00E86440"/>
    <w:rsid w:val="00E902D5"/>
    <w:rsid w:val="00E903E3"/>
    <w:rsid w:val="00E909C4"/>
    <w:rsid w:val="00E90DC1"/>
    <w:rsid w:val="00E918C7"/>
    <w:rsid w:val="00E91D4B"/>
    <w:rsid w:val="00E92256"/>
    <w:rsid w:val="00E94566"/>
    <w:rsid w:val="00E97379"/>
    <w:rsid w:val="00EA166A"/>
    <w:rsid w:val="00EA3184"/>
    <w:rsid w:val="00EA664C"/>
    <w:rsid w:val="00EA6B56"/>
    <w:rsid w:val="00EB172C"/>
    <w:rsid w:val="00EB518D"/>
    <w:rsid w:val="00EB564D"/>
    <w:rsid w:val="00EB5D03"/>
    <w:rsid w:val="00EC03C8"/>
    <w:rsid w:val="00EC0826"/>
    <w:rsid w:val="00EC0B9F"/>
    <w:rsid w:val="00EC158B"/>
    <w:rsid w:val="00EC3A3A"/>
    <w:rsid w:val="00EC6410"/>
    <w:rsid w:val="00EC7B59"/>
    <w:rsid w:val="00ED0728"/>
    <w:rsid w:val="00ED2742"/>
    <w:rsid w:val="00ED6648"/>
    <w:rsid w:val="00ED6712"/>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07F77"/>
    <w:rsid w:val="00F12C84"/>
    <w:rsid w:val="00F1475C"/>
    <w:rsid w:val="00F15A5A"/>
    <w:rsid w:val="00F20C5B"/>
    <w:rsid w:val="00F21D69"/>
    <w:rsid w:val="00F224D0"/>
    <w:rsid w:val="00F22A04"/>
    <w:rsid w:val="00F27B51"/>
    <w:rsid w:val="00F31B8A"/>
    <w:rsid w:val="00F36081"/>
    <w:rsid w:val="00F42516"/>
    <w:rsid w:val="00F430A5"/>
    <w:rsid w:val="00F4326D"/>
    <w:rsid w:val="00F53B49"/>
    <w:rsid w:val="00F540AD"/>
    <w:rsid w:val="00F5689F"/>
    <w:rsid w:val="00F569F1"/>
    <w:rsid w:val="00F57637"/>
    <w:rsid w:val="00F57EA3"/>
    <w:rsid w:val="00F624AD"/>
    <w:rsid w:val="00F6253C"/>
    <w:rsid w:val="00F63F01"/>
    <w:rsid w:val="00F73575"/>
    <w:rsid w:val="00F757B5"/>
    <w:rsid w:val="00F75B4E"/>
    <w:rsid w:val="00F811C0"/>
    <w:rsid w:val="00F81B78"/>
    <w:rsid w:val="00F83B1D"/>
    <w:rsid w:val="00F852C6"/>
    <w:rsid w:val="00F86F74"/>
    <w:rsid w:val="00F874CF"/>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64A"/>
    <w:rsid w:val="00FD1D7B"/>
    <w:rsid w:val="00FD3BC1"/>
    <w:rsid w:val="00FD404B"/>
    <w:rsid w:val="00FD42B0"/>
    <w:rsid w:val="00FD4CFE"/>
    <w:rsid w:val="00FD61FC"/>
    <w:rsid w:val="00FD729F"/>
    <w:rsid w:val="00FD7B3C"/>
    <w:rsid w:val="00FE0FE2"/>
    <w:rsid w:val="00FE120E"/>
    <w:rsid w:val="00FE190F"/>
    <w:rsid w:val="00FE32B1"/>
    <w:rsid w:val="00FE4562"/>
    <w:rsid w:val="00FF0E0B"/>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aliases w:val="BTL Table"/>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2"/>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2"/>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2"/>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2"/>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2"/>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3"/>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numbering" w:customStyle="1" w:styleId="Style1">
    <w:name w:val="Style1"/>
    <w:uiPriority w:val="99"/>
    <w:rsid w:val="00F81B78"/>
    <w:pPr>
      <w:numPr>
        <w:numId w:val="15"/>
      </w:numPr>
    </w:pPr>
  </w:style>
  <w:style w:type="character" w:styleId="FollowedHyperlink">
    <w:name w:val="FollowedHyperlink"/>
    <w:basedOn w:val="DefaultParagraphFont"/>
    <w:uiPriority w:val="99"/>
    <w:semiHidden/>
    <w:unhideWhenUsed/>
    <w:rsid w:val="00E918C7"/>
    <w:rPr>
      <w:color w:val="800080" w:themeColor="followedHyperlink"/>
      <w:u w:val="single"/>
    </w:rPr>
  </w:style>
  <w:style w:type="table" w:customStyle="1" w:styleId="TableGrid0">
    <w:name w:val="TableGrid"/>
    <w:rsid w:val="007847BB"/>
    <w:pPr>
      <w:ind w:left="1671" w:hanging="749"/>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anguageaccess.courts.ca.gov/court-interpreters-resources/becoming-court-interpreter" TargetMode="External"/><Relationship Id="rId18" Type="http://schemas.openxmlformats.org/officeDocument/2006/relationships/hyperlink" Target="https://www.ncsc.org/__data/assets/pdf_file/0020/74513/FINAL-NCSC-State-Court-Interpreter-Testing-Desk-Reference-Manual-rev-07-27-2023.pdf"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ncsc.org/__data/assets/pdf_file/0020/74513/FINAL-NCSC-State-Court-Interpreter-Testing-Desk-Reference-Manual-rev-07-27-2023.pdf"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ncsc.org/__data/assets/pdf_file/0020/74513/FINAL-NCSC-State-Court-Interpreter-Testing-Desk-Reference-Manual-rev-07-27-2023.pdf"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ourts.ca.gov/documents/JBCM-Post-Contract-Certification-Form.docx" TargetMode="External"/><Relationship Id="rId5" Type="http://schemas.openxmlformats.org/officeDocument/2006/relationships/webSettings" Target="webSettings.xml"/><Relationship Id="rId15" Type="http://schemas.openxmlformats.org/officeDocument/2006/relationships/hyperlink" Target="https://languageaccess.courts.ca.gov/court-interpreters-resources/become-court-interpreter/registered-interpreter" TargetMode="Externa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anguageaccess.courts.ca.gov/publication/court-interpreters-program-list-certified-languages"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3FE14-C05D-4077-89A3-13B11EF9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12173</Words>
  <Characters>69391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2024-12-10T23:12:00Z</dcterms:created>
  <dcterms:modified xsi:type="dcterms:W3CDTF">2025-03-11T21:57:00Z</dcterms:modified>
</cp:coreProperties>
</file>