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9" w:rsidRDefault="003562F9"/>
    <w:p w:rsidR="00993269" w:rsidRDefault="00993269" w:rsidP="00993269"/>
    <w:p w:rsidR="00C75F9E" w:rsidRDefault="00C75F9E" w:rsidP="00EA2E86">
      <w:pPr>
        <w:tabs>
          <w:tab w:val="left" w:pos="-2250"/>
        </w:tabs>
      </w:pPr>
    </w:p>
    <w:p w:rsidR="00760966" w:rsidRDefault="00760966" w:rsidP="00993269"/>
    <w:p w:rsidR="004A31FA" w:rsidRDefault="004A31FA" w:rsidP="00993269"/>
    <w:p w:rsidR="004A31FA" w:rsidRPr="00BC308A" w:rsidRDefault="00C552FA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</w:rPr>
        <w:t xml:space="preserve">  </w:t>
      </w:r>
      <w:r w:rsidR="004A31FA" w:rsidRPr="007B538F">
        <w:rPr>
          <w:b/>
          <w:u w:val="single"/>
        </w:rPr>
        <w:t>Q</w:t>
      </w:r>
      <w:r w:rsidR="00F03181" w:rsidRPr="007B538F">
        <w:rPr>
          <w:b/>
          <w:u w:val="single"/>
        </w:rPr>
        <w:t>uestion</w:t>
      </w:r>
      <w:r w:rsidR="004A31FA" w:rsidRPr="007B538F">
        <w:rPr>
          <w:b/>
          <w:u w:val="single"/>
        </w:rPr>
        <w:t>:</w:t>
      </w:r>
      <w:r w:rsidR="004A0AD2" w:rsidRPr="00C552FA">
        <w:tab/>
      </w:r>
      <w:r w:rsidR="004A31FA" w:rsidRPr="00BC308A">
        <w:t xml:space="preserve">Does Lunch require a separate room or can one of the general session or </w:t>
      </w:r>
      <w:r w:rsidR="00EA2E86">
        <w:tab/>
      </w:r>
      <w:r w:rsidR="00B04F4C" w:rsidRPr="00BC308A">
        <w:t>breakout rooms</w:t>
      </w:r>
      <w:r w:rsidR="004A31FA" w:rsidRPr="00BC308A">
        <w:t xml:space="preserve"> be used for Lunch?</w:t>
      </w:r>
    </w:p>
    <w:p w:rsidR="00F03181" w:rsidRDefault="00F03181" w:rsidP="00993269">
      <w:pPr>
        <w:rPr>
          <w:highlight w:val="green"/>
        </w:rPr>
      </w:pPr>
    </w:p>
    <w:p w:rsidR="004A31FA" w:rsidRDefault="004A31FA" w:rsidP="00E46E4B">
      <w:pPr>
        <w:ind w:left="1080"/>
      </w:pPr>
      <w:r w:rsidRPr="00E46E4B">
        <w:rPr>
          <w:b/>
          <w:i/>
        </w:rPr>
        <w:t>A</w:t>
      </w:r>
      <w:r w:rsidR="00F03181" w:rsidRPr="00E46E4B">
        <w:rPr>
          <w:b/>
          <w:i/>
        </w:rPr>
        <w:t>OC Response</w:t>
      </w:r>
      <w:r w:rsidRPr="00E46E4B">
        <w:rPr>
          <w:b/>
          <w:i/>
        </w:rPr>
        <w:t>:</w:t>
      </w:r>
      <w:r w:rsidRPr="00856A0D">
        <w:t xml:space="preserve">  </w:t>
      </w:r>
      <w:r w:rsidR="00856A0D">
        <w:t xml:space="preserve">For this Program – </w:t>
      </w:r>
      <w:r w:rsidR="00EA2E86">
        <w:t>Presiding Judges Orientation</w:t>
      </w:r>
      <w:r w:rsidR="001524BF">
        <w:t>, yes, l</w:t>
      </w:r>
      <w:r w:rsidR="00856A0D">
        <w:t>unch is required in a separate roo</w:t>
      </w:r>
      <w:r w:rsidR="00856A0D" w:rsidRPr="00844A7F">
        <w:t>m</w:t>
      </w:r>
      <w:r w:rsidRPr="00844A7F">
        <w:t>.</w:t>
      </w:r>
      <w:r w:rsidR="00EA2E86">
        <w:t xml:space="preserve"> There will be a speaker during lunch. </w:t>
      </w:r>
    </w:p>
    <w:p w:rsidR="00F03181" w:rsidRDefault="00F03181" w:rsidP="00993269">
      <w:pPr>
        <w:rPr>
          <w:b/>
          <w:u w:val="single"/>
        </w:rPr>
      </w:pPr>
    </w:p>
    <w:p w:rsidR="00EA2E86" w:rsidRDefault="00C552FA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</w:rPr>
        <w:t xml:space="preserve"> </w:t>
      </w:r>
      <w:r w:rsidR="00EA2E86" w:rsidRPr="007B538F">
        <w:rPr>
          <w:b/>
          <w:u w:val="single"/>
        </w:rPr>
        <w:t xml:space="preserve">Question: </w:t>
      </w:r>
      <w:r w:rsidR="00EA2E86">
        <w:t xml:space="preserve"> Can the</w:t>
      </w:r>
      <w:r w:rsidR="00EA2E86" w:rsidRPr="00BC308A">
        <w:t xml:space="preserve"> general session</w:t>
      </w:r>
      <w:r w:rsidR="00EA2E86">
        <w:t xml:space="preserve"> room be used as a breakout room</w:t>
      </w:r>
      <w:r w:rsidR="00EA2E86" w:rsidRPr="00BC308A">
        <w:t>?</w:t>
      </w:r>
    </w:p>
    <w:p w:rsidR="00A339BB" w:rsidRDefault="00A339BB" w:rsidP="00A339BB">
      <w:pPr>
        <w:pStyle w:val="ListParagraph"/>
        <w:tabs>
          <w:tab w:val="left" w:pos="1620"/>
        </w:tabs>
      </w:pPr>
    </w:p>
    <w:p w:rsidR="00B108AC" w:rsidRDefault="00B108AC" w:rsidP="00B108AC">
      <w:pPr>
        <w:pStyle w:val="ListParagraph"/>
        <w:tabs>
          <w:tab w:val="left" w:pos="1620"/>
        </w:tabs>
      </w:pPr>
      <w:r w:rsidRPr="00B108AC">
        <w:rPr>
          <w:b/>
          <w:i/>
        </w:rPr>
        <w:t>AOC Response:</w:t>
      </w:r>
      <w:r w:rsidRPr="00856A0D">
        <w:t xml:space="preserve">  </w:t>
      </w:r>
      <w:r>
        <w:t xml:space="preserve">For this Program – Presiding Judges Orientation, the general </w:t>
      </w:r>
      <w:r>
        <w:tab/>
        <w:t xml:space="preserve">session room may be used for a breakout out. </w:t>
      </w:r>
    </w:p>
    <w:p w:rsidR="00B108AC" w:rsidRDefault="00B108AC" w:rsidP="00B108AC">
      <w:pPr>
        <w:tabs>
          <w:tab w:val="left" w:pos="1620"/>
        </w:tabs>
      </w:pPr>
    </w:p>
    <w:p w:rsidR="00B108AC" w:rsidRDefault="00B108AC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  <w:u w:val="single"/>
        </w:rPr>
        <w:t xml:space="preserve">Question: </w:t>
      </w:r>
      <w:r>
        <w:t xml:space="preserve"> Do the</w:t>
      </w:r>
      <w:r w:rsidR="0040089D">
        <w:t xml:space="preserve"> </w:t>
      </w:r>
      <w:r>
        <w:t xml:space="preserve">responses need to be hand written? </w:t>
      </w:r>
    </w:p>
    <w:p w:rsidR="00CC39B4" w:rsidRDefault="00CC39B4" w:rsidP="00CC39B4">
      <w:pPr>
        <w:pStyle w:val="ListParagraph"/>
        <w:tabs>
          <w:tab w:val="left" w:pos="1620"/>
        </w:tabs>
      </w:pPr>
    </w:p>
    <w:p w:rsidR="00CC39B4" w:rsidRDefault="00CC39B4" w:rsidP="00CC39B4">
      <w:pPr>
        <w:pStyle w:val="ListParagraph"/>
        <w:tabs>
          <w:tab w:val="left" w:pos="1620"/>
        </w:tabs>
      </w:pPr>
      <w:r w:rsidRPr="00B108AC">
        <w:rPr>
          <w:b/>
          <w:i/>
        </w:rPr>
        <w:t>AOC Response:</w:t>
      </w:r>
      <w:r w:rsidRPr="00856A0D">
        <w:t xml:space="preserve">  </w:t>
      </w:r>
      <w:r>
        <w:t>Each attachment is in both Word and Adobe PDF. You may write the responses on the PDF or type the responses in the Word document.</w:t>
      </w:r>
    </w:p>
    <w:p w:rsidR="00CC39B4" w:rsidRDefault="00CC39B4" w:rsidP="00CC39B4">
      <w:pPr>
        <w:pStyle w:val="ListParagraph"/>
        <w:tabs>
          <w:tab w:val="left" w:pos="1620"/>
        </w:tabs>
      </w:pPr>
    </w:p>
    <w:p w:rsidR="00CC39B4" w:rsidRDefault="0040089D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  <w:u w:val="single"/>
        </w:rPr>
        <w:t xml:space="preserve">Question: </w:t>
      </w:r>
      <w:r>
        <w:t xml:space="preserve"> Can lunch be plated or does it have to be buffet? </w:t>
      </w:r>
    </w:p>
    <w:p w:rsidR="0040089D" w:rsidRPr="00BC308A" w:rsidRDefault="0040089D" w:rsidP="0040089D">
      <w:pPr>
        <w:pStyle w:val="ListParagraph"/>
        <w:tabs>
          <w:tab w:val="left" w:pos="1620"/>
        </w:tabs>
      </w:pPr>
      <w:r w:rsidRPr="00B108AC">
        <w:rPr>
          <w:b/>
          <w:i/>
        </w:rPr>
        <w:t>AOC Response:</w:t>
      </w:r>
      <w:r w:rsidRPr="00856A0D">
        <w:t xml:space="preserve">  </w:t>
      </w:r>
      <w:r>
        <w:t xml:space="preserve">It can be either one. </w:t>
      </w:r>
    </w:p>
    <w:p w:rsidR="0040089D" w:rsidRDefault="0040089D" w:rsidP="0040089D">
      <w:pPr>
        <w:tabs>
          <w:tab w:val="left" w:pos="1620"/>
        </w:tabs>
      </w:pPr>
    </w:p>
    <w:p w:rsidR="0040089D" w:rsidRDefault="00054292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  <w:u w:val="single"/>
        </w:rPr>
        <w:t xml:space="preserve">Question: </w:t>
      </w:r>
      <w:r>
        <w:t xml:space="preserve"> Where can I find a copy of the tax waiver? </w:t>
      </w:r>
    </w:p>
    <w:p w:rsidR="00054292" w:rsidRDefault="00054292" w:rsidP="00054292">
      <w:pPr>
        <w:pStyle w:val="ListParagraph"/>
        <w:tabs>
          <w:tab w:val="left" w:pos="1620"/>
        </w:tabs>
      </w:pPr>
    </w:p>
    <w:p w:rsidR="00054292" w:rsidRDefault="00054292" w:rsidP="00054292">
      <w:pPr>
        <w:pStyle w:val="ListParagraph"/>
        <w:tabs>
          <w:tab w:val="left" w:pos="1620"/>
        </w:tabs>
      </w:pPr>
      <w:r w:rsidRPr="00B108AC">
        <w:rPr>
          <w:b/>
          <w:i/>
        </w:rPr>
        <w:t>AOC Response:</w:t>
      </w:r>
      <w:r w:rsidRPr="00856A0D">
        <w:t xml:space="preserve">  </w:t>
      </w:r>
      <w:r>
        <w:t>A copy of the lodging tax waiver is located on the last page of   attachment 2 AOC Standard Terms and Conditions</w:t>
      </w:r>
    </w:p>
    <w:p w:rsidR="00054292" w:rsidRDefault="00054292" w:rsidP="00054292">
      <w:pPr>
        <w:pStyle w:val="ListParagraph"/>
        <w:tabs>
          <w:tab w:val="left" w:pos="1620"/>
        </w:tabs>
      </w:pPr>
    </w:p>
    <w:p w:rsidR="0040089D" w:rsidRDefault="00980236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  <w:u w:val="single"/>
        </w:rPr>
        <w:t xml:space="preserve">Question: </w:t>
      </w:r>
      <w:r>
        <w:t xml:space="preserve"> Is the Meeting and Function room percentage of blocks in the 80-100% section set in stone at “Complimentary?” </w:t>
      </w:r>
    </w:p>
    <w:p w:rsidR="00EA2E86" w:rsidRDefault="00B108AC" w:rsidP="00EA2E86">
      <w:pPr>
        <w:tabs>
          <w:tab w:val="left" w:pos="1620"/>
        </w:tabs>
      </w:pPr>
      <w:r>
        <w:rPr>
          <w:b/>
          <w:i/>
        </w:rPr>
        <w:tab/>
      </w:r>
      <w:r>
        <w:t xml:space="preserve"> </w:t>
      </w:r>
      <w:r w:rsidR="00980236" w:rsidRPr="00B108AC">
        <w:rPr>
          <w:b/>
          <w:i/>
        </w:rPr>
        <w:t>AOC Response:</w:t>
      </w:r>
      <w:r w:rsidR="00980236" w:rsidRPr="00856A0D">
        <w:t xml:space="preserve">  </w:t>
      </w:r>
      <w:r w:rsidR="00980236">
        <w:t>No</w:t>
      </w:r>
      <w:r w:rsidR="00AF2250">
        <w:t>.</w:t>
      </w:r>
    </w:p>
    <w:p w:rsidR="002834A4" w:rsidRDefault="002834A4" w:rsidP="00993269">
      <w:pPr>
        <w:rPr>
          <w:b/>
          <w:i/>
        </w:rPr>
      </w:pPr>
    </w:p>
    <w:p w:rsidR="00AF2250" w:rsidRDefault="00AF2250" w:rsidP="00993269"/>
    <w:p w:rsidR="002834A4" w:rsidRDefault="00C552FA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</w:rPr>
        <w:t xml:space="preserve"> </w:t>
      </w:r>
      <w:r w:rsidR="002834A4" w:rsidRPr="007B538F">
        <w:rPr>
          <w:b/>
          <w:u w:val="single"/>
        </w:rPr>
        <w:t>Q</w:t>
      </w:r>
      <w:r w:rsidR="00F03181" w:rsidRPr="007B538F">
        <w:rPr>
          <w:b/>
          <w:u w:val="single"/>
        </w:rPr>
        <w:t>uestion</w:t>
      </w:r>
      <w:r w:rsidR="002834A4" w:rsidRPr="007B538F">
        <w:rPr>
          <w:b/>
          <w:u w:val="single"/>
        </w:rPr>
        <w:t>:</w:t>
      </w:r>
      <w:r w:rsidR="004A0AD2">
        <w:tab/>
      </w:r>
      <w:r w:rsidR="0006439C">
        <w:t>How often will updates be communicated to bidders and potential bidders?</w:t>
      </w:r>
    </w:p>
    <w:p w:rsidR="00F03181" w:rsidRDefault="00F03181" w:rsidP="00993269"/>
    <w:p w:rsidR="002834A4" w:rsidRDefault="002834A4" w:rsidP="00E46E4B">
      <w:pPr>
        <w:ind w:left="1080"/>
      </w:pPr>
      <w:r w:rsidRPr="00E46E4B">
        <w:rPr>
          <w:b/>
          <w:i/>
        </w:rPr>
        <w:t>A</w:t>
      </w:r>
      <w:r w:rsidR="00F03181" w:rsidRPr="00E46E4B">
        <w:rPr>
          <w:b/>
          <w:i/>
        </w:rPr>
        <w:t>OC Response</w:t>
      </w:r>
      <w:r w:rsidRPr="00E46E4B">
        <w:rPr>
          <w:b/>
          <w:i/>
        </w:rPr>
        <w:t>:</w:t>
      </w:r>
      <w:r>
        <w:t xml:space="preserve">  </w:t>
      </w:r>
      <w:r w:rsidR="0006439C">
        <w:t xml:space="preserve">There is a timeline in the RFP that lists the key events and dates associated with communications regarding the solicitation.  Updates will be listed on </w:t>
      </w:r>
      <w:r w:rsidR="0006439C">
        <w:lastRenderedPageBreak/>
        <w:t>the</w:t>
      </w:r>
      <w:r w:rsidR="00642361">
        <w:t xml:space="preserve"> program’s solicitation website</w:t>
      </w:r>
      <w:r w:rsidR="0006439C">
        <w:t xml:space="preserve"> according to the timeline listed in the RFP.</w:t>
      </w:r>
      <w:r w:rsidR="00B268D0">
        <w:t xml:space="preserve"> </w:t>
      </w:r>
      <w:r w:rsidR="00B62F82" w:rsidRPr="00E46E4B">
        <w:rPr>
          <w:color w:val="000000"/>
        </w:rPr>
        <w:t xml:space="preserve"> I</w:t>
      </w:r>
      <w:r w:rsidR="00B268D0" w:rsidRPr="00E46E4B">
        <w:rPr>
          <w:color w:val="000000"/>
        </w:rPr>
        <w:t xml:space="preserve">t is each </w:t>
      </w:r>
      <w:r w:rsidR="00B62F82" w:rsidRPr="00E46E4B">
        <w:rPr>
          <w:color w:val="000000"/>
        </w:rPr>
        <w:t xml:space="preserve">potential </w:t>
      </w:r>
      <w:r w:rsidR="00B268D0" w:rsidRPr="00E46E4B">
        <w:rPr>
          <w:color w:val="000000"/>
        </w:rPr>
        <w:t>proposer’s responsibility to inform itself of any addendum posted on the website, prior to its submission of a proposal.</w:t>
      </w:r>
    </w:p>
    <w:p w:rsidR="002834A4" w:rsidRDefault="002834A4" w:rsidP="00993269"/>
    <w:p w:rsidR="002834A4" w:rsidRDefault="00C552FA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</w:rPr>
        <w:t xml:space="preserve">  </w:t>
      </w:r>
      <w:r w:rsidR="002834A4" w:rsidRPr="007B538F">
        <w:rPr>
          <w:b/>
          <w:u w:val="single"/>
        </w:rPr>
        <w:t>Q</w:t>
      </w:r>
      <w:r w:rsidR="00F03181" w:rsidRPr="007B538F">
        <w:rPr>
          <w:b/>
          <w:u w:val="single"/>
        </w:rPr>
        <w:t>uestion</w:t>
      </w:r>
      <w:r w:rsidR="002834A4" w:rsidRPr="007B538F">
        <w:rPr>
          <w:b/>
          <w:u w:val="single"/>
        </w:rPr>
        <w:t>:</w:t>
      </w:r>
      <w:r w:rsidR="004A0AD2">
        <w:tab/>
      </w:r>
      <w:r w:rsidR="002834A4">
        <w:t>Will every RFP moving forward have a pre-proposal conference call?</w:t>
      </w:r>
    </w:p>
    <w:p w:rsidR="00F03181" w:rsidRDefault="00F03181" w:rsidP="00993269"/>
    <w:p w:rsidR="002834A4" w:rsidRDefault="002834A4" w:rsidP="00E46E4B">
      <w:pPr>
        <w:ind w:left="1080"/>
      </w:pPr>
      <w:r w:rsidRPr="00E46E4B">
        <w:rPr>
          <w:b/>
          <w:i/>
        </w:rPr>
        <w:t>A</w:t>
      </w:r>
      <w:r w:rsidR="00F03181" w:rsidRPr="00E46E4B">
        <w:rPr>
          <w:b/>
          <w:i/>
        </w:rPr>
        <w:t>OC Response</w:t>
      </w:r>
      <w:r w:rsidRPr="00E46E4B">
        <w:rPr>
          <w:b/>
          <w:i/>
        </w:rPr>
        <w:t>:</w:t>
      </w:r>
      <w:r>
        <w:t xml:space="preserve">  </w:t>
      </w:r>
      <w:r w:rsidR="00C2083E">
        <w:t>Currently, t</w:t>
      </w:r>
      <w:r w:rsidR="0006439C">
        <w:t xml:space="preserve">he AOC </w:t>
      </w:r>
      <w:r w:rsidR="00B268D0">
        <w:t xml:space="preserve">intends to </w:t>
      </w:r>
      <w:r w:rsidR="0006439C">
        <w:t xml:space="preserve">conduct pre-proposal conference calls for </w:t>
      </w:r>
      <w:r w:rsidR="00B268D0">
        <w:t>its</w:t>
      </w:r>
      <w:r w:rsidR="0072785D">
        <w:t xml:space="preserve"> </w:t>
      </w:r>
      <w:r w:rsidR="00C2083E">
        <w:t>RFP’s.</w:t>
      </w:r>
    </w:p>
    <w:p w:rsidR="00CE1137" w:rsidRDefault="00CE1137" w:rsidP="00993269"/>
    <w:p w:rsidR="0049519E" w:rsidRPr="007B538F" w:rsidRDefault="00C552FA" w:rsidP="007B538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B538F">
        <w:rPr>
          <w:b/>
        </w:rPr>
        <w:t xml:space="preserve">  </w:t>
      </w:r>
      <w:r w:rsidR="002834A4" w:rsidRPr="007B538F">
        <w:rPr>
          <w:b/>
          <w:u w:val="single"/>
        </w:rPr>
        <w:t>Q</w:t>
      </w:r>
      <w:r w:rsidR="00F03181" w:rsidRPr="007B538F">
        <w:rPr>
          <w:b/>
          <w:u w:val="single"/>
        </w:rPr>
        <w:t>uestion</w:t>
      </w:r>
      <w:r w:rsidR="002834A4" w:rsidRPr="007B538F">
        <w:rPr>
          <w:b/>
          <w:u w:val="single"/>
        </w:rPr>
        <w:t>:</w:t>
      </w:r>
      <w:r w:rsidR="004A0AD2">
        <w:tab/>
      </w:r>
      <w:r w:rsidR="002834A4">
        <w:t>Should each attachment be sent in</w:t>
      </w:r>
      <w:r w:rsidR="00844A7F">
        <w:t>?  Is there an online web page we go to, to complete the RFP?</w:t>
      </w:r>
    </w:p>
    <w:p w:rsidR="00F03181" w:rsidRDefault="00F03181" w:rsidP="00993269"/>
    <w:p w:rsidR="002834A4" w:rsidRDefault="002834A4" w:rsidP="00E46E4B">
      <w:pPr>
        <w:ind w:left="1080"/>
      </w:pPr>
      <w:r w:rsidRPr="00E46E4B">
        <w:rPr>
          <w:b/>
          <w:i/>
        </w:rPr>
        <w:t>A</w:t>
      </w:r>
      <w:r w:rsidR="00F03181" w:rsidRPr="00E46E4B">
        <w:rPr>
          <w:b/>
          <w:i/>
        </w:rPr>
        <w:t>OC Response</w:t>
      </w:r>
      <w:r w:rsidRPr="00E46E4B">
        <w:rPr>
          <w:b/>
          <w:i/>
        </w:rPr>
        <w:t>:</w:t>
      </w:r>
      <w:r>
        <w:t xml:space="preserve">  </w:t>
      </w:r>
      <w:r w:rsidR="00407201">
        <w:t xml:space="preserve">Attachments 3, 4, 5, 6 and 7 should be sent in. </w:t>
      </w:r>
      <w:r w:rsidR="00B64DB1">
        <w:t>There is no online web page to use in order to submit a response to the RFP.</w:t>
      </w:r>
    </w:p>
    <w:p w:rsidR="00EA2E86" w:rsidRDefault="00EA2E86" w:rsidP="00B64DB1">
      <w:pPr>
        <w:ind w:left="720"/>
      </w:pPr>
    </w:p>
    <w:p w:rsidR="002834A4" w:rsidRDefault="00C552FA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</w:rPr>
        <w:t xml:space="preserve">  </w:t>
      </w:r>
      <w:r w:rsidR="002834A4" w:rsidRPr="007B538F">
        <w:rPr>
          <w:b/>
          <w:u w:val="single"/>
        </w:rPr>
        <w:t>Q</w:t>
      </w:r>
      <w:r w:rsidR="00F03181" w:rsidRPr="007B538F">
        <w:rPr>
          <w:b/>
          <w:u w:val="single"/>
        </w:rPr>
        <w:t>uestion:</w:t>
      </w:r>
      <w:r w:rsidR="004A0AD2">
        <w:tab/>
      </w:r>
      <w:r w:rsidR="002834A4">
        <w:t>Is Fed-ex the only acceptable method of submitting proposals?</w:t>
      </w:r>
    </w:p>
    <w:p w:rsidR="00F03181" w:rsidRDefault="00F03181" w:rsidP="00993269"/>
    <w:p w:rsidR="002834A4" w:rsidRDefault="002834A4" w:rsidP="00E46E4B">
      <w:pPr>
        <w:ind w:left="1080"/>
      </w:pPr>
      <w:r w:rsidRPr="00E46E4B">
        <w:rPr>
          <w:b/>
          <w:i/>
        </w:rPr>
        <w:t>A</w:t>
      </w:r>
      <w:r w:rsidR="00F03181" w:rsidRPr="00E46E4B">
        <w:rPr>
          <w:b/>
          <w:i/>
        </w:rPr>
        <w:t>OC Response</w:t>
      </w:r>
      <w:r w:rsidRPr="00E46E4B">
        <w:rPr>
          <w:b/>
          <w:i/>
        </w:rPr>
        <w:t xml:space="preserve">: </w:t>
      </w:r>
      <w:r>
        <w:t xml:space="preserve"> No</w:t>
      </w:r>
      <w:r w:rsidR="00A179EB">
        <w:t>.  P</w:t>
      </w:r>
      <w:r w:rsidR="0060098C">
        <w:t xml:space="preserve">roposals can be sent by registered or certified mail, courier service (e.g., Fed-ex or UPS), or delivered by hand.  Proposals may </w:t>
      </w:r>
      <w:r w:rsidR="00A179EB">
        <w:t>NOT</w:t>
      </w:r>
      <w:r w:rsidR="0060098C">
        <w:t xml:space="preserve"> be transmitted by fax or email.</w:t>
      </w:r>
    </w:p>
    <w:p w:rsidR="0060098C" w:rsidRDefault="0060098C" w:rsidP="00993269"/>
    <w:p w:rsidR="0060098C" w:rsidRDefault="00670803" w:rsidP="007B538F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</w:pPr>
      <w:r w:rsidRPr="007B538F">
        <w:rPr>
          <w:b/>
        </w:rPr>
        <w:t xml:space="preserve">  </w:t>
      </w:r>
      <w:r w:rsidR="0060098C" w:rsidRPr="007B538F">
        <w:rPr>
          <w:b/>
          <w:u w:val="single"/>
        </w:rPr>
        <w:t>Q</w:t>
      </w:r>
      <w:r w:rsidR="000678F5" w:rsidRPr="007B538F">
        <w:rPr>
          <w:b/>
          <w:u w:val="single"/>
        </w:rPr>
        <w:t>uestion</w:t>
      </w:r>
      <w:r w:rsidR="0060098C" w:rsidRPr="007B538F">
        <w:rPr>
          <w:b/>
          <w:u w:val="single"/>
        </w:rPr>
        <w:t>:</w:t>
      </w:r>
      <w:r w:rsidR="004A0AD2">
        <w:tab/>
      </w:r>
      <w:r w:rsidR="0060098C">
        <w:t>Where are the RFP question and answers posted?</w:t>
      </w:r>
    </w:p>
    <w:p w:rsidR="000678F5" w:rsidRDefault="000678F5" w:rsidP="00993269"/>
    <w:p w:rsidR="0060098C" w:rsidRDefault="0060098C" w:rsidP="00E46E4B">
      <w:pPr>
        <w:ind w:left="1080"/>
      </w:pPr>
      <w:r w:rsidRPr="00E46E4B">
        <w:rPr>
          <w:b/>
          <w:i/>
        </w:rPr>
        <w:t>A</w:t>
      </w:r>
      <w:r w:rsidR="000678F5" w:rsidRPr="00E46E4B">
        <w:rPr>
          <w:b/>
          <w:i/>
        </w:rPr>
        <w:t>OC Response</w:t>
      </w:r>
      <w:r w:rsidRPr="00E46E4B">
        <w:rPr>
          <w:b/>
          <w:i/>
        </w:rPr>
        <w:t>:</w:t>
      </w:r>
      <w:r>
        <w:t xml:space="preserve">  </w:t>
      </w:r>
      <w:r w:rsidR="00CE1137">
        <w:t>The questions and answers will be posted to</w:t>
      </w:r>
      <w:r w:rsidR="00A179EB">
        <w:t xml:space="preserve"> the program’s solicitation website</w:t>
      </w:r>
      <w:r w:rsidR="00CE1137">
        <w:t xml:space="preserve"> according to the timeline listed in the RFP.</w:t>
      </w:r>
    </w:p>
    <w:p w:rsidR="0060098C" w:rsidRDefault="0060098C" w:rsidP="00993269"/>
    <w:p w:rsidR="0060098C" w:rsidRDefault="00670803" w:rsidP="007B538F">
      <w:pPr>
        <w:pStyle w:val="ListParagraph"/>
        <w:numPr>
          <w:ilvl w:val="0"/>
          <w:numId w:val="1"/>
        </w:numPr>
        <w:tabs>
          <w:tab w:val="left" w:pos="1620"/>
        </w:tabs>
      </w:pPr>
      <w:r w:rsidRPr="007B538F">
        <w:rPr>
          <w:b/>
        </w:rPr>
        <w:t xml:space="preserve">  </w:t>
      </w:r>
      <w:r w:rsidR="0060098C" w:rsidRPr="007B538F">
        <w:rPr>
          <w:b/>
          <w:u w:val="single"/>
        </w:rPr>
        <w:t>Q</w:t>
      </w:r>
      <w:r w:rsidR="000678F5" w:rsidRPr="007B538F">
        <w:rPr>
          <w:b/>
          <w:u w:val="single"/>
        </w:rPr>
        <w:t>uestion</w:t>
      </w:r>
      <w:r w:rsidR="0060098C" w:rsidRPr="007B538F">
        <w:rPr>
          <w:b/>
          <w:u w:val="single"/>
        </w:rPr>
        <w:t>:</w:t>
      </w:r>
      <w:r w:rsidR="004A0AD2">
        <w:tab/>
      </w:r>
      <w:r w:rsidR="00FC1AC7">
        <w:t>If I click out of the program</w:t>
      </w:r>
      <w:r w:rsidR="00A179EB">
        <w:t xml:space="preserve"> </w:t>
      </w:r>
      <w:r w:rsidR="00FC1AC7">
        <w:t>website while working on the RFP documents, how can I go back and access the program’s web</w:t>
      </w:r>
      <w:r w:rsidR="00A179EB">
        <w:t>site</w:t>
      </w:r>
      <w:r w:rsidR="00FC1AC7">
        <w:t>?</w:t>
      </w:r>
    </w:p>
    <w:p w:rsidR="000678F5" w:rsidRDefault="000678F5" w:rsidP="00993269"/>
    <w:p w:rsidR="000B2C01" w:rsidRDefault="0060098C" w:rsidP="00E46E4B">
      <w:pPr>
        <w:ind w:left="1080"/>
      </w:pPr>
      <w:r w:rsidRPr="00E46E4B">
        <w:rPr>
          <w:b/>
          <w:i/>
        </w:rPr>
        <w:t>A</w:t>
      </w:r>
      <w:r w:rsidR="000678F5" w:rsidRPr="00E46E4B">
        <w:rPr>
          <w:b/>
          <w:i/>
        </w:rPr>
        <w:t>OC Response</w:t>
      </w:r>
      <w:r w:rsidRPr="00E46E4B">
        <w:rPr>
          <w:b/>
          <w:i/>
        </w:rPr>
        <w:t>:</w:t>
      </w:r>
      <w:r>
        <w:t xml:space="preserve">  </w:t>
      </w:r>
      <w:r w:rsidR="00FC1AC7">
        <w:t>There are several ways to access the program</w:t>
      </w:r>
      <w:r w:rsidR="00A179EB">
        <w:t>’s solicitation</w:t>
      </w:r>
      <w:r w:rsidR="00FC1AC7">
        <w:t xml:space="preserve"> </w:t>
      </w:r>
      <w:r w:rsidR="00FC1AC7" w:rsidRPr="00E46E4B">
        <w:t xml:space="preserve">website.  Program </w:t>
      </w:r>
      <w:r w:rsidRPr="00E46E4B">
        <w:t>RF</w:t>
      </w:r>
      <w:r w:rsidR="00CE1137" w:rsidRPr="00E46E4B">
        <w:t>P</w:t>
      </w:r>
      <w:r w:rsidRPr="00E46E4B">
        <w:t xml:space="preserve">’s </w:t>
      </w:r>
      <w:r w:rsidR="00FC1AC7" w:rsidRPr="00E46E4B">
        <w:t>are</w:t>
      </w:r>
      <w:r w:rsidRPr="00E46E4B">
        <w:t xml:space="preserve"> listed on the </w:t>
      </w:r>
      <w:r w:rsidR="00FC1AC7" w:rsidRPr="00E46E4B">
        <w:t xml:space="preserve">Judicial Branch </w:t>
      </w:r>
      <w:r w:rsidRPr="00E46E4B">
        <w:t>website</w:t>
      </w:r>
      <w:r w:rsidR="00FC1AC7" w:rsidRPr="00E46E4B">
        <w:t xml:space="preserve"> at</w:t>
      </w:r>
      <w:r w:rsidR="00A179EB">
        <w:t xml:space="preserve"> </w:t>
      </w:r>
      <w:hyperlink r:id="rId8" w:history="1">
        <w:r w:rsidR="00FC1AC7" w:rsidRPr="003A690B">
          <w:rPr>
            <w:rStyle w:val="Hyperlink"/>
          </w:rPr>
          <w:t>http://www.courts.ca.gov/jc/rfps.htm</w:t>
        </w:r>
      </w:hyperlink>
      <w:r w:rsidR="00FC1AC7">
        <w:t>.  Please note that this page contains all of the RFP’s for the Judicial Branch, so you will need to scroll through the list and search by program name</w:t>
      </w:r>
      <w:r w:rsidR="00A449B7">
        <w:t xml:space="preserve">.  </w:t>
      </w:r>
    </w:p>
    <w:sectPr w:rsidR="000B2C01" w:rsidSect="0033392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E86" w:rsidRDefault="00EA2E86" w:rsidP="00993269">
      <w:pPr>
        <w:spacing w:line="240" w:lineRule="auto"/>
      </w:pPr>
      <w:r>
        <w:separator/>
      </w:r>
    </w:p>
  </w:endnote>
  <w:endnote w:type="continuationSeparator" w:id="0">
    <w:p w:rsidR="00EA2E86" w:rsidRDefault="00EA2E86" w:rsidP="0099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6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A2E86" w:rsidRDefault="00EA2E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6732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6732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A2E86" w:rsidRDefault="00EA2E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E86" w:rsidRDefault="00EA2E86" w:rsidP="00993269">
      <w:pPr>
        <w:spacing w:line="240" w:lineRule="auto"/>
      </w:pPr>
      <w:r>
        <w:separator/>
      </w:r>
    </w:p>
  </w:footnote>
  <w:footnote w:type="continuationSeparator" w:id="0">
    <w:p w:rsidR="00EA2E86" w:rsidRDefault="00EA2E86" w:rsidP="009932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86" w:rsidRDefault="00EA2E86" w:rsidP="00993269">
    <w:pPr>
      <w:pStyle w:val="Header"/>
      <w:jc w:val="center"/>
    </w:pPr>
    <w:r>
      <w:t>Questions and Answers</w:t>
    </w:r>
  </w:p>
  <w:p w:rsidR="00EA2E86" w:rsidRDefault="00EA2E86" w:rsidP="00993269">
    <w:pPr>
      <w:pStyle w:val="Header"/>
      <w:jc w:val="center"/>
    </w:pPr>
    <w:r>
      <w:t xml:space="preserve">Presiding Judges Orientation Program </w:t>
    </w:r>
  </w:p>
  <w:p w:rsidR="00EA2E86" w:rsidRDefault="00EA2E86" w:rsidP="00993269">
    <w:pPr>
      <w:pStyle w:val="Header"/>
      <w:jc w:val="center"/>
    </w:pPr>
    <w:r>
      <w:t>Request for Proposals #ASU EG-018</w:t>
    </w:r>
  </w:p>
  <w:p w:rsidR="00EA2E86" w:rsidRDefault="00EA2E86" w:rsidP="00993269">
    <w:pPr>
      <w:pStyle w:val="Header"/>
      <w:jc w:val="center"/>
    </w:pPr>
    <w:r>
      <w:t>Bidders’ Conference Call, May 24, 2012</w:t>
    </w:r>
  </w:p>
  <w:p w:rsidR="00EA2E86" w:rsidRDefault="00EA2E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64FF"/>
    <w:multiLevelType w:val="hybridMultilevel"/>
    <w:tmpl w:val="BF7E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269"/>
    <w:rsid w:val="00024F4F"/>
    <w:rsid w:val="00040E41"/>
    <w:rsid w:val="00054292"/>
    <w:rsid w:val="00056FA6"/>
    <w:rsid w:val="0006439C"/>
    <w:rsid w:val="000678F5"/>
    <w:rsid w:val="00090164"/>
    <w:rsid w:val="000A5ED2"/>
    <w:rsid w:val="000A6D58"/>
    <w:rsid w:val="000B2C01"/>
    <w:rsid w:val="001071DA"/>
    <w:rsid w:val="001106C3"/>
    <w:rsid w:val="00120403"/>
    <w:rsid w:val="001268A7"/>
    <w:rsid w:val="001524BF"/>
    <w:rsid w:val="001D7CCB"/>
    <w:rsid w:val="002834A4"/>
    <w:rsid w:val="002B7446"/>
    <w:rsid w:val="00333923"/>
    <w:rsid w:val="003562F9"/>
    <w:rsid w:val="003714FF"/>
    <w:rsid w:val="003B2DC4"/>
    <w:rsid w:val="0040089D"/>
    <w:rsid w:val="00400D25"/>
    <w:rsid w:val="00407201"/>
    <w:rsid w:val="00417DF0"/>
    <w:rsid w:val="00424D5F"/>
    <w:rsid w:val="00430B8A"/>
    <w:rsid w:val="00450C0F"/>
    <w:rsid w:val="0049519E"/>
    <w:rsid w:val="004A0AD2"/>
    <w:rsid w:val="004A31FA"/>
    <w:rsid w:val="004C2475"/>
    <w:rsid w:val="00572283"/>
    <w:rsid w:val="0060098C"/>
    <w:rsid w:val="00635ACD"/>
    <w:rsid w:val="00642361"/>
    <w:rsid w:val="00670803"/>
    <w:rsid w:val="00677EA0"/>
    <w:rsid w:val="0072249D"/>
    <w:rsid w:val="0072785D"/>
    <w:rsid w:val="00760966"/>
    <w:rsid w:val="00766222"/>
    <w:rsid w:val="007B538F"/>
    <w:rsid w:val="007D4C8C"/>
    <w:rsid w:val="007E380A"/>
    <w:rsid w:val="007F54C4"/>
    <w:rsid w:val="00844A7F"/>
    <w:rsid w:val="00846CFB"/>
    <w:rsid w:val="008508F8"/>
    <w:rsid w:val="008563EC"/>
    <w:rsid w:val="00856A0D"/>
    <w:rsid w:val="0086719A"/>
    <w:rsid w:val="00871028"/>
    <w:rsid w:val="00875B2D"/>
    <w:rsid w:val="009260D5"/>
    <w:rsid w:val="00980236"/>
    <w:rsid w:val="009867B1"/>
    <w:rsid w:val="00993269"/>
    <w:rsid w:val="009B0A4C"/>
    <w:rsid w:val="009C6FA6"/>
    <w:rsid w:val="009E4C33"/>
    <w:rsid w:val="00A179EB"/>
    <w:rsid w:val="00A339BB"/>
    <w:rsid w:val="00A449B7"/>
    <w:rsid w:val="00A6732F"/>
    <w:rsid w:val="00A73451"/>
    <w:rsid w:val="00A73AB1"/>
    <w:rsid w:val="00AF2250"/>
    <w:rsid w:val="00B04F4C"/>
    <w:rsid w:val="00B108AC"/>
    <w:rsid w:val="00B268D0"/>
    <w:rsid w:val="00B62F82"/>
    <w:rsid w:val="00B64DB1"/>
    <w:rsid w:val="00BB3109"/>
    <w:rsid w:val="00BC308A"/>
    <w:rsid w:val="00BF071F"/>
    <w:rsid w:val="00C12EB0"/>
    <w:rsid w:val="00C2083E"/>
    <w:rsid w:val="00C24A64"/>
    <w:rsid w:val="00C55087"/>
    <w:rsid w:val="00C552FA"/>
    <w:rsid w:val="00C75F9E"/>
    <w:rsid w:val="00CA003C"/>
    <w:rsid w:val="00CC39B4"/>
    <w:rsid w:val="00CE1137"/>
    <w:rsid w:val="00CF4018"/>
    <w:rsid w:val="00D16F7F"/>
    <w:rsid w:val="00D64DC6"/>
    <w:rsid w:val="00D66BE5"/>
    <w:rsid w:val="00D67A8C"/>
    <w:rsid w:val="00E34443"/>
    <w:rsid w:val="00E46E4B"/>
    <w:rsid w:val="00E6083B"/>
    <w:rsid w:val="00EA14C0"/>
    <w:rsid w:val="00EA2E86"/>
    <w:rsid w:val="00EA474F"/>
    <w:rsid w:val="00EB6DF3"/>
    <w:rsid w:val="00EC4440"/>
    <w:rsid w:val="00ED2360"/>
    <w:rsid w:val="00F03181"/>
    <w:rsid w:val="00F473C4"/>
    <w:rsid w:val="00F966F0"/>
    <w:rsid w:val="00FC1AC7"/>
    <w:rsid w:val="00FC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D5"/>
  </w:style>
  <w:style w:type="paragraph" w:styleId="Heading1">
    <w:name w:val="heading 1"/>
    <w:basedOn w:val="Normal"/>
    <w:next w:val="Normal"/>
    <w:link w:val="Heading1Char"/>
    <w:uiPriority w:val="9"/>
    <w:qFormat/>
    <w:rsid w:val="009260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60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0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D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6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60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6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60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0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69"/>
  </w:style>
  <w:style w:type="paragraph" w:styleId="Footer">
    <w:name w:val="footer"/>
    <w:basedOn w:val="Normal"/>
    <w:link w:val="Foot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69"/>
  </w:style>
  <w:style w:type="character" w:styleId="Hyperlink">
    <w:name w:val="Hyperlink"/>
    <w:basedOn w:val="DefaultParagraphFont"/>
    <w:uiPriority w:val="99"/>
    <w:unhideWhenUsed/>
    <w:rsid w:val="00986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C55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jc/rfp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CF54-CEE3-4468-86C2-4282869F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dcooke</dc:creator>
  <cp:lastModifiedBy>Evelyn Gonzalez</cp:lastModifiedBy>
  <cp:revision>17</cp:revision>
  <cp:lastPrinted>2011-12-20T02:01:00Z</cp:lastPrinted>
  <dcterms:created xsi:type="dcterms:W3CDTF">2012-05-24T20:46:00Z</dcterms:created>
  <dcterms:modified xsi:type="dcterms:W3CDTF">2012-05-24T21:19:00Z</dcterms:modified>
</cp:coreProperties>
</file>