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7BB13" w14:textId="1E5F1711" w:rsidR="33B3424B" w:rsidRPr="00290749" w:rsidRDefault="33B3424B" w:rsidP="33B3424B">
      <w:pPr>
        <w:pStyle w:val="Heading1"/>
        <w:rPr>
          <w:color w:val="auto"/>
        </w:rPr>
      </w:pPr>
      <w:r w:rsidRPr="00290749">
        <w:rPr>
          <w:color w:val="auto"/>
        </w:rPr>
        <w:t>Exhibit 6: Typical JBE Assets</w:t>
      </w:r>
      <w:bookmarkStart w:id="0" w:name="_GoBack"/>
      <w:bookmarkEnd w:id="0"/>
    </w:p>
    <w:p w14:paraId="5F551DCE" w14:textId="3A04D6B6" w:rsidR="33B3424B" w:rsidRDefault="33B3424B" w:rsidP="33B3424B">
      <w:pPr>
        <w:pStyle w:val="Heading2"/>
      </w:pPr>
      <w:r w:rsidRPr="00290749">
        <w:rPr>
          <w:color w:val="auto"/>
        </w:rPr>
        <w:t xml:space="preserve">LIST OF HIGH-LEVEL TECHNICAL REQUIREMENTS AND SYSTEMS/DATA CATEGORIZED BY RECOVERY TIME </w:t>
      </w:r>
      <w:r>
        <w:br/>
      </w:r>
    </w:p>
    <w:p w14:paraId="4345B5D2" w14:textId="54C29E1A" w:rsidR="33B3424B" w:rsidRPr="001D682C" w:rsidRDefault="33B3424B" w:rsidP="33B3424B">
      <w:pPr>
        <w:rPr>
          <w:rFonts w:cstheme="minorHAnsi"/>
        </w:rPr>
      </w:pPr>
      <w:r w:rsidRPr="001D682C">
        <w:rPr>
          <w:rFonts w:eastAsia="Times New Roman" w:cstheme="minorHAnsi"/>
          <w:b/>
          <w:bCs/>
          <w:color w:val="000000" w:themeColor="text1"/>
          <w:sz w:val="24"/>
          <w:szCs w:val="24"/>
        </w:rPr>
        <w:t>HIGH-LEVEL TECHNICAL REQUIREMENTS</w:t>
      </w:r>
      <w:r w:rsidRPr="001D682C">
        <w:rPr>
          <w:rFonts w:eastAsia="Times New Roman" w:cstheme="minorHAnsi"/>
          <w:color w:val="000000" w:themeColor="text1"/>
          <w:sz w:val="24"/>
          <w:szCs w:val="24"/>
        </w:rPr>
        <w:t xml:space="preserve"> </w:t>
      </w:r>
    </w:p>
    <w:p w14:paraId="79923319" w14:textId="2E6E102B"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TTR of 12 hours maximum</w:t>
      </w:r>
    </w:p>
    <w:p w14:paraId="2A684761" w14:textId="4C7604AF"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Infrastructure (network, Active Directory (AD), Domain Name System (DNS), Dynamic Host Configuration Protocol (DHCP))</w:t>
      </w:r>
    </w:p>
    <w:p w14:paraId="0772F6FB" w14:textId="561268D1"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Shared/combined storage (SAN, etc.)</w:t>
      </w:r>
    </w:p>
    <w:p w14:paraId="7EF6EF23" w14:textId="46F8F2C1"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Virtual hypervisor/platform</w:t>
      </w:r>
    </w:p>
    <w:p w14:paraId="102FA6E8" w14:textId="03E0730D"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Backup solution/platform</w:t>
      </w:r>
    </w:p>
    <w:p w14:paraId="68E5B60D" w14:textId="56F029C6"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Wi-Fi</w:t>
      </w:r>
    </w:p>
    <w:p w14:paraId="0C8682FD" w14:textId="1734CC47"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Load balancers</w:t>
      </w:r>
    </w:p>
    <w:p w14:paraId="24FD95FA" w14:textId="2497A166" w:rsidR="33B3424B" w:rsidRPr="001D682C" w:rsidRDefault="33B3424B" w:rsidP="33B3424B">
      <w:pPr>
        <w:pStyle w:val="ListParagraph"/>
        <w:numPr>
          <w:ilvl w:val="0"/>
          <w:numId w:val="3"/>
        </w:numPr>
        <w:rPr>
          <w:rFonts w:cstheme="minorHAnsi"/>
          <w:color w:val="000000" w:themeColor="text1"/>
          <w:sz w:val="24"/>
          <w:szCs w:val="24"/>
        </w:rPr>
      </w:pPr>
      <w:r w:rsidRPr="001D682C">
        <w:rPr>
          <w:rFonts w:eastAsia="Times New Roman" w:cstheme="minorHAnsi"/>
          <w:color w:val="000000" w:themeColor="text1"/>
          <w:sz w:val="24"/>
          <w:szCs w:val="24"/>
        </w:rPr>
        <w:t>Reverse proxy</w:t>
      </w:r>
    </w:p>
    <w:p w14:paraId="7335714D" w14:textId="26BFE900" w:rsidR="33B3424B" w:rsidRPr="001D682C" w:rsidRDefault="33B3424B" w:rsidP="33B3424B">
      <w:pPr>
        <w:rPr>
          <w:rFonts w:cstheme="minorHAnsi"/>
        </w:rPr>
      </w:pPr>
      <w:r w:rsidRPr="001D682C">
        <w:rPr>
          <w:rFonts w:eastAsia="Times New Roman" w:cstheme="minorHAnsi"/>
          <w:b/>
          <w:bCs/>
          <w:color w:val="000000" w:themeColor="text1"/>
          <w:sz w:val="24"/>
          <w:szCs w:val="24"/>
        </w:rPr>
        <w:t>BUSINESS RECOVERY REQUIREMENTS (EXAMPLES OF SYSTEMS AND SERVICES)</w:t>
      </w:r>
      <w:r w:rsidRPr="001D682C">
        <w:rPr>
          <w:rFonts w:eastAsia="Times New Roman" w:cstheme="minorHAnsi"/>
          <w:color w:val="000000" w:themeColor="text1"/>
          <w:sz w:val="24"/>
          <w:szCs w:val="24"/>
        </w:rPr>
        <w:t xml:space="preserve"> </w:t>
      </w:r>
    </w:p>
    <w:p w14:paraId="0034EDF4" w14:textId="548C76DA" w:rsidR="33B3424B" w:rsidRPr="001D682C" w:rsidRDefault="33B3424B" w:rsidP="33B3424B">
      <w:pPr>
        <w:rPr>
          <w:rFonts w:cstheme="minorHAnsi"/>
        </w:rPr>
      </w:pPr>
      <w:r w:rsidRPr="001D682C">
        <w:rPr>
          <w:rFonts w:eastAsia="Times New Roman" w:cstheme="minorHAnsi"/>
          <w:color w:val="000000" w:themeColor="text1"/>
          <w:sz w:val="24"/>
          <w:szCs w:val="24"/>
        </w:rPr>
        <w:t xml:space="preserve">The tiers below align with the judicial branch Next Generation Hosting Strategy Workstream’s output, except in ways that clearly delineate how approaches to disaster recovery differ from hosting and uptime, given that all are interrelated and depend on one another for the reliability and protection of data. </w:t>
      </w:r>
    </w:p>
    <w:p w14:paraId="749AD415" w14:textId="79F1F0E3" w:rsidR="33B3424B" w:rsidRPr="001D682C" w:rsidRDefault="33B3424B" w:rsidP="33B3424B">
      <w:pPr>
        <w:pStyle w:val="ListParagraph"/>
        <w:numPr>
          <w:ilvl w:val="0"/>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TIER 1—HIGH priority; TTR (not considering disclaimers) of 12 to 48 hours maximum; and systems and services as follows: </w:t>
      </w:r>
    </w:p>
    <w:p w14:paraId="6622D33C" w14:textId="0E33F0C5"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VoIP</w:t>
      </w:r>
    </w:p>
    <w:p w14:paraId="66643FD5" w14:textId="1631430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Case Management Systems (CMS)</w:t>
      </w:r>
    </w:p>
    <w:p w14:paraId="42C38F0C" w14:textId="10AFFCDC"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Document Management Systems (DMS)</w:t>
      </w:r>
    </w:p>
    <w:p w14:paraId="24FB4434" w14:textId="653BA83E"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File servers (holding judicial, executive, human resources, finance, and IT data and documentation)</w:t>
      </w:r>
    </w:p>
    <w:p w14:paraId="10ABB44A" w14:textId="1415A05A"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E-mail (systems dependent on e-mail, such as alert and public communication systems), Microsoft Office 365, and others</w:t>
      </w:r>
    </w:p>
    <w:p w14:paraId="2779D883" w14:textId="42221A9B"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Public website (hosted on-premises or offsite); important for a mechanism to broadcast information to the public and for the public to send or input data to the court; the portal at each court</w:t>
      </w:r>
    </w:p>
    <w:p w14:paraId="21AEFF72" w14:textId="1A3B72F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Electronic reporting, docket, and minutes</w:t>
      </w:r>
    </w:p>
    <w:p w14:paraId="26A6BC1A" w14:textId="0A04435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Jury management system (JMS)</w:t>
      </w:r>
    </w:p>
    <w:p w14:paraId="2A89E3A6" w14:textId="4FF3A9E4"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Virtual private network (VPN)</w:t>
      </w:r>
    </w:p>
    <w:p w14:paraId="5B6E76E0" w14:textId="6B32E3B6"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Electronic Probable Cause Declaration (ePCD)</w:t>
      </w:r>
    </w:p>
    <w:p w14:paraId="3A8CD04A" w14:textId="591BEB4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Electronic Search Warrants (eWarrant)</w:t>
      </w:r>
    </w:p>
    <w:p w14:paraId="3DB184B1" w14:textId="09A231DB"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lastRenderedPageBreak/>
        <w:t>Interfaces (interagency; some e-filing)</w:t>
      </w:r>
    </w:p>
    <w:p w14:paraId="63F88B4A" w14:textId="4CA3143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Building access control (e.g., Identiv, Schneider Electric)</w:t>
      </w:r>
    </w:p>
    <w:p w14:paraId="2D84673C" w14:textId="76517BE7"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Finance systems on-premises </w:t>
      </w:r>
    </w:p>
    <w:p w14:paraId="638E3E2A" w14:textId="1B53F915"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Human resources systems on-premises, time card systems, Phoenix/SAP </w:t>
      </w:r>
    </w:p>
    <w:p w14:paraId="69978E16" w14:textId="5E34712E"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Jury instructions </w:t>
      </w:r>
    </w:p>
    <w:p w14:paraId="4E4C146E" w14:textId="614C46C5" w:rsidR="33B3424B" w:rsidRPr="001D682C" w:rsidRDefault="33B3424B" w:rsidP="33B3424B">
      <w:pPr>
        <w:pStyle w:val="ListParagraph"/>
        <w:numPr>
          <w:ilvl w:val="0"/>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TIER 2—MODERATE priority; TTR (not considering disclaimers) of 48 to 72 hours maximum; and systems and services as follows: </w:t>
      </w:r>
    </w:p>
    <w:p w14:paraId="1A4D319A" w14:textId="21EEC937"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Intranets </w:t>
      </w:r>
    </w:p>
    <w:p w14:paraId="6A6CE3C1" w14:textId="0BCD4AA2"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File servers (holding less- or moderately important data) </w:t>
      </w:r>
    </w:p>
    <w:p w14:paraId="4379590C" w14:textId="503939DE"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Print servers</w:t>
      </w:r>
    </w:p>
    <w:p w14:paraId="02B0814B" w14:textId="1F3CD8DD"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Building automation system</w:t>
      </w:r>
    </w:p>
    <w:p w14:paraId="58912B6A" w14:textId="65AC2212"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California Courts Protective Order Registry</w:t>
      </w:r>
    </w:p>
    <w:p w14:paraId="60F9DC86" w14:textId="416DB56B"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CLETS</w:t>
      </w:r>
    </w:p>
    <w:p w14:paraId="11DBE84D" w14:textId="4F1486B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Department of Motor Vehicles access, controls or interface </w:t>
      </w:r>
    </w:p>
    <w:p w14:paraId="3EECD4AD" w14:textId="74976528"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Other interfaces: various justice partners (e.g., Franchise Tax Board, Department of Justice, district attorney, police department, California Highway Patrol, sheriff, etc.) </w:t>
      </w:r>
    </w:p>
    <w:p w14:paraId="6D600C33" w14:textId="172D59F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Site control (elevator controls, door controls, etc.)</w:t>
      </w:r>
    </w:p>
    <w:p w14:paraId="59FEC46B" w14:textId="5694059D"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Electronic transcript assembly tools/software</w:t>
      </w:r>
    </w:p>
    <w:p w14:paraId="6AD56DB4" w14:textId="22C3EE0A"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Interactive voice response (traffic, jury, etc.) </w:t>
      </w:r>
    </w:p>
    <w:p w14:paraId="459E99D7" w14:textId="7E77C99B"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Electronic signing product/solution</w:t>
      </w:r>
    </w:p>
    <w:p w14:paraId="71264DEF" w14:textId="3C64642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Middleware </w:t>
      </w:r>
    </w:p>
    <w:p w14:paraId="3DC87E31" w14:textId="273C1855"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Reporting systems (not built into CMS, but standalone) </w:t>
      </w:r>
    </w:p>
    <w:p w14:paraId="4B5A7C80" w14:textId="06821688" w:rsidR="33B3424B" w:rsidRPr="001D682C" w:rsidRDefault="33B3424B" w:rsidP="33B3424B">
      <w:pPr>
        <w:pStyle w:val="ListParagraph"/>
        <w:numPr>
          <w:ilvl w:val="0"/>
          <w:numId w:val="2"/>
        </w:numPr>
        <w:rPr>
          <w:rFonts w:cstheme="minorHAnsi"/>
          <w:color w:val="000000" w:themeColor="text1"/>
          <w:sz w:val="24"/>
          <w:szCs w:val="24"/>
        </w:rPr>
      </w:pPr>
      <w:r w:rsidRPr="001D682C">
        <w:rPr>
          <w:rFonts w:eastAsia="Times New Roman" w:cstheme="minorHAnsi"/>
          <w:color w:val="000000" w:themeColor="text1"/>
          <w:sz w:val="24"/>
          <w:szCs w:val="24"/>
        </w:rPr>
        <w:t xml:space="preserve">TIER 3—LOW priority; TTR (not considering disclaimers) of 168 hours maximum; and systems and services as follows: </w:t>
      </w:r>
    </w:p>
    <w:p w14:paraId="3A82065F" w14:textId="11CE2325"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IT tools and unique IT management systems (e.g., help desk, logging, controls, and network/system/application monitoring)</w:t>
      </w:r>
    </w:p>
    <w:p w14:paraId="69451EFB" w14:textId="772F2310"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Video surveillance</w:t>
      </w:r>
    </w:p>
    <w:p w14:paraId="56BBECF2" w14:textId="0C256C91"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Meeting systems (WebEx, Skype, etc.)</w:t>
      </w:r>
    </w:p>
    <w:p w14:paraId="4B129B53" w14:textId="1F831D3E"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Digital signage</w:t>
      </w:r>
    </w:p>
    <w:p w14:paraId="0907AC11" w14:textId="3FC5BDB7"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Queuing systems</w:t>
      </w:r>
    </w:p>
    <w:p w14:paraId="3BE4A069" w14:textId="1EC92EE4" w:rsidR="33B3424B" w:rsidRPr="001D682C" w:rsidRDefault="33B3424B" w:rsidP="33B3424B">
      <w:pPr>
        <w:pStyle w:val="ListParagraph"/>
        <w:numPr>
          <w:ilvl w:val="1"/>
          <w:numId w:val="2"/>
        </w:numPr>
        <w:rPr>
          <w:rFonts w:cstheme="minorHAnsi"/>
          <w:color w:val="000000" w:themeColor="text1"/>
          <w:sz w:val="24"/>
          <w:szCs w:val="24"/>
        </w:rPr>
      </w:pPr>
      <w:r w:rsidRPr="001D682C">
        <w:rPr>
          <w:rFonts w:eastAsia="Times New Roman" w:cstheme="minorHAnsi"/>
          <w:color w:val="000000" w:themeColor="text1"/>
          <w:sz w:val="24"/>
          <w:szCs w:val="24"/>
        </w:rPr>
        <w:t>Mobile device management</w:t>
      </w:r>
    </w:p>
    <w:p w14:paraId="6B6C7ECC" w14:textId="394CEC9A" w:rsidR="33B3424B" w:rsidRDefault="33B3424B" w:rsidP="33B3424B"/>
    <w:sectPr w:rsidR="33B3424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F3DBE" w14:textId="77777777" w:rsidR="00807F51" w:rsidRDefault="00807F51" w:rsidP="00364064">
      <w:pPr>
        <w:spacing w:after="0" w:line="240" w:lineRule="auto"/>
      </w:pPr>
      <w:r>
        <w:separator/>
      </w:r>
    </w:p>
  </w:endnote>
  <w:endnote w:type="continuationSeparator" w:id="0">
    <w:p w14:paraId="09375FED" w14:textId="77777777" w:rsidR="00807F51" w:rsidRDefault="00807F51" w:rsidP="0036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220747"/>
      <w:docPartObj>
        <w:docPartGallery w:val="Page Numbers (Bottom of Page)"/>
        <w:docPartUnique/>
      </w:docPartObj>
    </w:sdtPr>
    <w:sdtEndPr>
      <w:rPr>
        <w:noProof/>
      </w:rPr>
    </w:sdtEndPr>
    <w:sdtContent>
      <w:p w14:paraId="6FB0442B" w14:textId="4F5666E2" w:rsidR="007544EB" w:rsidRDefault="007544EB">
        <w:pPr>
          <w:pStyle w:val="Footer"/>
          <w:jc w:val="center"/>
        </w:pPr>
        <w:r>
          <w:fldChar w:fldCharType="begin"/>
        </w:r>
        <w:r>
          <w:instrText xml:space="preserve"> PAGE   \* MERGEFORMAT </w:instrText>
        </w:r>
        <w:r>
          <w:fldChar w:fldCharType="separate"/>
        </w:r>
        <w:r w:rsidR="00807F51">
          <w:rPr>
            <w:noProof/>
          </w:rPr>
          <w:t>1</w:t>
        </w:r>
        <w:r>
          <w:rPr>
            <w:noProof/>
          </w:rPr>
          <w:fldChar w:fldCharType="end"/>
        </w:r>
        <w:r>
          <w:rPr>
            <w:noProof/>
          </w:rPr>
          <w:t xml:space="preserve"> of 2</w:t>
        </w:r>
      </w:p>
    </w:sdtContent>
  </w:sdt>
  <w:p w14:paraId="01E884C9" w14:textId="77777777" w:rsidR="00364064" w:rsidRDefault="00364064" w:rsidP="007544E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1854" w14:textId="77777777" w:rsidR="00807F51" w:rsidRDefault="00807F51" w:rsidP="00364064">
      <w:pPr>
        <w:spacing w:after="0" w:line="240" w:lineRule="auto"/>
      </w:pPr>
      <w:r>
        <w:separator/>
      </w:r>
    </w:p>
  </w:footnote>
  <w:footnote w:type="continuationSeparator" w:id="0">
    <w:p w14:paraId="16C290E8" w14:textId="77777777" w:rsidR="00807F51" w:rsidRDefault="00807F51" w:rsidP="0036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026794"/>
      <w:docPartObj>
        <w:docPartGallery w:val="Page Numbers (Top of Page)"/>
        <w:docPartUnique/>
      </w:docPartObj>
    </w:sdtPr>
    <w:sdtEndPr>
      <w:rPr>
        <w:noProof/>
      </w:rPr>
    </w:sdtEndPr>
    <w:sdtContent>
      <w:p w14:paraId="5302EAF7" w14:textId="77777777" w:rsidR="007544EB" w:rsidRDefault="007544EB" w:rsidP="007544EB">
        <w:pPr>
          <w:pStyle w:val="Header"/>
        </w:pPr>
        <w:r>
          <w:t>RFP Title: Cloud Based Disaster Recovery Services</w:t>
        </w:r>
      </w:p>
      <w:p w14:paraId="563BFE66" w14:textId="5D062A30" w:rsidR="00290749" w:rsidRDefault="007544EB" w:rsidP="007544EB">
        <w:pPr>
          <w:pStyle w:val="Header"/>
        </w:pPr>
        <w:r>
          <w:t>RFP Number:  TCAS-2018-01-BH</w:t>
        </w:r>
      </w:p>
    </w:sdtContent>
  </w:sdt>
  <w:p w14:paraId="448BA38B" w14:textId="77777777" w:rsidR="00290749" w:rsidRDefault="00290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62A"/>
    <w:multiLevelType w:val="hybridMultilevel"/>
    <w:tmpl w:val="F5CE921E"/>
    <w:lvl w:ilvl="0" w:tplc="369A3300">
      <w:start w:val="1"/>
      <w:numFmt w:val="bullet"/>
      <w:lvlText w:val=""/>
      <w:lvlJc w:val="left"/>
      <w:pPr>
        <w:ind w:left="720" w:hanging="360"/>
      </w:pPr>
      <w:rPr>
        <w:rFonts w:ascii="Symbol" w:hAnsi="Symbol" w:hint="default"/>
      </w:rPr>
    </w:lvl>
    <w:lvl w:ilvl="1" w:tplc="03401AE0">
      <w:start w:val="1"/>
      <w:numFmt w:val="bullet"/>
      <w:lvlText w:val="o"/>
      <w:lvlJc w:val="left"/>
      <w:pPr>
        <w:ind w:left="1440" w:hanging="360"/>
      </w:pPr>
      <w:rPr>
        <w:rFonts w:ascii="Courier New" w:hAnsi="Courier New" w:hint="default"/>
      </w:rPr>
    </w:lvl>
    <w:lvl w:ilvl="2" w:tplc="6D3401C8">
      <w:start w:val="1"/>
      <w:numFmt w:val="bullet"/>
      <w:lvlText w:val=""/>
      <w:lvlJc w:val="left"/>
      <w:pPr>
        <w:ind w:left="2160" w:hanging="360"/>
      </w:pPr>
      <w:rPr>
        <w:rFonts w:ascii="Wingdings" w:hAnsi="Wingdings" w:hint="default"/>
      </w:rPr>
    </w:lvl>
    <w:lvl w:ilvl="3" w:tplc="9F8C413A">
      <w:start w:val="1"/>
      <w:numFmt w:val="bullet"/>
      <w:lvlText w:val=""/>
      <w:lvlJc w:val="left"/>
      <w:pPr>
        <w:ind w:left="2880" w:hanging="360"/>
      </w:pPr>
      <w:rPr>
        <w:rFonts w:ascii="Symbol" w:hAnsi="Symbol" w:hint="default"/>
      </w:rPr>
    </w:lvl>
    <w:lvl w:ilvl="4" w:tplc="D4FE96C4">
      <w:start w:val="1"/>
      <w:numFmt w:val="bullet"/>
      <w:lvlText w:val="o"/>
      <w:lvlJc w:val="left"/>
      <w:pPr>
        <w:ind w:left="3600" w:hanging="360"/>
      </w:pPr>
      <w:rPr>
        <w:rFonts w:ascii="Courier New" w:hAnsi="Courier New" w:hint="default"/>
      </w:rPr>
    </w:lvl>
    <w:lvl w:ilvl="5" w:tplc="711CC94E">
      <w:start w:val="1"/>
      <w:numFmt w:val="bullet"/>
      <w:lvlText w:val=""/>
      <w:lvlJc w:val="left"/>
      <w:pPr>
        <w:ind w:left="4320" w:hanging="360"/>
      </w:pPr>
      <w:rPr>
        <w:rFonts w:ascii="Wingdings" w:hAnsi="Wingdings" w:hint="default"/>
      </w:rPr>
    </w:lvl>
    <w:lvl w:ilvl="6" w:tplc="473E8E22">
      <w:start w:val="1"/>
      <w:numFmt w:val="bullet"/>
      <w:lvlText w:val=""/>
      <w:lvlJc w:val="left"/>
      <w:pPr>
        <w:ind w:left="5040" w:hanging="360"/>
      </w:pPr>
      <w:rPr>
        <w:rFonts w:ascii="Symbol" w:hAnsi="Symbol" w:hint="default"/>
      </w:rPr>
    </w:lvl>
    <w:lvl w:ilvl="7" w:tplc="402EA98A">
      <w:start w:val="1"/>
      <w:numFmt w:val="bullet"/>
      <w:lvlText w:val="o"/>
      <w:lvlJc w:val="left"/>
      <w:pPr>
        <w:ind w:left="5760" w:hanging="360"/>
      </w:pPr>
      <w:rPr>
        <w:rFonts w:ascii="Courier New" w:hAnsi="Courier New" w:hint="default"/>
      </w:rPr>
    </w:lvl>
    <w:lvl w:ilvl="8" w:tplc="90A45544">
      <w:start w:val="1"/>
      <w:numFmt w:val="bullet"/>
      <w:lvlText w:val=""/>
      <w:lvlJc w:val="left"/>
      <w:pPr>
        <w:ind w:left="6480" w:hanging="360"/>
      </w:pPr>
      <w:rPr>
        <w:rFonts w:ascii="Wingdings" w:hAnsi="Wingdings" w:hint="default"/>
      </w:rPr>
    </w:lvl>
  </w:abstractNum>
  <w:abstractNum w:abstractNumId="1" w15:restartNumberingAfterBreak="0">
    <w:nsid w:val="452275D8"/>
    <w:multiLevelType w:val="hybridMultilevel"/>
    <w:tmpl w:val="66D8F940"/>
    <w:lvl w:ilvl="0" w:tplc="C5E450BA">
      <w:start w:val="1"/>
      <w:numFmt w:val="bullet"/>
      <w:lvlText w:val=""/>
      <w:lvlJc w:val="left"/>
      <w:pPr>
        <w:ind w:left="720" w:hanging="360"/>
      </w:pPr>
      <w:rPr>
        <w:rFonts w:ascii="Symbol" w:hAnsi="Symbol" w:hint="default"/>
      </w:rPr>
    </w:lvl>
    <w:lvl w:ilvl="1" w:tplc="7422A210">
      <w:start w:val="1"/>
      <w:numFmt w:val="bullet"/>
      <w:lvlText w:val="o"/>
      <w:lvlJc w:val="left"/>
      <w:pPr>
        <w:ind w:left="1440" w:hanging="360"/>
      </w:pPr>
      <w:rPr>
        <w:rFonts w:ascii="Courier New" w:hAnsi="Courier New" w:hint="default"/>
      </w:rPr>
    </w:lvl>
    <w:lvl w:ilvl="2" w:tplc="C24ECE0C">
      <w:start w:val="1"/>
      <w:numFmt w:val="bullet"/>
      <w:lvlText w:val=""/>
      <w:lvlJc w:val="left"/>
      <w:pPr>
        <w:ind w:left="2160" w:hanging="360"/>
      </w:pPr>
      <w:rPr>
        <w:rFonts w:ascii="Wingdings" w:hAnsi="Wingdings" w:hint="default"/>
      </w:rPr>
    </w:lvl>
    <w:lvl w:ilvl="3" w:tplc="5DF014AA">
      <w:start w:val="1"/>
      <w:numFmt w:val="bullet"/>
      <w:lvlText w:val=""/>
      <w:lvlJc w:val="left"/>
      <w:pPr>
        <w:ind w:left="2880" w:hanging="360"/>
      </w:pPr>
      <w:rPr>
        <w:rFonts w:ascii="Symbol" w:hAnsi="Symbol" w:hint="default"/>
      </w:rPr>
    </w:lvl>
    <w:lvl w:ilvl="4" w:tplc="146E1960">
      <w:start w:val="1"/>
      <w:numFmt w:val="bullet"/>
      <w:lvlText w:val="o"/>
      <w:lvlJc w:val="left"/>
      <w:pPr>
        <w:ind w:left="3600" w:hanging="360"/>
      </w:pPr>
      <w:rPr>
        <w:rFonts w:ascii="Courier New" w:hAnsi="Courier New" w:hint="default"/>
      </w:rPr>
    </w:lvl>
    <w:lvl w:ilvl="5" w:tplc="FC248F2C">
      <w:start w:val="1"/>
      <w:numFmt w:val="bullet"/>
      <w:lvlText w:val=""/>
      <w:lvlJc w:val="left"/>
      <w:pPr>
        <w:ind w:left="4320" w:hanging="360"/>
      </w:pPr>
      <w:rPr>
        <w:rFonts w:ascii="Wingdings" w:hAnsi="Wingdings" w:hint="default"/>
      </w:rPr>
    </w:lvl>
    <w:lvl w:ilvl="6" w:tplc="25FED3B8">
      <w:start w:val="1"/>
      <w:numFmt w:val="bullet"/>
      <w:lvlText w:val=""/>
      <w:lvlJc w:val="left"/>
      <w:pPr>
        <w:ind w:left="5040" w:hanging="360"/>
      </w:pPr>
      <w:rPr>
        <w:rFonts w:ascii="Symbol" w:hAnsi="Symbol" w:hint="default"/>
      </w:rPr>
    </w:lvl>
    <w:lvl w:ilvl="7" w:tplc="D158BD60">
      <w:start w:val="1"/>
      <w:numFmt w:val="bullet"/>
      <w:lvlText w:val="o"/>
      <w:lvlJc w:val="left"/>
      <w:pPr>
        <w:ind w:left="5760" w:hanging="360"/>
      </w:pPr>
      <w:rPr>
        <w:rFonts w:ascii="Courier New" w:hAnsi="Courier New" w:hint="default"/>
      </w:rPr>
    </w:lvl>
    <w:lvl w:ilvl="8" w:tplc="A0EE725E">
      <w:start w:val="1"/>
      <w:numFmt w:val="bullet"/>
      <w:lvlText w:val=""/>
      <w:lvlJc w:val="left"/>
      <w:pPr>
        <w:ind w:left="6480" w:hanging="360"/>
      </w:pPr>
      <w:rPr>
        <w:rFonts w:ascii="Wingdings" w:hAnsi="Wingdings" w:hint="default"/>
      </w:rPr>
    </w:lvl>
  </w:abstractNum>
  <w:abstractNum w:abstractNumId="2" w15:restartNumberingAfterBreak="0">
    <w:nsid w:val="76B315F6"/>
    <w:multiLevelType w:val="hybridMultilevel"/>
    <w:tmpl w:val="71C409AA"/>
    <w:lvl w:ilvl="0" w:tplc="398E47BE">
      <w:start w:val="1"/>
      <w:numFmt w:val="bullet"/>
      <w:lvlText w:val=""/>
      <w:lvlJc w:val="left"/>
      <w:pPr>
        <w:ind w:left="720" w:hanging="360"/>
      </w:pPr>
      <w:rPr>
        <w:rFonts w:ascii="Symbol" w:hAnsi="Symbol" w:hint="default"/>
      </w:rPr>
    </w:lvl>
    <w:lvl w:ilvl="1" w:tplc="B0C607D2">
      <w:start w:val="1"/>
      <w:numFmt w:val="bullet"/>
      <w:lvlText w:val="o"/>
      <w:lvlJc w:val="left"/>
      <w:pPr>
        <w:ind w:left="1440" w:hanging="360"/>
      </w:pPr>
      <w:rPr>
        <w:rFonts w:ascii="Courier New" w:hAnsi="Courier New" w:hint="default"/>
      </w:rPr>
    </w:lvl>
    <w:lvl w:ilvl="2" w:tplc="3E6C1CF6">
      <w:start w:val="1"/>
      <w:numFmt w:val="bullet"/>
      <w:lvlText w:val=""/>
      <w:lvlJc w:val="left"/>
      <w:pPr>
        <w:ind w:left="2160" w:hanging="360"/>
      </w:pPr>
      <w:rPr>
        <w:rFonts w:ascii="Wingdings" w:hAnsi="Wingdings" w:hint="default"/>
      </w:rPr>
    </w:lvl>
    <w:lvl w:ilvl="3" w:tplc="75969158">
      <w:start w:val="1"/>
      <w:numFmt w:val="bullet"/>
      <w:lvlText w:val=""/>
      <w:lvlJc w:val="left"/>
      <w:pPr>
        <w:ind w:left="2880" w:hanging="360"/>
      </w:pPr>
      <w:rPr>
        <w:rFonts w:ascii="Symbol" w:hAnsi="Symbol" w:hint="default"/>
      </w:rPr>
    </w:lvl>
    <w:lvl w:ilvl="4" w:tplc="5EF697FA">
      <w:start w:val="1"/>
      <w:numFmt w:val="bullet"/>
      <w:lvlText w:val="o"/>
      <w:lvlJc w:val="left"/>
      <w:pPr>
        <w:ind w:left="3600" w:hanging="360"/>
      </w:pPr>
      <w:rPr>
        <w:rFonts w:ascii="Courier New" w:hAnsi="Courier New" w:hint="default"/>
      </w:rPr>
    </w:lvl>
    <w:lvl w:ilvl="5" w:tplc="F4B8ED70">
      <w:start w:val="1"/>
      <w:numFmt w:val="bullet"/>
      <w:lvlText w:val=""/>
      <w:lvlJc w:val="left"/>
      <w:pPr>
        <w:ind w:left="4320" w:hanging="360"/>
      </w:pPr>
      <w:rPr>
        <w:rFonts w:ascii="Wingdings" w:hAnsi="Wingdings" w:hint="default"/>
      </w:rPr>
    </w:lvl>
    <w:lvl w:ilvl="6" w:tplc="8BBE8908">
      <w:start w:val="1"/>
      <w:numFmt w:val="bullet"/>
      <w:lvlText w:val=""/>
      <w:lvlJc w:val="left"/>
      <w:pPr>
        <w:ind w:left="5040" w:hanging="360"/>
      </w:pPr>
      <w:rPr>
        <w:rFonts w:ascii="Symbol" w:hAnsi="Symbol" w:hint="default"/>
      </w:rPr>
    </w:lvl>
    <w:lvl w:ilvl="7" w:tplc="6EE22E68">
      <w:start w:val="1"/>
      <w:numFmt w:val="bullet"/>
      <w:lvlText w:val="o"/>
      <w:lvlJc w:val="left"/>
      <w:pPr>
        <w:ind w:left="5760" w:hanging="360"/>
      </w:pPr>
      <w:rPr>
        <w:rFonts w:ascii="Courier New" w:hAnsi="Courier New" w:hint="default"/>
      </w:rPr>
    </w:lvl>
    <w:lvl w:ilvl="8" w:tplc="BC0ED7F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B3424B"/>
    <w:rsid w:val="001D682C"/>
    <w:rsid w:val="00290749"/>
    <w:rsid w:val="00364064"/>
    <w:rsid w:val="007544EB"/>
    <w:rsid w:val="00807F51"/>
    <w:rsid w:val="00FD58B5"/>
    <w:rsid w:val="33B3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0D9C"/>
  <w15:docId w15:val="{7349A375-8FF3-4D8A-9B37-72D71514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640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4064"/>
  </w:style>
  <w:style w:type="paragraph" w:styleId="Footer">
    <w:name w:val="footer"/>
    <w:basedOn w:val="Normal"/>
    <w:link w:val="FooterChar"/>
    <w:uiPriority w:val="99"/>
    <w:unhideWhenUsed/>
    <w:rsid w:val="003640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4064"/>
  </w:style>
  <w:style w:type="paragraph" w:customStyle="1" w:styleId="JCCReportCoverSubhead">
    <w:name w:val="JCC Report Cover Subhead"/>
    <w:basedOn w:val="Normal"/>
    <w:rsid w:val="00364064"/>
    <w:pPr>
      <w:spacing w:after="0" w:line="400" w:lineRule="atLeast"/>
      <w:jc w:val="both"/>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CEFC-B699-4C80-886E-52C68EAC9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9F4FF-B88B-48D5-BC31-33B084F6AADB}">
  <ds:schemaRefs>
    <ds:schemaRef ds:uri="http://schemas.microsoft.com/sharepoint/v3/contenttype/forms"/>
  </ds:schemaRefs>
</ds:datastoreItem>
</file>

<file path=customXml/itemProps3.xml><?xml version="1.0" encoding="utf-8"?>
<ds:datastoreItem xmlns:ds="http://schemas.openxmlformats.org/officeDocument/2006/customXml" ds:itemID="{25C11A7F-7D15-481D-AF0F-5B6442541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18FABB-2D8E-40E9-8FE3-119C8872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DeNoyer</dc:creator>
  <cp:keywords/>
  <dc:description/>
  <cp:lastModifiedBy>Hardin, Bill</cp:lastModifiedBy>
  <cp:revision>2</cp:revision>
  <dcterms:created xsi:type="dcterms:W3CDTF">2018-01-19T18:48:00Z</dcterms:created>
  <dcterms:modified xsi:type="dcterms:W3CDTF">2018-01-19T18:48:00Z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ies>
</file>