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E66AC" w14:textId="43A5A4A8" w:rsidR="00EC6978" w:rsidRPr="00FA697F" w:rsidRDefault="00DF5051" w:rsidP="00DF5051">
      <w:pPr>
        <w:pStyle w:val="Heading1"/>
        <w:jc w:val="center"/>
        <w:rPr>
          <w:rFonts w:asciiTheme="minorHAnsi" w:eastAsia="Times New Roman" w:hAnsiTheme="minorHAnsi" w:cstheme="minorHAnsi"/>
          <w:sz w:val="24"/>
          <w:szCs w:val="24"/>
          <w:u w:val="single"/>
        </w:rPr>
      </w:pPr>
      <w:r w:rsidRPr="00FA697F">
        <w:rPr>
          <w:rFonts w:asciiTheme="minorHAnsi" w:eastAsia="Times New Roman" w:hAnsiTheme="minorHAnsi" w:cstheme="minorHAnsi"/>
          <w:sz w:val="24"/>
          <w:szCs w:val="24"/>
          <w:u w:val="single"/>
        </w:rPr>
        <w:t xml:space="preserve">ATTACHMENT C </w:t>
      </w:r>
    </w:p>
    <w:p w14:paraId="2BD91E5C" w14:textId="1D049B98" w:rsidR="00DF5051" w:rsidRPr="00FA697F" w:rsidRDefault="00DF5051" w:rsidP="00764006">
      <w:pPr>
        <w:pStyle w:val="Heading1"/>
        <w:jc w:val="center"/>
        <w:rPr>
          <w:rFonts w:asciiTheme="minorHAnsi" w:eastAsia="Times New Roman" w:hAnsiTheme="minorHAnsi" w:cstheme="minorHAnsi"/>
          <w:sz w:val="24"/>
          <w:szCs w:val="24"/>
          <w:u w:val="single"/>
        </w:rPr>
      </w:pPr>
      <w:r w:rsidRPr="00FA697F">
        <w:rPr>
          <w:rFonts w:asciiTheme="minorHAnsi" w:eastAsia="Times New Roman" w:hAnsiTheme="minorHAnsi" w:cstheme="minorHAnsi"/>
          <w:sz w:val="24"/>
          <w:szCs w:val="24"/>
          <w:u w:val="single"/>
        </w:rPr>
        <w:t>PROPOSED PRICE QUOTATION FORM</w:t>
      </w:r>
    </w:p>
    <w:p w14:paraId="54D1EA70" w14:textId="77777777" w:rsidR="00682B2D" w:rsidRPr="00FA697F" w:rsidRDefault="00682B2D" w:rsidP="00682B2D">
      <w:pPr>
        <w:rPr>
          <w:rFonts w:cstheme="minorHAnsi"/>
        </w:rPr>
      </w:pPr>
    </w:p>
    <w:p w14:paraId="549148CF" w14:textId="1B25DDF0" w:rsidR="00395501" w:rsidRPr="00FA697F" w:rsidRDefault="008D070F" w:rsidP="008D070F">
      <w:pPr>
        <w:spacing w:line="285" w:lineRule="atLeast"/>
        <w:ind w:left="540" w:hanging="540"/>
        <w:jc w:val="both"/>
        <w:rPr>
          <w:rFonts w:eastAsia="Times New Roman" w:cstheme="minorHAnsi"/>
          <w:color w:val="000000"/>
        </w:rPr>
      </w:pPr>
      <w:r w:rsidRPr="005B6E76">
        <w:rPr>
          <w:rFonts w:eastAsia="Times New Roman" w:cstheme="minorHAnsi"/>
          <w:b/>
          <w:bCs/>
          <w:color w:val="000000" w:themeColor="text1"/>
        </w:rPr>
        <w:t>1.</w:t>
      </w:r>
      <w:r w:rsidR="00BB21AC" w:rsidRPr="005B6E76">
        <w:rPr>
          <w:rFonts w:eastAsia="Times New Roman" w:cstheme="minorHAnsi"/>
          <w:b/>
          <w:bCs/>
          <w:color w:val="000000" w:themeColor="text1"/>
        </w:rPr>
        <w:t>0</w:t>
      </w:r>
      <w:r w:rsidR="00BB21AC" w:rsidRPr="00FA697F">
        <w:rPr>
          <w:rFonts w:eastAsia="Times New Roman" w:cstheme="minorHAnsi"/>
          <w:color w:val="000000" w:themeColor="text1"/>
        </w:rPr>
        <w:tab/>
      </w:r>
      <w:r w:rsidR="00395501" w:rsidRPr="00FA697F">
        <w:rPr>
          <w:rFonts w:eastAsia="Times New Roman" w:cstheme="minorHAnsi"/>
          <w:color w:val="000000" w:themeColor="text1"/>
        </w:rPr>
        <w:t xml:space="preserve">The proposed pricing indicated herein will not be held binding in an Agreement(s) that may be awarded </w:t>
      </w:r>
      <w:proofErr w:type="gramStart"/>
      <w:r w:rsidR="00395501" w:rsidRPr="00FA697F">
        <w:rPr>
          <w:rFonts w:eastAsia="Times New Roman" w:cstheme="minorHAnsi"/>
          <w:color w:val="000000" w:themeColor="text1"/>
        </w:rPr>
        <w:t>as a result of</w:t>
      </w:r>
      <w:proofErr w:type="gramEnd"/>
      <w:r w:rsidR="00395501" w:rsidRPr="00FA697F">
        <w:rPr>
          <w:rFonts w:eastAsia="Times New Roman" w:cstheme="minorHAnsi"/>
          <w:color w:val="000000" w:themeColor="text1"/>
        </w:rPr>
        <w:t xml:space="preserve"> the RFQ.  </w:t>
      </w:r>
      <w:r w:rsidR="53B54598" w:rsidRPr="00FA697F">
        <w:rPr>
          <w:rFonts w:eastAsia="Times New Roman" w:cstheme="minorHAnsi"/>
          <w:color w:val="000000" w:themeColor="text1"/>
        </w:rPr>
        <w:t>The p</w:t>
      </w:r>
      <w:r w:rsidR="00395501" w:rsidRPr="00FA697F">
        <w:rPr>
          <w:rFonts w:eastAsia="Times New Roman" w:cstheme="minorHAnsi"/>
          <w:color w:val="000000" w:themeColor="text1"/>
        </w:rPr>
        <w:t xml:space="preserve">roposed rate structure and billing protocol provided </w:t>
      </w:r>
      <w:r w:rsidR="2DBFFD03" w:rsidRPr="00FA697F">
        <w:rPr>
          <w:rFonts w:eastAsia="Times New Roman" w:cstheme="minorHAnsi"/>
          <w:color w:val="000000" w:themeColor="text1"/>
        </w:rPr>
        <w:t xml:space="preserve">in </w:t>
      </w:r>
      <w:r w:rsidR="3AE40ECD" w:rsidRPr="00FA697F">
        <w:rPr>
          <w:rFonts w:eastAsia="Times New Roman" w:cstheme="minorHAnsi"/>
          <w:color w:val="000000" w:themeColor="text1"/>
        </w:rPr>
        <w:t>this Attachment C</w:t>
      </w:r>
      <w:r w:rsidR="00395501" w:rsidRPr="00FA697F">
        <w:rPr>
          <w:rFonts w:eastAsia="Times New Roman" w:cstheme="minorHAnsi"/>
          <w:color w:val="000000" w:themeColor="text1"/>
        </w:rPr>
        <w:t xml:space="preserve">, will be evaluated by the Judicial </w:t>
      </w:r>
      <w:proofErr w:type="gramStart"/>
      <w:r w:rsidR="00395501" w:rsidRPr="00FA697F">
        <w:rPr>
          <w:rFonts w:eastAsia="Times New Roman" w:cstheme="minorHAnsi"/>
          <w:color w:val="000000" w:themeColor="text1"/>
        </w:rPr>
        <w:t>Council</w:t>
      </w:r>
      <w:proofErr w:type="gramEnd"/>
      <w:r w:rsidR="00395501" w:rsidRPr="00FA697F">
        <w:rPr>
          <w:rFonts w:eastAsia="Times New Roman" w:cstheme="minorHAnsi"/>
          <w:color w:val="000000" w:themeColor="text1"/>
        </w:rPr>
        <w:t xml:space="preserve"> and scored </w:t>
      </w:r>
      <w:r w:rsidR="2DD304C5" w:rsidRPr="00FA697F">
        <w:rPr>
          <w:rFonts w:eastAsia="Times New Roman" w:cstheme="minorHAnsi"/>
          <w:color w:val="000000" w:themeColor="text1"/>
        </w:rPr>
        <w:t>as</w:t>
      </w:r>
      <w:r w:rsidR="6F38BBAB" w:rsidRPr="00FA697F">
        <w:rPr>
          <w:rFonts w:eastAsia="Times New Roman" w:cstheme="minorHAnsi"/>
          <w:color w:val="000000" w:themeColor="text1"/>
        </w:rPr>
        <w:t xml:space="preserve"> set forth </w:t>
      </w:r>
      <w:r w:rsidR="00EF637F" w:rsidRPr="00FA697F">
        <w:rPr>
          <w:rFonts w:eastAsia="Times New Roman" w:cstheme="minorHAnsi"/>
          <w:color w:val="000000" w:themeColor="text1"/>
        </w:rPr>
        <w:t xml:space="preserve">in </w:t>
      </w:r>
      <w:r w:rsidR="31705DCA" w:rsidRPr="00FA697F">
        <w:rPr>
          <w:rFonts w:eastAsia="Times New Roman" w:cstheme="minorHAnsi"/>
          <w:color w:val="000000" w:themeColor="text1"/>
        </w:rPr>
        <w:t xml:space="preserve">the </w:t>
      </w:r>
      <w:r w:rsidR="00EF637F" w:rsidRPr="00FA697F">
        <w:rPr>
          <w:rFonts w:eastAsia="Times New Roman" w:cstheme="minorHAnsi"/>
          <w:color w:val="000000" w:themeColor="text1"/>
        </w:rPr>
        <w:t xml:space="preserve">RFQ </w:t>
      </w:r>
      <w:r w:rsidR="004F13BE" w:rsidRPr="00FA697F">
        <w:rPr>
          <w:rFonts w:eastAsia="Times New Roman" w:cstheme="minorHAnsi"/>
          <w:color w:val="000000" w:themeColor="text1"/>
        </w:rPr>
        <w:t>in</w:t>
      </w:r>
      <w:r w:rsidR="6FEB6FA7" w:rsidRPr="00FA697F">
        <w:rPr>
          <w:rFonts w:eastAsia="Times New Roman" w:cstheme="minorHAnsi"/>
          <w:color w:val="000000" w:themeColor="text1"/>
        </w:rPr>
        <w:t xml:space="preserve"> </w:t>
      </w:r>
      <w:r w:rsidR="00EF637F" w:rsidRPr="00FA697F">
        <w:rPr>
          <w:rFonts w:eastAsia="Times New Roman" w:cstheme="minorHAnsi"/>
          <w:color w:val="000000" w:themeColor="text1"/>
        </w:rPr>
        <w:t>Section 6., Evaluation of Proposals,</w:t>
      </w:r>
      <w:r w:rsidR="2CD43295" w:rsidRPr="00FA697F">
        <w:rPr>
          <w:rFonts w:eastAsia="Times New Roman" w:cstheme="minorHAnsi"/>
          <w:color w:val="000000" w:themeColor="text1"/>
        </w:rPr>
        <w:t xml:space="preserve"> under the Cr</w:t>
      </w:r>
      <w:r w:rsidR="1DD60958" w:rsidRPr="00FA697F">
        <w:rPr>
          <w:rFonts w:eastAsia="Times New Roman" w:cstheme="minorHAnsi"/>
          <w:color w:val="000000" w:themeColor="text1"/>
        </w:rPr>
        <w:t>iteria No. 6</w:t>
      </w:r>
      <w:r w:rsidR="00EF637F" w:rsidRPr="00FA697F">
        <w:rPr>
          <w:rFonts w:eastAsia="Times New Roman" w:cstheme="minorHAnsi"/>
          <w:color w:val="000000" w:themeColor="text1"/>
        </w:rPr>
        <w:t xml:space="preserve"> </w:t>
      </w:r>
      <w:r w:rsidR="607AA043" w:rsidRPr="00FA697F">
        <w:rPr>
          <w:rFonts w:eastAsia="Times New Roman" w:cstheme="minorHAnsi"/>
          <w:color w:val="000000" w:themeColor="text1"/>
        </w:rPr>
        <w:t>(</w:t>
      </w:r>
      <w:r w:rsidR="00EF637F" w:rsidRPr="00FA697F">
        <w:rPr>
          <w:rFonts w:eastAsia="Times New Roman" w:cstheme="minorHAnsi"/>
          <w:color w:val="000000" w:themeColor="text1"/>
        </w:rPr>
        <w:t>Proposed Rate Structure and Billing Protocol</w:t>
      </w:r>
      <w:r w:rsidR="4EF1BC8C" w:rsidRPr="00FA697F">
        <w:rPr>
          <w:rFonts w:eastAsia="Times New Roman" w:cstheme="minorHAnsi"/>
          <w:color w:val="000000" w:themeColor="text1"/>
        </w:rPr>
        <w:t>)</w:t>
      </w:r>
      <w:r w:rsidR="00EF637F" w:rsidRPr="00FA697F">
        <w:rPr>
          <w:rFonts w:eastAsia="Times New Roman" w:cstheme="minorHAnsi"/>
          <w:color w:val="000000" w:themeColor="text1"/>
        </w:rPr>
        <w:t>.</w:t>
      </w:r>
      <w:r w:rsidR="00395501" w:rsidRPr="00FA697F">
        <w:rPr>
          <w:rFonts w:eastAsia="Times New Roman" w:cstheme="minorHAnsi"/>
          <w:color w:val="000000" w:themeColor="text1"/>
        </w:rPr>
        <w:t xml:space="preserve"> The </w:t>
      </w:r>
      <w:r w:rsidR="00EF637F" w:rsidRPr="00FA697F">
        <w:rPr>
          <w:rFonts w:eastAsia="Times New Roman" w:cstheme="minorHAnsi"/>
          <w:color w:val="000000" w:themeColor="text1"/>
        </w:rPr>
        <w:t>information</w:t>
      </w:r>
      <w:r w:rsidR="00395501" w:rsidRPr="00FA697F">
        <w:rPr>
          <w:rFonts w:eastAsia="Times New Roman" w:cstheme="minorHAnsi"/>
          <w:color w:val="000000" w:themeColor="text1"/>
        </w:rPr>
        <w:t xml:space="preserve"> contained in the proposed price quotation form is for the Judicial Council’s information only.  </w:t>
      </w:r>
      <w:r w:rsidR="00EF637F" w:rsidRPr="00FA697F">
        <w:rPr>
          <w:rFonts w:eastAsia="Times New Roman" w:cstheme="minorHAnsi"/>
          <w:color w:val="000000" w:themeColor="text1"/>
        </w:rPr>
        <w:t xml:space="preserve">The Judicial Council will review </w:t>
      </w:r>
      <w:r w:rsidR="000D2D72" w:rsidRPr="00FA697F">
        <w:rPr>
          <w:rFonts w:eastAsia="Times New Roman" w:cstheme="minorHAnsi"/>
          <w:color w:val="000000" w:themeColor="text1"/>
        </w:rPr>
        <w:t xml:space="preserve">Seller’s </w:t>
      </w:r>
      <w:r w:rsidR="00EF637F" w:rsidRPr="00FA697F">
        <w:rPr>
          <w:rFonts w:eastAsia="Times New Roman" w:cstheme="minorHAnsi"/>
          <w:color w:val="000000" w:themeColor="text1"/>
        </w:rPr>
        <w:t>standard pricing structures, and the detailed formulae for and elements of the</w:t>
      </w:r>
      <w:r w:rsidR="000D2D72" w:rsidRPr="00FA697F">
        <w:rPr>
          <w:rFonts w:eastAsia="Times New Roman" w:cstheme="minorHAnsi"/>
          <w:color w:val="000000" w:themeColor="text1"/>
        </w:rPr>
        <w:t xml:space="preserve"> Seller</w:t>
      </w:r>
      <w:r w:rsidR="00EF637F" w:rsidRPr="00FA697F">
        <w:rPr>
          <w:rFonts w:eastAsia="Times New Roman" w:cstheme="minorHAnsi"/>
          <w:color w:val="000000" w:themeColor="text1"/>
        </w:rPr>
        <w:t xml:space="preserve">’s pricing calculation.  </w:t>
      </w:r>
      <w:r w:rsidR="00EC6978" w:rsidRPr="00FA697F">
        <w:rPr>
          <w:rFonts w:eastAsia="Times New Roman" w:cstheme="minorHAnsi"/>
          <w:color w:val="000000" w:themeColor="text1"/>
        </w:rPr>
        <w:t>Final p</w:t>
      </w:r>
      <w:r w:rsidR="00EF637F" w:rsidRPr="00FA697F">
        <w:rPr>
          <w:rFonts w:eastAsia="Times New Roman" w:cstheme="minorHAnsi"/>
          <w:color w:val="000000" w:themeColor="text1"/>
        </w:rPr>
        <w:t xml:space="preserve">ricing </w:t>
      </w:r>
      <w:r w:rsidR="00EC6978" w:rsidRPr="00FA697F">
        <w:rPr>
          <w:rFonts w:eastAsia="Times New Roman" w:cstheme="minorHAnsi"/>
          <w:color w:val="000000" w:themeColor="text1"/>
        </w:rPr>
        <w:t xml:space="preserve">details </w:t>
      </w:r>
      <w:r w:rsidR="00EF637F" w:rsidRPr="00FA697F">
        <w:rPr>
          <w:rFonts w:eastAsia="Times New Roman" w:cstheme="minorHAnsi"/>
          <w:color w:val="000000" w:themeColor="text1"/>
        </w:rPr>
        <w:t>will be confirmed</w:t>
      </w:r>
      <w:r w:rsidR="00681CE0" w:rsidRPr="00FA697F">
        <w:rPr>
          <w:rFonts w:eastAsia="Times New Roman" w:cstheme="minorHAnsi"/>
          <w:color w:val="000000" w:themeColor="text1"/>
        </w:rPr>
        <w:t xml:space="preserve"> </w:t>
      </w:r>
      <w:r w:rsidR="00EF637F" w:rsidRPr="00FA697F">
        <w:rPr>
          <w:rFonts w:eastAsia="Times New Roman" w:cstheme="minorHAnsi"/>
          <w:color w:val="000000" w:themeColor="text1"/>
        </w:rPr>
        <w:t>with the issuance of a</w:t>
      </w:r>
      <w:r w:rsidR="00AD50FB" w:rsidRPr="00FA697F">
        <w:rPr>
          <w:rFonts w:eastAsia="Times New Roman" w:cstheme="minorHAnsi"/>
          <w:color w:val="000000" w:themeColor="text1"/>
        </w:rPr>
        <w:t xml:space="preserve"> duly authorized</w:t>
      </w:r>
      <w:r w:rsidR="00EF637F" w:rsidRPr="00FA697F">
        <w:rPr>
          <w:rFonts w:eastAsia="Times New Roman" w:cstheme="minorHAnsi"/>
          <w:color w:val="000000" w:themeColor="text1"/>
        </w:rPr>
        <w:t xml:space="preserve"> </w:t>
      </w:r>
      <w:r w:rsidR="000D2D72" w:rsidRPr="00FA697F">
        <w:rPr>
          <w:rFonts w:eastAsia="Times New Roman" w:cstheme="minorHAnsi"/>
          <w:color w:val="000000" w:themeColor="text1"/>
        </w:rPr>
        <w:t>Sales Confirmation</w:t>
      </w:r>
      <w:r w:rsidR="00F21E19" w:rsidRPr="00FA697F">
        <w:rPr>
          <w:rFonts w:eastAsia="Times New Roman" w:cstheme="minorHAnsi"/>
          <w:color w:val="000000" w:themeColor="text1"/>
        </w:rPr>
        <w:t xml:space="preserve">.  </w:t>
      </w:r>
      <w:r w:rsidR="00FB583D" w:rsidRPr="00FA697F">
        <w:rPr>
          <w:rFonts w:eastAsia="Times New Roman" w:cstheme="minorHAnsi"/>
          <w:color w:val="000000" w:themeColor="text1"/>
        </w:rPr>
        <w:t xml:space="preserve">See Attachment </w:t>
      </w:r>
      <w:r w:rsidR="00C70B0F" w:rsidRPr="00FA697F">
        <w:rPr>
          <w:rFonts w:eastAsia="Times New Roman" w:cstheme="minorHAnsi"/>
          <w:color w:val="000000" w:themeColor="text1"/>
        </w:rPr>
        <w:t>D</w:t>
      </w:r>
      <w:r w:rsidR="00FB583D" w:rsidRPr="00FA697F">
        <w:rPr>
          <w:rFonts w:eastAsia="Times New Roman" w:cstheme="minorHAnsi"/>
          <w:color w:val="000000" w:themeColor="text1"/>
        </w:rPr>
        <w:t xml:space="preserve">, Judicial Council’s Form of Standard Agreement, Appendix G – Sample Sales Confirmation.  </w:t>
      </w:r>
      <w:r w:rsidR="00315041" w:rsidRPr="00FA697F">
        <w:rPr>
          <w:rFonts w:eastAsia="Times New Roman" w:cstheme="minorHAnsi"/>
          <w:color w:val="000000" w:themeColor="text1"/>
        </w:rPr>
        <w:t xml:space="preserve">The Buyer does not guarantee that </w:t>
      </w:r>
      <w:r w:rsidR="00CC0AA0" w:rsidRPr="00FA697F">
        <w:rPr>
          <w:rFonts w:eastAsia="Times New Roman" w:cstheme="minorHAnsi"/>
          <w:color w:val="000000" w:themeColor="text1"/>
        </w:rPr>
        <w:t xml:space="preserve">a </w:t>
      </w:r>
      <w:r w:rsidR="00315041" w:rsidRPr="00FA697F">
        <w:rPr>
          <w:rFonts w:eastAsia="Times New Roman" w:cstheme="minorHAnsi"/>
          <w:color w:val="000000" w:themeColor="text1"/>
        </w:rPr>
        <w:t xml:space="preserve">Seller </w:t>
      </w:r>
      <w:r w:rsidR="00CC0AA0" w:rsidRPr="00FA697F">
        <w:rPr>
          <w:rFonts w:eastAsia="Times New Roman" w:cstheme="minorHAnsi"/>
          <w:color w:val="000000" w:themeColor="text1"/>
        </w:rPr>
        <w:t xml:space="preserve">awarded </w:t>
      </w:r>
      <w:r w:rsidR="002F4F61" w:rsidRPr="00FA697F">
        <w:rPr>
          <w:rFonts w:eastAsia="Times New Roman" w:cstheme="minorHAnsi"/>
          <w:color w:val="000000" w:themeColor="text1"/>
        </w:rPr>
        <w:t xml:space="preserve">an Agreement under this RFQ </w:t>
      </w:r>
      <w:r w:rsidR="00315041" w:rsidRPr="00FA697F">
        <w:rPr>
          <w:rFonts w:eastAsia="Times New Roman" w:cstheme="minorHAnsi"/>
          <w:color w:val="000000" w:themeColor="text1"/>
        </w:rPr>
        <w:t xml:space="preserve">will receive any authorized Sales Confirmation(s).  </w:t>
      </w:r>
      <w:r w:rsidR="00EF637F" w:rsidRPr="00FA697F">
        <w:rPr>
          <w:rFonts w:eastAsia="Times New Roman" w:cstheme="minorHAnsi"/>
          <w:color w:val="000000" w:themeColor="text1"/>
        </w:rPr>
        <w:t xml:space="preserve">  For further information regarding the authorization of pricing and issuance of Services, see </w:t>
      </w:r>
      <w:r w:rsidR="00715DD7" w:rsidRPr="00FA697F">
        <w:rPr>
          <w:rFonts w:eastAsia="Times New Roman" w:cstheme="minorHAnsi"/>
          <w:color w:val="000000" w:themeColor="text1"/>
        </w:rPr>
        <w:t xml:space="preserve">Attachment </w:t>
      </w:r>
      <w:r w:rsidR="004D4B38" w:rsidRPr="00FA697F">
        <w:rPr>
          <w:rFonts w:eastAsia="Times New Roman" w:cstheme="minorHAnsi"/>
          <w:color w:val="000000" w:themeColor="text1"/>
        </w:rPr>
        <w:t>D</w:t>
      </w:r>
      <w:r w:rsidR="00715DD7" w:rsidRPr="00FA697F">
        <w:rPr>
          <w:rFonts w:eastAsia="Times New Roman" w:cstheme="minorHAnsi"/>
          <w:color w:val="000000" w:themeColor="text1"/>
        </w:rPr>
        <w:t>, Judicial Council’s Form of Standard Agreement</w:t>
      </w:r>
      <w:r w:rsidR="00EF637F" w:rsidRPr="00FA697F">
        <w:rPr>
          <w:rFonts w:eastAsia="Times New Roman" w:cstheme="minorHAnsi"/>
          <w:color w:val="000000" w:themeColor="text1"/>
        </w:rPr>
        <w:t xml:space="preserve">, </w:t>
      </w:r>
      <w:r w:rsidR="004F52BA" w:rsidRPr="00FA697F">
        <w:rPr>
          <w:rFonts w:eastAsia="Times New Roman" w:cstheme="minorHAnsi"/>
          <w:color w:val="000000" w:themeColor="text1"/>
        </w:rPr>
        <w:t>Appendix B,</w:t>
      </w:r>
      <w:r w:rsidR="00EF637F" w:rsidRPr="00FA697F">
        <w:rPr>
          <w:rFonts w:eastAsia="Times New Roman" w:cstheme="minorHAnsi"/>
          <w:color w:val="000000" w:themeColor="text1"/>
        </w:rPr>
        <w:t xml:space="preserve"> </w:t>
      </w:r>
      <w:r w:rsidR="00715DD7" w:rsidRPr="00FA697F">
        <w:rPr>
          <w:rFonts w:eastAsia="Times New Roman" w:cstheme="minorHAnsi"/>
          <w:color w:val="000000" w:themeColor="text1"/>
        </w:rPr>
        <w:t>Sections 2,</w:t>
      </w:r>
      <w:r w:rsidR="00C65AA4" w:rsidRPr="00FA697F">
        <w:rPr>
          <w:rFonts w:eastAsia="Times New Roman" w:cstheme="minorHAnsi"/>
          <w:color w:val="000000" w:themeColor="text1"/>
        </w:rPr>
        <w:t xml:space="preserve"> 3, and 4</w:t>
      </w:r>
      <w:r w:rsidR="00715DD7" w:rsidRPr="00FA697F">
        <w:rPr>
          <w:rFonts w:eastAsia="Times New Roman" w:cstheme="minorHAnsi"/>
          <w:color w:val="000000" w:themeColor="text1"/>
        </w:rPr>
        <w:t xml:space="preserve">. </w:t>
      </w:r>
    </w:p>
    <w:p w14:paraId="2F413BEE" w14:textId="77777777" w:rsidR="00EC6978" w:rsidRPr="00FA697F" w:rsidRDefault="00EC6978" w:rsidP="00DF5051">
      <w:pPr>
        <w:spacing w:line="285" w:lineRule="atLeast"/>
        <w:jc w:val="both"/>
        <w:rPr>
          <w:rFonts w:eastAsia="Times New Roman" w:cstheme="minorHAnsi"/>
          <w:color w:val="000000"/>
        </w:rPr>
      </w:pPr>
    </w:p>
    <w:p w14:paraId="611285C1" w14:textId="21C8362A" w:rsidR="00EC6978" w:rsidRPr="00FA697F" w:rsidRDefault="008D070F" w:rsidP="008D070F">
      <w:pPr>
        <w:spacing w:line="285" w:lineRule="atLeast"/>
        <w:ind w:left="1080" w:hanging="540"/>
        <w:jc w:val="both"/>
        <w:rPr>
          <w:rFonts w:eastAsia="Times New Roman" w:cstheme="minorHAnsi"/>
          <w:color w:val="000000"/>
        </w:rPr>
      </w:pPr>
      <w:r w:rsidRPr="005B6E76">
        <w:rPr>
          <w:rFonts w:eastAsia="Times New Roman" w:cstheme="minorHAnsi"/>
          <w:b/>
          <w:bCs/>
          <w:color w:val="000000"/>
        </w:rPr>
        <w:t>1.1</w:t>
      </w:r>
      <w:r w:rsidRPr="00FA697F">
        <w:rPr>
          <w:rFonts w:eastAsia="Times New Roman" w:cstheme="minorHAnsi"/>
          <w:color w:val="000000"/>
        </w:rPr>
        <w:tab/>
      </w:r>
      <w:r w:rsidR="00EC6978" w:rsidRPr="00FA697F">
        <w:rPr>
          <w:rFonts w:eastAsia="Times New Roman" w:cstheme="minorHAnsi"/>
          <w:color w:val="000000"/>
        </w:rPr>
        <w:t>Proposed pricing levels for each of the below structures should include detailed formulae for, and elements of, their calculation, including levels of discounts, any applicable caps, floors or ceilings, on-off-peak pricing splits, and any adders such as for scheduling coordination, meter data management services, DASR submission, etc.</w:t>
      </w:r>
    </w:p>
    <w:p w14:paraId="1EA21FCC" w14:textId="77777777" w:rsidR="00EC6978" w:rsidRPr="00FA697F" w:rsidRDefault="00EC6978" w:rsidP="00EC6978">
      <w:pPr>
        <w:spacing w:line="285" w:lineRule="atLeast"/>
        <w:jc w:val="both"/>
        <w:rPr>
          <w:rFonts w:eastAsia="Times New Roman" w:cstheme="minorHAnsi"/>
          <w:color w:val="000000"/>
        </w:rPr>
      </w:pPr>
      <w:r w:rsidRPr="00FA697F">
        <w:rPr>
          <w:rFonts w:eastAsia="Times New Roman" w:cstheme="minorHAnsi"/>
          <w:color w:val="000000"/>
        </w:rPr>
        <w:t> </w:t>
      </w:r>
    </w:p>
    <w:p w14:paraId="4CAA910D" w14:textId="74FE0B82" w:rsidR="00EC6978" w:rsidRPr="00FA697F" w:rsidRDefault="00BB21AC" w:rsidP="00BB21AC">
      <w:pPr>
        <w:spacing w:line="285" w:lineRule="atLeast"/>
        <w:ind w:left="1080" w:hanging="540"/>
        <w:jc w:val="both"/>
        <w:rPr>
          <w:rFonts w:eastAsia="Times New Roman" w:cstheme="minorHAnsi"/>
          <w:color w:val="000000"/>
        </w:rPr>
      </w:pPr>
      <w:r w:rsidRPr="005B6E76">
        <w:rPr>
          <w:rFonts w:eastAsia="Times New Roman" w:cstheme="minorHAnsi"/>
          <w:b/>
          <w:bCs/>
          <w:color w:val="000000" w:themeColor="text1"/>
        </w:rPr>
        <w:t>1.2</w:t>
      </w:r>
      <w:r w:rsidRPr="00FA697F">
        <w:rPr>
          <w:rFonts w:eastAsia="Times New Roman" w:cstheme="minorHAnsi"/>
          <w:color w:val="000000" w:themeColor="text1"/>
        </w:rPr>
        <w:tab/>
      </w:r>
      <w:r w:rsidR="38631530" w:rsidRPr="00FA697F">
        <w:rPr>
          <w:rFonts w:eastAsia="Times New Roman" w:cstheme="minorHAnsi"/>
          <w:color w:val="000000" w:themeColor="text1"/>
        </w:rPr>
        <w:t>Clearly indicate assumptions for each non-commodity component included in the proposal, if applicable, such as for ISO</w:t>
      </w:r>
      <w:r w:rsidR="006B7272" w:rsidRPr="00FA697F">
        <w:rPr>
          <w:rFonts w:eastAsia="Times New Roman" w:cstheme="minorHAnsi"/>
          <w:color w:val="000000" w:themeColor="text1"/>
        </w:rPr>
        <w:t xml:space="preserve"> and any additional</w:t>
      </w:r>
      <w:r w:rsidR="007205C2" w:rsidRPr="00FA697F">
        <w:rPr>
          <w:rFonts w:eastAsia="Times New Roman" w:cstheme="minorHAnsi"/>
          <w:color w:val="000000" w:themeColor="text1"/>
        </w:rPr>
        <w:t xml:space="preserve"> </w:t>
      </w:r>
      <w:r w:rsidR="009B1279" w:rsidRPr="00FA697F">
        <w:rPr>
          <w:rFonts w:eastAsia="Times New Roman" w:cstheme="minorHAnsi"/>
          <w:color w:val="000000" w:themeColor="text1"/>
        </w:rPr>
        <w:t>Power Exchange (PX)</w:t>
      </w:r>
      <w:r w:rsidR="38631530" w:rsidRPr="00FA697F">
        <w:rPr>
          <w:rFonts w:eastAsia="Times New Roman" w:cstheme="minorHAnsi"/>
          <w:color w:val="000000" w:themeColor="text1"/>
        </w:rPr>
        <w:t xml:space="preserve"> uplift</w:t>
      </w:r>
      <w:r w:rsidR="006B7272" w:rsidRPr="00FA697F">
        <w:rPr>
          <w:rFonts w:eastAsia="Times New Roman" w:cstheme="minorHAnsi"/>
          <w:color w:val="000000" w:themeColor="text1"/>
        </w:rPr>
        <w:t>s</w:t>
      </w:r>
      <w:r w:rsidR="38631530" w:rsidRPr="00FA697F">
        <w:rPr>
          <w:rFonts w:eastAsia="Times New Roman" w:cstheme="minorHAnsi"/>
          <w:color w:val="000000" w:themeColor="text1"/>
        </w:rPr>
        <w:t>, unaccounted for energy, imbalances, etc. Do not include any assumption for costs of congestion management. For any proposal involving a share-the-savings structure, clearly indicate assumptions for indices against which savings are to be calculated, as well as the respective percentage split in savings to the customer and the ESP.</w:t>
      </w:r>
    </w:p>
    <w:p w14:paraId="468B858D" w14:textId="77777777" w:rsidR="00EC6978" w:rsidRPr="00FA697F" w:rsidRDefault="00EC6978" w:rsidP="00EC6978">
      <w:pPr>
        <w:spacing w:line="285" w:lineRule="atLeast"/>
        <w:jc w:val="both"/>
        <w:rPr>
          <w:rFonts w:eastAsia="Times New Roman" w:cstheme="minorHAnsi"/>
          <w:color w:val="000000"/>
        </w:rPr>
      </w:pPr>
      <w:r w:rsidRPr="00FA697F">
        <w:rPr>
          <w:rFonts w:eastAsia="Times New Roman" w:cstheme="minorHAnsi"/>
          <w:color w:val="000000"/>
        </w:rPr>
        <w:t> </w:t>
      </w:r>
    </w:p>
    <w:p w14:paraId="718F464A" w14:textId="680AE663" w:rsidR="00EC6978" w:rsidRPr="00FA697F" w:rsidRDefault="00BB21AC" w:rsidP="72B31915">
      <w:pPr>
        <w:spacing w:line="285" w:lineRule="atLeast"/>
        <w:ind w:left="1080" w:hanging="540"/>
        <w:jc w:val="both"/>
        <w:rPr>
          <w:rFonts w:eastAsia="Times New Roman" w:cstheme="minorHAnsi"/>
          <w:color w:val="000000"/>
        </w:rPr>
      </w:pPr>
      <w:r w:rsidRPr="005B6E76">
        <w:rPr>
          <w:rFonts w:eastAsia="Times New Roman" w:cstheme="minorHAnsi"/>
          <w:b/>
          <w:bCs/>
          <w:color w:val="000000" w:themeColor="text1"/>
        </w:rPr>
        <w:t>1.3</w:t>
      </w:r>
      <w:r w:rsidRPr="00FA697F">
        <w:rPr>
          <w:rFonts w:cstheme="minorHAnsi"/>
        </w:rPr>
        <w:tab/>
      </w:r>
      <w:r w:rsidR="005523EC" w:rsidRPr="00FA697F">
        <w:rPr>
          <w:rFonts w:cstheme="minorHAnsi"/>
        </w:rPr>
        <w:t>On</w:t>
      </w:r>
      <w:r w:rsidR="00FD541B" w:rsidRPr="00FA697F">
        <w:rPr>
          <w:rFonts w:cstheme="minorHAnsi"/>
        </w:rPr>
        <w:t xml:space="preserve"> RFQ</w:t>
      </w:r>
      <w:r w:rsidR="005523EC" w:rsidRPr="00FA697F">
        <w:rPr>
          <w:rFonts w:cstheme="minorHAnsi"/>
        </w:rPr>
        <w:t xml:space="preserve"> Attachment E,</w:t>
      </w:r>
      <w:r w:rsidR="00002B11" w:rsidRPr="00FA697F">
        <w:rPr>
          <w:rFonts w:cstheme="minorHAnsi"/>
        </w:rPr>
        <w:t xml:space="preserve"> Acceptance of Terms and Conditions,</w:t>
      </w:r>
      <w:r w:rsidR="005523EC" w:rsidRPr="00FA697F">
        <w:rPr>
          <w:rFonts w:cstheme="minorHAnsi"/>
        </w:rPr>
        <w:t xml:space="preserve"> the Proposer must check the appro</w:t>
      </w:r>
      <w:r w:rsidR="009331B2" w:rsidRPr="00FA697F">
        <w:rPr>
          <w:rFonts w:cstheme="minorHAnsi"/>
        </w:rPr>
        <w:t>priate box and sign the form.  If the Proposer marks the second box, it must provide the required additional materials.  An “exception” includes any addition, deletion, or other modification</w:t>
      </w:r>
      <w:r w:rsidR="000D0FB0" w:rsidRPr="00FA697F">
        <w:rPr>
          <w:rFonts w:cstheme="minorHAnsi"/>
        </w:rPr>
        <w:t>.  If exceptions are identified, the Proposer must also submit (i) a redlined version of the Standard Agreement</w:t>
      </w:r>
      <w:r w:rsidR="006D2235" w:rsidRPr="00FA697F">
        <w:rPr>
          <w:rFonts w:cstheme="minorHAnsi"/>
        </w:rPr>
        <w:t xml:space="preserve"> (Attachment D)</w:t>
      </w:r>
      <w:r w:rsidR="000D0FB0" w:rsidRPr="00FA697F">
        <w:rPr>
          <w:rFonts w:cstheme="minorHAnsi"/>
        </w:rPr>
        <w:t xml:space="preserve"> that implements all proposed changes, and (ii) a written explanation and rationale </w:t>
      </w:r>
      <w:r w:rsidR="00FD541B" w:rsidRPr="00FA697F">
        <w:rPr>
          <w:rFonts w:cstheme="minorHAnsi"/>
        </w:rPr>
        <w:t>for each exception and/or proposed change explaining why the change is necessary</w:t>
      </w:r>
      <w:r w:rsidR="00EC6978" w:rsidRPr="00FA697F">
        <w:rPr>
          <w:rFonts w:eastAsia="Times New Roman" w:cstheme="minorHAnsi"/>
          <w:color w:val="000000" w:themeColor="text1"/>
        </w:rPr>
        <w:t>.</w:t>
      </w:r>
      <w:r w:rsidR="001A132A" w:rsidRPr="00FA697F">
        <w:rPr>
          <w:rFonts w:eastAsia="Times New Roman" w:cstheme="minorHAnsi"/>
          <w:color w:val="000000" w:themeColor="text1"/>
        </w:rPr>
        <w:t xml:space="preserve">  See RFQ</w:t>
      </w:r>
      <w:r w:rsidR="00F4443C" w:rsidRPr="00FA697F">
        <w:rPr>
          <w:rFonts w:eastAsia="Times New Roman" w:cstheme="minorHAnsi"/>
          <w:color w:val="000000" w:themeColor="text1"/>
        </w:rPr>
        <w:t xml:space="preserve"> Section</w:t>
      </w:r>
      <w:r w:rsidR="007C21B2" w:rsidRPr="00FA697F">
        <w:rPr>
          <w:rFonts w:eastAsia="Times New Roman" w:cstheme="minorHAnsi"/>
          <w:color w:val="000000" w:themeColor="text1"/>
        </w:rPr>
        <w:t>s 2.</w:t>
      </w:r>
      <w:r w:rsidR="00C65CBF" w:rsidRPr="00FA697F">
        <w:rPr>
          <w:rFonts w:eastAsia="Times New Roman" w:cstheme="minorHAnsi"/>
          <w:color w:val="000000" w:themeColor="text1"/>
        </w:rPr>
        <w:t>4.1 and</w:t>
      </w:r>
      <w:r w:rsidR="00F4443C" w:rsidRPr="00FA697F">
        <w:rPr>
          <w:rFonts w:eastAsia="Times New Roman" w:cstheme="minorHAnsi"/>
          <w:color w:val="000000" w:themeColor="text1"/>
        </w:rPr>
        <w:t xml:space="preserve"> 4.13.1 for additional detail.</w:t>
      </w:r>
    </w:p>
    <w:p w14:paraId="20895C7B" w14:textId="5EBA6287" w:rsidR="00BA4DFA" w:rsidRPr="00FA697F" w:rsidRDefault="00BA4DFA" w:rsidP="00BB21AC">
      <w:pPr>
        <w:spacing w:line="285" w:lineRule="atLeast"/>
        <w:ind w:left="1080" w:hanging="540"/>
        <w:jc w:val="both"/>
        <w:rPr>
          <w:rFonts w:eastAsia="Times New Roman" w:cstheme="minorHAnsi"/>
          <w:color w:val="000000"/>
        </w:rPr>
      </w:pPr>
    </w:p>
    <w:p w14:paraId="39425582" w14:textId="02DE6909" w:rsidR="007B67A0" w:rsidRPr="00FA697F" w:rsidRDefault="00892F8C" w:rsidP="00892F8C">
      <w:pPr>
        <w:spacing w:line="285" w:lineRule="atLeast"/>
        <w:jc w:val="center"/>
        <w:rPr>
          <w:rFonts w:eastAsia="Times New Roman" w:cstheme="minorHAnsi"/>
          <w:color w:val="000000"/>
        </w:rPr>
      </w:pPr>
      <w:r w:rsidRPr="00FA697F">
        <w:rPr>
          <w:rFonts w:eastAsia="Times New Roman" w:cstheme="minorHAnsi"/>
          <w:color w:val="000000"/>
        </w:rPr>
        <w:t xml:space="preserve">[This space has been left intentionally blank, see </w:t>
      </w:r>
      <w:r w:rsidR="00F94444" w:rsidRPr="00FA697F">
        <w:rPr>
          <w:rFonts w:eastAsia="Times New Roman" w:cstheme="minorHAnsi"/>
          <w:color w:val="000000"/>
        </w:rPr>
        <w:t>Section 2.0 below]</w:t>
      </w:r>
    </w:p>
    <w:p w14:paraId="297027C8" w14:textId="4EB2EF43" w:rsidR="00F94444" w:rsidRPr="00FA697F" w:rsidRDefault="00F94444" w:rsidP="00892F8C">
      <w:pPr>
        <w:spacing w:line="285" w:lineRule="atLeast"/>
        <w:jc w:val="center"/>
        <w:rPr>
          <w:rFonts w:eastAsia="Times New Roman" w:cstheme="minorHAnsi"/>
          <w:color w:val="000000"/>
        </w:rPr>
      </w:pPr>
    </w:p>
    <w:p w14:paraId="4191B262" w14:textId="77777777" w:rsidR="00F94444" w:rsidRPr="00FA697F" w:rsidRDefault="00F94444" w:rsidP="00892F8C">
      <w:pPr>
        <w:spacing w:line="285" w:lineRule="atLeast"/>
        <w:jc w:val="center"/>
        <w:rPr>
          <w:rFonts w:eastAsia="Times New Roman" w:cstheme="minorHAnsi"/>
          <w:color w:val="000000"/>
        </w:rPr>
      </w:pPr>
    </w:p>
    <w:p w14:paraId="1278A07E" w14:textId="16BFF624" w:rsidR="00715DD7" w:rsidRPr="00FA697F" w:rsidRDefault="00BB21AC" w:rsidP="00BB21AC">
      <w:pPr>
        <w:spacing w:line="285" w:lineRule="atLeast"/>
        <w:ind w:left="540" w:hanging="540"/>
        <w:jc w:val="both"/>
        <w:rPr>
          <w:rFonts w:eastAsia="Times New Roman" w:cstheme="minorHAnsi"/>
          <w:b/>
          <w:bCs/>
          <w:color w:val="000000"/>
        </w:rPr>
      </w:pPr>
      <w:r w:rsidRPr="00FA697F">
        <w:rPr>
          <w:rFonts w:eastAsia="Times New Roman" w:cstheme="minorHAnsi"/>
          <w:b/>
          <w:bCs/>
          <w:color w:val="000000"/>
        </w:rPr>
        <w:t>2.0</w:t>
      </w:r>
      <w:r w:rsidRPr="00FA697F">
        <w:rPr>
          <w:rFonts w:eastAsia="Times New Roman" w:cstheme="minorHAnsi"/>
          <w:b/>
          <w:bCs/>
          <w:color w:val="000000"/>
        </w:rPr>
        <w:tab/>
      </w:r>
      <w:r w:rsidR="007B67A0" w:rsidRPr="00FA697F">
        <w:rPr>
          <w:rFonts w:eastAsia="Times New Roman" w:cstheme="minorHAnsi"/>
          <w:b/>
          <w:bCs/>
          <w:color w:val="000000"/>
        </w:rPr>
        <w:t>Responding ESPs should provide the following information in their response to this cost proposal template:</w:t>
      </w:r>
    </w:p>
    <w:p w14:paraId="57D415D2" w14:textId="7E55FF1D" w:rsidR="000335FE" w:rsidRPr="00FA697F" w:rsidRDefault="000335FE" w:rsidP="00DF5051">
      <w:pPr>
        <w:spacing w:line="285" w:lineRule="atLeast"/>
        <w:jc w:val="both"/>
        <w:rPr>
          <w:rFonts w:eastAsia="Times New Roman" w:cstheme="minorHAnsi"/>
          <w:b/>
          <w:bCs/>
          <w:color w:val="000000"/>
        </w:rPr>
      </w:pPr>
    </w:p>
    <w:p w14:paraId="7270FD70" w14:textId="5634D128" w:rsidR="000335FE" w:rsidRPr="00FA697F" w:rsidRDefault="00026669" w:rsidP="00026669">
      <w:pPr>
        <w:ind w:left="1080" w:hanging="540"/>
        <w:rPr>
          <w:rFonts w:cstheme="minorHAnsi"/>
        </w:rPr>
      </w:pPr>
      <w:r w:rsidRPr="005B6E76">
        <w:rPr>
          <w:rFonts w:cstheme="minorHAnsi"/>
          <w:b/>
          <w:bCs/>
        </w:rPr>
        <w:t>2.1</w:t>
      </w:r>
      <w:r w:rsidR="000335FE" w:rsidRPr="00FA697F">
        <w:rPr>
          <w:rFonts w:cstheme="minorHAnsi"/>
        </w:rPr>
        <w:t xml:space="preserve"> </w:t>
      </w:r>
      <w:r w:rsidR="003704DE" w:rsidRPr="00FA697F">
        <w:rPr>
          <w:rFonts w:cstheme="minorHAnsi"/>
        </w:rPr>
        <w:tab/>
      </w:r>
      <w:r w:rsidR="000335FE" w:rsidRPr="00FA697F">
        <w:rPr>
          <w:rFonts w:cstheme="minorHAnsi"/>
        </w:rPr>
        <w:t>Direct Access (DA) service includes the below t</w:t>
      </w:r>
      <w:r w:rsidR="007D670B" w:rsidRPr="00FA697F">
        <w:rPr>
          <w:rFonts w:cstheme="minorHAnsi"/>
        </w:rPr>
        <w:t>wo</w:t>
      </w:r>
      <w:r w:rsidR="000335FE" w:rsidRPr="00FA697F">
        <w:rPr>
          <w:rFonts w:cstheme="minorHAnsi"/>
        </w:rPr>
        <w:t xml:space="preserve"> (</w:t>
      </w:r>
      <w:r w:rsidR="007D670B" w:rsidRPr="00FA697F">
        <w:rPr>
          <w:rFonts w:cstheme="minorHAnsi"/>
        </w:rPr>
        <w:t>2</w:t>
      </w:r>
      <w:r w:rsidR="000335FE" w:rsidRPr="00FA697F">
        <w:rPr>
          <w:rFonts w:cstheme="minorHAnsi"/>
        </w:rPr>
        <w:t>) billing options.</w:t>
      </w:r>
    </w:p>
    <w:p w14:paraId="73B7A36D" w14:textId="45F3171B" w:rsidR="000335FE" w:rsidRPr="00FA697F" w:rsidRDefault="000335FE" w:rsidP="00026669">
      <w:pPr>
        <w:ind w:left="1080"/>
        <w:rPr>
          <w:rFonts w:cstheme="minorHAnsi"/>
        </w:rPr>
      </w:pPr>
      <w:r w:rsidRPr="00FA697F">
        <w:rPr>
          <w:rFonts w:cstheme="minorHAnsi"/>
        </w:rPr>
        <w:t xml:space="preserve">Specify your firms preferred option for billing based on </w:t>
      </w:r>
      <w:r w:rsidR="00A05343" w:rsidRPr="00FA697F">
        <w:rPr>
          <w:rFonts w:cstheme="minorHAnsi"/>
        </w:rPr>
        <w:t>1</w:t>
      </w:r>
      <w:r w:rsidRPr="00FA697F">
        <w:rPr>
          <w:rFonts w:cstheme="minorHAnsi"/>
        </w:rPr>
        <w:t xml:space="preserve">, </w:t>
      </w:r>
      <w:r w:rsidR="007D670B" w:rsidRPr="00FA697F">
        <w:rPr>
          <w:rFonts w:cstheme="minorHAnsi"/>
        </w:rPr>
        <w:t xml:space="preserve">and </w:t>
      </w:r>
      <w:r w:rsidR="00A05343" w:rsidRPr="00FA697F">
        <w:rPr>
          <w:rFonts w:cstheme="minorHAnsi"/>
        </w:rPr>
        <w:t>2</w:t>
      </w:r>
      <w:r w:rsidRPr="00FA697F">
        <w:rPr>
          <w:rFonts w:cstheme="minorHAnsi"/>
        </w:rPr>
        <w:t xml:space="preserve"> herein:</w:t>
      </w:r>
    </w:p>
    <w:p w14:paraId="6705829C" w14:textId="77777777" w:rsidR="000335FE" w:rsidRPr="00FA697F" w:rsidRDefault="000335FE" w:rsidP="000335FE">
      <w:pPr>
        <w:rPr>
          <w:rFonts w:cstheme="minorHAnsi"/>
        </w:rPr>
      </w:pPr>
    </w:p>
    <w:tbl>
      <w:tblPr>
        <w:tblW w:w="9113"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2723"/>
      </w:tblGrid>
      <w:tr w:rsidR="00A05343" w:rsidRPr="00FA697F" w14:paraId="7FC193CA" w14:textId="77777777" w:rsidTr="00026669">
        <w:tc>
          <w:tcPr>
            <w:tcW w:w="6390" w:type="dxa"/>
          </w:tcPr>
          <w:p w14:paraId="642DBA55" w14:textId="72D876DD" w:rsidR="00602124" w:rsidRPr="00FA697F" w:rsidRDefault="00A05343" w:rsidP="00A05343">
            <w:pPr>
              <w:spacing w:line="240" w:lineRule="auto"/>
              <w:jc w:val="center"/>
              <w:rPr>
                <w:rFonts w:eastAsia="Calibri" w:cstheme="minorHAnsi"/>
                <w:b/>
              </w:rPr>
            </w:pPr>
            <w:r w:rsidRPr="00FA697F">
              <w:rPr>
                <w:rFonts w:eastAsia="Calibri" w:cstheme="minorHAnsi"/>
                <w:b/>
              </w:rPr>
              <w:t>Direct Access (DA) service, t</w:t>
            </w:r>
            <w:r w:rsidR="007D670B" w:rsidRPr="00FA697F">
              <w:rPr>
                <w:rFonts w:eastAsia="Calibri" w:cstheme="minorHAnsi"/>
                <w:b/>
              </w:rPr>
              <w:t>wo</w:t>
            </w:r>
            <w:r w:rsidRPr="00FA697F">
              <w:rPr>
                <w:rFonts w:eastAsia="Calibri" w:cstheme="minorHAnsi"/>
                <w:b/>
              </w:rPr>
              <w:t xml:space="preserve"> (</w:t>
            </w:r>
            <w:r w:rsidR="007D670B" w:rsidRPr="00FA697F">
              <w:rPr>
                <w:rFonts w:eastAsia="Calibri" w:cstheme="minorHAnsi"/>
                <w:b/>
              </w:rPr>
              <w:t>2</w:t>
            </w:r>
            <w:r w:rsidRPr="00FA697F">
              <w:rPr>
                <w:rFonts w:eastAsia="Calibri" w:cstheme="minorHAnsi"/>
                <w:b/>
              </w:rPr>
              <w:t xml:space="preserve">) Billing Option scenarios.  </w:t>
            </w:r>
          </w:p>
          <w:p w14:paraId="7B8DB08F" w14:textId="75772CE2" w:rsidR="00A05343" w:rsidRPr="00FA697F" w:rsidRDefault="00602124" w:rsidP="00A05343">
            <w:pPr>
              <w:spacing w:line="240" w:lineRule="auto"/>
              <w:jc w:val="center"/>
              <w:rPr>
                <w:rFonts w:eastAsia="Calibri" w:cstheme="minorHAnsi"/>
                <w:b/>
                <w:i/>
              </w:rPr>
            </w:pPr>
            <w:r w:rsidRPr="00FA697F">
              <w:rPr>
                <w:rFonts w:eastAsia="Calibri" w:cstheme="minorHAnsi"/>
                <w:b/>
              </w:rPr>
              <w:t>**</w:t>
            </w:r>
            <w:r w:rsidR="00A05343" w:rsidRPr="00FA697F">
              <w:rPr>
                <w:rFonts w:eastAsia="Calibri" w:cstheme="minorHAnsi"/>
                <w:b/>
              </w:rPr>
              <w:t>Select one (1) option only.</w:t>
            </w:r>
          </w:p>
        </w:tc>
        <w:tc>
          <w:tcPr>
            <w:tcW w:w="2723" w:type="dxa"/>
          </w:tcPr>
          <w:p w14:paraId="05BB5BE8" w14:textId="77777777" w:rsidR="00A05343" w:rsidRPr="00FA697F" w:rsidRDefault="00A05343" w:rsidP="00A05343">
            <w:pPr>
              <w:spacing w:before="120" w:after="120" w:line="259" w:lineRule="auto"/>
              <w:jc w:val="center"/>
              <w:rPr>
                <w:rFonts w:eastAsia="Calibri" w:cstheme="minorHAnsi"/>
                <w:b/>
              </w:rPr>
            </w:pPr>
            <w:r w:rsidRPr="00FA697F">
              <w:rPr>
                <w:rFonts w:eastAsia="Calibri" w:cstheme="minorHAnsi"/>
                <w:b/>
              </w:rPr>
              <w:t>Mark an X to indicate selected Billing Option</w:t>
            </w:r>
          </w:p>
        </w:tc>
      </w:tr>
      <w:tr w:rsidR="00A05343" w:rsidRPr="00FA697F" w14:paraId="261E4BF0" w14:textId="77777777" w:rsidTr="00026669">
        <w:tc>
          <w:tcPr>
            <w:tcW w:w="6390" w:type="dxa"/>
          </w:tcPr>
          <w:p w14:paraId="351DC349" w14:textId="33AF9D29" w:rsidR="00A05343" w:rsidRPr="00FA697F" w:rsidRDefault="007D670B" w:rsidP="00A05343">
            <w:pPr>
              <w:spacing w:after="160" w:line="259" w:lineRule="auto"/>
              <w:rPr>
                <w:rFonts w:eastAsia="Calibri" w:cstheme="minorHAnsi"/>
              </w:rPr>
            </w:pPr>
            <w:r w:rsidRPr="00FA697F">
              <w:rPr>
                <w:rFonts w:eastAsia="Calibri" w:cstheme="minorHAnsi"/>
              </w:rPr>
              <w:t>1</w:t>
            </w:r>
            <w:r w:rsidR="00A05343" w:rsidRPr="00FA697F">
              <w:rPr>
                <w:rFonts w:eastAsia="Calibri" w:cstheme="minorHAnsi"/>
              </w:rPr>
              <w:t xml:space="preserve">) </w:t>
            </w:r>
            <w:r w:rsidR="00A05343" w:rsidRPr="00FA697F">
              <w:rPr>
                <w:rFonts w:eastAsia="Calibri" w:cstheme="minorHAnsi"/>
                <w:b/>
                <w:bCs/>
              </w:rPr>
              <w:t xml:space="preserve">DSP/Utility Consolidated Billing: </w:t>
            </w:r>
            <w:r w:rsidR="00A05343" w:rsidRPr="00FA697F">
              <w:rPr>
                <w:rFonts w:eastAsia="Calibri" w:cstheme="minorHAnsi"/>
              </w:rPr>
              <w:t xml:space="preserve">Buyer will receive one </w:t>
            </w:r>
            <w:r w:rsidR="00900E96" w:rsidRPr="00FA697F">
              <w:rPr>
                <w:rFonts w:eastAsia="Calibri" w:cstheme="minorHAnsi"/>
              </w:rPr>
              <w:t xml:space="preserve">(1) </w:t>
            </w:r>
            <w:r w:rsidR="00A05343" w:rsidRPr="00FA697F">
              <w:rPr>
                <w:rFonts w:eastAsia="Calibri" w:cstheme="minorHAnsi"/>
              </w:rPr>
              <w:t>invoice from the DSP for both Electricity Charges and DSP Charges.</w:t>
            </w:r>
          </w:p>
        </w:tc>
        <w:tc>
          <w:tcPr>
            <w:tcW w:w="2723" w:type="dxa"/>
          </w:tcPr>
          <w:p w14:paraId="51D9A867" w14:textId="77777777" w:rsidR="00A05343" w:rsidRPr="00FA697F" w:rsidRDefault="00A05343" w:rsidP="00A05343">
            <w:pPr>
              <w:spacing w:after="160" w:line="259" w:lineRule="auto"/>
              <w:rPr>
                <w:rFonts w:eastAsia="Calibri" w:cstheme="minorHAnsi"/>
              </w:rPr>
            </w:pPr>
          </w:p>
        </w:tc>
      </w:tr>
      <w:tr w:rsidR="00A05343" w:rsidRPr="00FA697F" w14:paraId="6B7C23A4" w14:textId="77777777" w:rsidTr="00026669">
        <w:tc>
          <w:tcPr>
            <w:tcW w:w="6390" w:type="dxa"/>
          </w:tcPr>
          <w:p w14:paraId="73540BD4" w14:textId="1EFF2675" w:rsidR="00A05343" w:rsidRPr="00FA697F" w:rsidRDefault="007D670B" w:rsidP="00A05343">
            <w:pPr>
              <w:spacing w:after="160" w:line="259" w:lineRule="auto"/>
              <w:rPr>
                <w:rFonts w:eastAsia="Calibri" w:cstheme="minorHAnsi"/>
              </w:rPr>
            </w:pPr>
            <w:r w:rsidRPr="00FA697F">
              <w:rPr>
                <w:rFonts w:eastAsia="Calibri" w:cstheme="minorHAnsi"/>
              </w:rPr>
              <w:t>2</w:t>
            </w:r>
            <w:r w:rsidR="00A05343" w:rsidRPr="00FA697F">
              <w:rPr>
                <w:rFonts w:eastAsia="Calibri" w:cstheme="minorHAnsi"/>
              </w:rPr>
              <w:t xml:space="preserve">) </w:t>
            </w:r>
            <w:r w:rsidR="00A05343" w:rsidRPr="00FA697F">
              <w:rPr>
                <w:rFonts w:eastAsia="Calibri" w:cstheme="minorHAnsi"/>
                <w:b/>
                <w:bCs/>
              </w:rPr>
              <w:t>Consolidated</w:t>
            </w:r>
            <w:r w:rsidR="0078074A" w:rsidRPr="00FA697F">
              <w:rPr>
                <w:rFonts w:eastAsia="Calibri" w:cstheme="minorHAnsi"/>
                <w:b/>
                <w:bCs/>
              </w:rPr>
              <w:t xml:space="preserve"> Billing</w:t>
            </w:r>
            <w:r w:rsidR="00A05343" w:rsidRPr="00FA697F">
              <w:rPr>
                <w:rFonts w:eastAsia="Calibri" w:cstheme="minorHAnsi"/>
                <w:b/>
                <w:bCs/>
              </w:rPr>
              <w:t xml:space="preserve">: </w:t>
            </w:r>
            <w:r w:rsidR="00A05343" w:rsidRPr="00FA697F">
              <w:rPr>
                <w:rFonts w:eastAsia="Calibri" w:cstheme="minorHAnsi"/>
              </w:rPr>
              <w:t>Buyer will receive one</w:t>
            </w:r>
            <w:r w:rsidR="00900E96" w:rsidRPr="00FA697F">
              <w:rPr>
                <w:rFonts w:eastAsia="Calibri" w:cstheme="minorHAnsi"/>
              </w:rPr>
              <w:t xml:space="preserve"> (1)</w:t>
            </w:r>
            <w:r w:rsidR="00A05343" w:rsidRPr="00FA697F">
              <w:rPr>
                <w:rFonts w:eastAsia="Calibri" w:cstheme="minorHAnsi"/>
              </w:rPr>
              <w:t xml:space="preserve"> invoice from the Seller for both Electricity Charges and DSP Charges.</w:t>
            </w:r>
          </w:p>
        </w:tc>
        <w:tc>
          <w:tcPr>
            <w:tcW w:w="2723" w:type="dxa"/>
          </w:tcPr>
          <w:p w14:paraId="7A56B574" w14:textId="77777777" w:rsidR="00A05343" w:rsidRPr="00FA697F" w:rsidRDefault="00A05343" w:rsidP="00A05343">
            <w:pPr>
              <w:spacing w:after="160" w:line="259" w:lineRule="auto"/>
              <w:rPr>
                <w:rFonts w:eastAsia="Calibri" w:cstheme="minorHAnsi"/>
                <w:u w:val="single"/>
              </w:rPr>
            </w:pPr>
          </w:p>
        </w:tc>
      </w:tr>
    </w:tbl>
    <w:p w14:paraId="50BEF1FE" w14:textId="6D29FED5" w:rsidR="00F31E04" w:rsidRPr="00FA697F" w:rsidRDefault="00F31E04" w:rsidP="007B67A0">
      <w:pPr>
        <w:spacing w:line="285" w:lineRule="atLeast"/>
        <w:jc w:val="both"/>
        <w:rPr>
          <w:rFonts w:eastAsia="Times New Roman" w:cstheme="minorHAnsi"/>
          <w:color w:val="000000"/>
        </w:rPr>
      </w:pPr>
    </w:p>
    <w:p w14:paraId="3D638358" w14:textId="2138329C" w:rsidR="004000C4" w:rsidRPr="00FA697F" w:rsidRDefault="008060E6" w:rsidP="008F5ECF">
      <w:pPr>
        <w:spacing w:line="285" w:lineRule="atLeast"/>
        <w:ind w:left="1080" w:hanging="540"/>
        <w:jc w:val="both"/>
        <w:rPr>
          <w:rFonts w:eastAsia="Times New Roman" w:cstheme="minorHAnsi"/>
          <w:color w:val="000000" w:themeColor="text1"/>
        </w:rPr>
      </w:pPr>
      <w:proofErr w:type="gramStart"/>
      <w:r w:rsidRPr="005B6E76">
        <w:rPr>
          <w:rFonts w:eastAsia="Times New Roman" w:cstheme="minorHAnsi"/>
          <w:b/>
          <w:bCs/>
          <w:color w:val="000000"/>
        </w:rPr>
        <w:t>2</w:t>
      </w:r>
      <w:r w:rsidR="00A923CD" w:rsidRPr="005B6E76">
        <w:rPr>
          <w:rFonts w:eastAsia="Times New Roman" w:cstheme="minorHAnsi"/>
          <w:b/>
          <w:bCs/>
          <w:color w:val="000000"/>
        </w:rPr>
        <w:t>.</w:t>
      </w:r>
      <w:r w:rsidR="00026669" w:rsidRPr="005B6E76">
        <w:rPr>
          <w:rFonts w:eastAsia="Times New Roman" w:cstheme="minorHAnsi"/>
          <w:b/>
          <w:bCs/>
          <w:color w:val="000000"/>
        </w:rPr>
        <w:t>2</w:t>
      </w:r>
      <w:r w:rsidR="00A923CD" w:rsidRPr="00FA697F">
        <w:rPr>
          <w:rFonts w:eastAsia="Times New Roman" w:cstheme="minorHAnsi"/>
          <w:color w:val="000000"/>
        </w:rPr>
        <w:t xml:space="preserve">  </w:t>
      </w:r>
      <w:r w:rsidRPr="00FA697F">
        <w:rPr>
          <w:rFonts w:eastAsia="Times New Roman" w:cstheme="minorHAnsi"/>
          <w:color w:val="000000"/>
        </w:rPr>
        <w:tab/>
      </w:r>
      <w:proofErr w:type="gramEnd"/>
      <w:r w:rsidR="007B67A0" w:rsidRPr="00FA697F">
        <w:rPr>
          <w:rFonts w:eastAsia="Times New Roman" w:cstheme="minorHAnsi"/>
          <w:color w:val="000000"/>
        </w:rPr>
        <w:t>P</w:t>
      </w:r>
      <w:r w:rsidR="00715DD7" w:rsidRPr="00FA697F">
        <w:rPr>
          <w:rFonts w:eastAsia="Times New Roman" w:cstheme="minorHAnsi"/>
          <w:color w:val="000000"/>
        </w:rPr>
        <w:t>rovide</w:t>
      </w:r>
      <w:r w:rsidR="00EC6978" w:rsidRPr="00FA697F">
        <w:rPr>
          <w:rFonts w:eastAsia="Times New Roman" w:cstheme="minorHAnsi"/>
          <w:color w:val="000000"/>
        </w:rPr>
        <w:t xml:space="preserve"> </w:t>
      </w:r>
      <w:r w:rsidR="00715DD7" w:rsidRPr="00FA697F">
        <w:rPr>
          <w:rFonts w:eastAsia="Times New Roman" w:cstheme="minorHAnsi"/>
          <w:color w:val="000000"/>
        </w:rPr>
        <w:t xml:space="preserve">information regarding </w:t>
      </w:r>
      <w:r w:rsidR="007E2DD4" w:rsidRPr="00FA697F">
        <w:rPr>
          <w:rFonts w:eastAsia="Times New Roman" w:cstheme="minorHAnsi"/>
          <w:color w:val="000000"/>
        </w:rPr>
        <w:t>your ESPs</w:t>
      </w:r>
      <w:r w:rsidR="00EC6978" w:rsidRPr="00FA697F">
        <w:rPr>
          <w:rFonts w:eastAsia="Times New Roman" w:cstheme="minorHAnsi"/>
          <w:color w:val="000000"/>
        </w:rPr>
        <w:t xml:space="preserve"> standard pricing structure</w:t>
      </w:r>
      <w:r w:rsidR="00F311AA" w:rsidRPr="00FA697F">
        <w:rPr>
          <w:rFonts w:eastAsia="Times New Roman" w:cstheme="minorHAnsi"/>
          <w:color w:val="000000"/>
        </w:rPr>
        <w:t>s</w:t>
      </w:r>
      <w:r w:rsidR="00EC6978" w:rsidRPr="00FA697F">
        <w:rPr>
          <w:rFonts w:eastAsia="Times New Roman" w:cstheme="minorHAnsi"/>
          <w:color w:val="000000"/>
        </w:rPr>
        <w:t xml:space="preserve"> currently utilized</w:t>
      </w:r>
      <w:r w:rsidR="00A2481F" w:rsidRPr="00FA697F">
        <w:rPr>
          <w:rFonts w:eastAsia="Times New Roman" w:cstheme="minorHAnsi"/>
          <w:color w:val="000000"/>
        </w:rPr>
        <w:t xml:space="preserve"> </w:t>
      </w:r>
      <w:r w:rsidR="00F311AA" w:rsidRPr="00FA697F">
        <w:rPr>
          <w:rFonts w:eastAsia="Times New Roman" w:cstheme="minorHAnsi"/>
          <w:color w:val="000000"/>
        </w:rPr>
        <w:t xml:space="preserve">including </w:t>
      </w:r>
      <w:r w:rsidR="00507917" w:rsidRPr="00FA697F">
        <w:rPr>
          <w:rFonts w:eastAsia="Times New Roman" w:cstheme="minorHAnsi"/>
          <w:color w:val="000000" w:themeColor="text1"/>
        </w:rPr>
        <w:t>structure</w:t>
      </w:r>
      <w:r w:rsidR="00F311AA" w:rsidRPr="00FA697F">
        <w:rPr>
          <w:rFonts w:eastAsia="Times New Roman" w:cstheme="minorHAnsi"/>
          <w:color w:val="000000" w:themeColor="text1"/>
        </w:rPr>
        <w:t>s</w:t>
      </w:r>
      <w:r w:rsidR="00507917" w:rsidRPr="00FA697F">
        <w:rPr>
          <w:rFonts w:eastAsia="Times New Roman" w:cstheme="minorHAnsi"/>
          <w:color w:val="000000" w:themeColor="text1"/>
        </w:rPr>
        <w:t xml:space="preserve"> for different building profiles and s</w:t>
      </w:r>
      <w:r w:rsidR="007B67A0" w:rsidRPr="00FA697F">
        <w:rPr>
          <w:rFonts w:eastAsia="Times New Roman" w:cstheme="minorHAnsi"/>
          <w:color w:val="000000" w:themeColor="text1"/>
        </w:rPr>
        <w:t xml:space="preserve">ubmit relevant </w:t>
      </w:r>
      <w:r w:rsidR="00254E2E" w:rsidRPr="00FA697F">
        <w:rPr>
          <w:rFonts w:eastAsia="Times New Roman" w:cstheme="minorHAnsi"/>
          <w:color w:val="000000" w:themeColor="text1"/>
        </w:rPr>
        <w:t xml:space="preserve">sample </w:t>
      </w:r>
      <w:r w:rsidR="00507917" w:rsidRPr="00FA697F">
        <w:rPr>
          <w:rFonts w:eastAsia="Times New Roman" w:cstheme="minorHAnsi"/>
          <w:color w:val="000000" w:themeColor="text1"/>
        </w:rPr>
        <w:t>billing statements.</w:t>
      </w:r>
    </w:p>
    <w:p w14:paraId="43AFF680" w14:textId="42E3C133" w:rsidR="000536C4" w:rsidRPr="00576403" w:rsidRDefault="00D20A6C" w:rsidP="00576403">
      <w:pPr>
        <w:pStyle w:val="Heading2"/>
        <w:ind w:left="1080" w:hanging="540"/>
        <w:rPr>
          <w:rFonts w:asciiTheme="minorHAnsi" w:eastAsia="Times New Roman" w:hAnsiTheme="minorHAnsi" w:cstheme="minorHAnsi"/>
          <w:b w:val="0"/>
          <w:bCs w:val="0"/>
          <w:i w:val="0"/>
          <w:iCs w:val="0"/>
          <w:sz w:val="24"/>
          <w:szCs w:val="24"/>
        </w:rPr>
      </w:pPr>
      <w:r w:rsidRPr="005B6E76">
        <w:rPr>
          <w:rFonts w:asciiTheme="minorHAnsi" w:eastAsia="Times New Roman" w:hAnsiTheme="minorHAnsi" w:cstheme="minorHAnsi"/>
          <w:i w:val="0"/>
          <w:iCs w:val="0"/>
          <w:color w:val="000000" w:themeColor="text1"/>
          <w:sz w:val="24"/>
          <w:szCs w:val="24"/>
        </w:rPr>
        <w:t>2.3</w:t>
      </w:r>
      <w:r w:rsidR="7FBCA865" w:rsidRPr="00FA697F">
        <w:rPr>
          <w:rFonts w:asciiTheme="minorHAnsi" w:eastAsia="Times New Roman" w:hAnsiTheme="minorHAnsi" w:cstheme="minorHAnsi"/>
          <w:b w:val="0"/>
          <w:bCs w:val="0"/>
          <w:i w:val="0"/>
          <w:iCs w:val="0"/>
          <w:color w:val="000000" w:themeColor="text1"/>
          <w:sz w:val="24"/>
          <w:szCs w:val="24"/>
        </w:rPr>
        <w:t xml:space="preserve"> </w:t>
      </w:r>
      <w:r w:rsidR="008060E6" w:rsidRPr="00FA697F">
        <w:rPr>
          <w:rFonts w:asciiTheme="minorHAnsi" w:eastAsia="Times New Roman" w:hAnsiTheme="minorHAnsi" w:cstheme="minorHAnsi"/>
          <w:b w:val="0"/>
          <w:bCs w:val="0"/>
          <w:i w:val="0"/>
          <w:iCs w:val="0"/>
          <w:color w:val="000000" w:themeColor="text1"/>
          <w:sz w:val="24"/>
          <w:szCs w:val="24"/>
        </w:rPr>
        <w:tab/>
      </w:r>
      <w:r w:rsidR="297B3185" w:rsidRPr="00FA697F">
        <w:rPr>
          <w:rFonts w:asciiTheme="minorHAnsi" w:eastAsia="Times New Roman" w:hAnsiTheme="minorHAnsi" w:cstheme="minorHAnsi"/>
          <w:b w:val="0"/>
          <w:bCs w:val="0"/>
          <w:i w:val="0"/>
          <w:iCs w:val="0"/>
          <w:color w:val="000000" w:themeColor="text1"/>
          <w:sz w:val="24"/>
          <w:szCs w:val="24"/>
        </w:rPr>
        <w:t>Includ</w:t>
      </w:r>
      <w:r w:rsidR="7FBCA865" w:rsidRPr="00FA697F">
        <w:rPr>
          <w:rFonts w:asciiTheme="minorHAnsi" w:eastAsia="Times New Roman" w:hAnsiTheme="minorHAnsi" w:cstheme="minorHAnsi"/>
          <w:b w:val="0"/>
          <w:bCs w:val="0"/>
          <w:i w:val="0"/>
          <w:iCs w:val="0"/>
          <w:color w:val="000000" w:themeColor="text1"/>
          <w:sz w:val="24"/>
          <w:szCs w:val="24"/>
        </w:rPr>
        <w:t>e</w:t>
      </w:r>
      <w:r w:rsidR="297B3185" w:rsidRPr="00FA697F">
        <w:rPr>
          <w:rFonts w:asciiTheme="minorHAnsi" w:eastAsia="Times New Roman" w:hAnsiTheme="minorHAnsi" w:cstheme="minorHAnsi"/>
          <w:b w:val="0"/>
          <w:bCs w:val="0"/>
          <w:i w:val="0"/>
          <w:iCs w:val="0"/>
          <w:color w:val="000000" w:themeColor="text1"/>
          <w:sz w:val="24"/>
          <w:szCs w:val="24"/>
        </w:rPr>
        <w:t xml:space="preserve"> information</w:t>
      </w:r>
      <w:r w:rsidR="7FBCA865" w:rsidRPr="00FA697F">
        <w:rPr>
          <w:rFonts w:asciiTheme="minorHAnsi" w:eastAsia="Times New Roman" w:hAnsiTheme="minorHAnsi" w:cstheme="minorHAnsi"/>
          <w:b w:val="0"/>
          <w:bCs w:val="0"/>
          <w:i w:val="0"/>
          <w:iCs w:val="0"/>
          <w:color w:val="000000" w:themeColor="text1"/>
          <w:sz w:val="24"/>
          <w:szCs w:val="24"/>
        </w:rPr>
        <w:t xml:space="preserve"> in your response</w:t>
      </w:r>
      <w:r w:rsidR="297B3185" w:rsidRPr="00FA697F">
        <w:rPr>
          <w:rFonts w:asciiTheme="minorHAnsi" w:eastAsia="Times New Roman" w:hAnsiTheme="minorHAnsi" w:cstheme="minorHAnsi"/>
          <w:b w:val="0"/>
          <w:bCs w:val="0"/>
          <w:i w:val="0"/>
          <w:iCs w:val="0"/>
          <w:color w:val="000000" w:themeColor="text1"/>
          <w:sz w:val="24"/>
          <w:szCs w:val="24"/>
        </w:rPr>
        <w:t xml:space="preserve"> regarding billing structures</w:t>
      </w:r>
      <w:r w:rsidR="00576403">
        <w:rPr>
          <w:rFonts w:asciiTheme="minorHAnsi" w:eastAsia="Times New Roman" w:hAnsiTheme="minorHAnsi" w:cstheme="minorHAnsi"/>
          <w:b w:val="0"/>
          <w:bCs w:val="0"/>
          <w:i w:val="0"/>
          <w:iCs w:val="0"/>
          <w:color w:val="000000" w:themeColor="text1"/>
          <w:sz w:val="24"/>
          <w:szCs w:val="24"/>
        </w:rPr>
        <w:t xml:space="preserve">.  </w:t>
      </w:r>
      <w:r w:rsidR="0089684E" w:rsidRPr="00576403">
        <w:rPr>
          <w:rFonts w:asciiTheme="minorHAnsi" w:eastAsia="Times New Roman" w:hAnsiTheme="minorHAnsi" w:cstheme="minorHAnsi"/>
          <w:b w:val="0"/>
          <w:bCs w:val="0"/>
          <w:i w:val="0"/>
          <w:iCs w:val="0"/>
          <w:color w:val="000000"/>
          <w:sz w:val="24"/>
          <w:szCs w:val="24"/>
        </w:rPr>
        <w:t>Using the</w:t>
      </w:r>
      <w:r w:rsidR="00173D66" w:rsidRPr="00576403">
        <w:rPr>
          <w:rFonts w:asciiTheme="minorHAnsi" w:eastAsia="Times New Roman" w:hAnsiTheme="minorHAnsi" w:cstheme="minorHAnsi"/>
          <w:b w:val="0"/>
          <w:bCs w:val="0"/>
          <w:i w:val="0"/>
          <w:iCs w:val="0"/>
          <w:color w:val="000000"/>
          <w:sz w:val="24"/>
          <w:szCs w:val="24"/>
        </w:rPr>
        <w:t xml:space="preserve"> </w:t>
      </w:r>
      <w:r w:rsidR="001E15E9" w:rsidRPr="00576403">
        <w:rPr>
          <w:rFonts w:asciiTheme="minorHAnsi" w:eastAsia="Times New Roman" w:hAnsiTheme="minorHAnsi" w:cstheme="minorHAnsi"/>
          <w:b w:val="0"/>
          <w:bCs w:val="0"/>
          <w:i w:val="0"/>
          <w:iCs w:val="0"/>
          <w:color w:val="000000"/>
          <w:sz w:val="24"/>
          <w:szCs w:val="24"/>
        </w:rPr>
        <w:t>s</w:t>
      </w:r>
      <w:r w:rsidR="00551198" w:rsidRPr="00576403">
        <w:rPr>
          <w:rFonts w:asciiTheme="minorHAnsi" w:eastAsia="Times New Roman" w:hAnsiTheme="minorHAnsi" w:cstheme="minorHAnsi"/>
          <w:b w:val="0"/>
          <w:bCs w:val="0"/>
          <w:i w:val="0"/>
          <w:iCs w:val="0"/>
          <w:color w:val="000000"/>
          <w:sz w:val="24"/>
          <w:szCs w:val="24"/>
        </w:rPr>
        <w:t xml:space="preserve">ample </w:t>
      </w:r>
      <w:r w:rsidR="00AE4453" w:rsidRPr="00576403">
        <w:rPr>
          <w:rFonts w:asciiTheme="minorHAnsi" w:eastAsia="Times New Roman" w:hAnsiTheme="minorHAnsi" w:cstheme="minorHAnsi"/>
          <w:b w:val="0"/>
          <w:bCs w:val="0"/>
          <w:i w:val="0"/>
          <w:iCs w:val="0"/>
          <w:color w:val="000000"/>
          <w:sz w:val="24"/>
          <w:szCs w:val="24"/>
        </w:rPr>
        <w:t xml:space="preserve">DSP bundled </w:t>
      </w:r>
      <w:r w:rsidR="001E15E9" w:rsidRPr="00576403">
        <w:rPr>
          <w:rFonts w:asciiTheme="minorHAnsi" w:eastAsia="Times New Roman" w:hAnsiTheme="minorHAnsi" w:cstheme="minorHAnsi"/>
          <w:b w:val="0"/>
          <w:bCs w:val="0"/>
          <w:i w:val="0"/>
          <w:iCs w:val="0"/>
          <w:color w:val="000000"/>
          <w:sz w:val="24"/>
          <w:szCs w:val="24"/>
        </w:rPr>
        <w:t>h</w:t>
      </w:r>
      <w:r w:rsidR="0089684E" w:rsidRPr="00576403">
        <w:rPr>
          <w:rFonts w:asciiTheme="minorHAnsi" w:eastAsia="Times New Roman" w:hAnsiTheme="minorHAnsi" w:cstheme="minorHAnsi"/>
          <w:b w:val="0"/>
          <w:bCs w:val="0"/>
          <w:i w:val="0"/>
          <w:iCs w:val="0"/>
          <w:color w:val="000000"/>
          <w:sz w:val="24"/>
          <w:szCs w:val="24"/>
        </w:rPr>
        <w:t xml:space="preserve">istorical </w:t>
      </w:r>
      <w:r w:rsidR="001E15E9" w:rsidRPr="00576403">
        <w:rPr>
          <w:rFonts w:asciiTheme="minorHAnsi" w:eastAsia="Times New Roman" w:hAnsiTheme="minorHAnsi" w:cstheme="minorHAnsi"/>
          <w:b w:val="0"/>
          <w:bCs w:val="0"/>
          <w:i w:val="0"/>
          <w:iCs w:val="0"/>
          <w:color w:val="000000"/>
          <w:sz w:val="24"/>
          <w:szCs w:val="24"/>
        </w:rPr>
        <w:t>e</w:t>
      </w:r>
      <w:r w:rsidR="0089684E" w:rsidRPr="00576403">
        <w:rPr>
          <w:rFonts w:asciiTheme="minorHAnsi" w:eastAsia="Times New Roman" w:hAnsiTheme="minorHAnsi" w:cstheme="minorHAnsi"/>
          <w:b w:val="0"/>
          <w:bCs w:val="0"/>
          <w:i w:val="0"/>
          <w:iCs w:val="0"/>
          <w:color w:val="000000"/>
          <w:sz w:val="24"/>
          <w:szCs w:val="24"/>
        </w:rPr>
        <w:t xml:space="preserve">lectricity </w:t>
      </w:r>
      <w:r w:rsidR="001E15E9" w:rsidRPr="00576403">
        <w:rPr>
          <w:rFonts w:asciiTheme="minorHAnsi" w:eastAsia="Times New Roman" w:hAnsiTheme="minorHAnsi" w:cstheme="minorHAnsi"/>
          <w:b w:val="0"/>
          <w:bCs w:val="0"/>
          <w:i w:val="0"/>
          <w:iCs w:val="0"/>
          <w:color w:val="000000"/>
          <w:sz w:val="24"/>
          <w:szCs w:val="24"/>
        </w:rPr>
        <w:t>s</w:t>
      </w:r>
      <w:r w:rsidR="008F4C8C" w:rsidRPr="00576403">
        <w:rPr>
          <w:rFonts w:asciiTheme="minorHAnsi" w:eastAsia="Times New Roman" w:hAnsiTheme="minorHAnsi" w:cstheme="minorHAnsi"/>
          <w:b w:val="0"/>
          <w:bCs w:val="0"/>
          <w:i w:val="0"/>
          <w:iCs w:val="0"/>
          <w:color w:val="000000"/>
          <w:sz w:val="24"/>
          <w:szCs w:val="24"/>
        </w:rPr>
        <w:t xml:space="preserve">ervice </w:t>
      </w:r>
      <w:r w:rsidR="001E15E9" w:rsidRPr="00576403">
        <w:rPr>
          <w:rFonts w:asciiTheme="minorHAnsi" w:eastAsia="Times New Roman" w:hAnsiTheme="minorHAnsi" w:cstheme="minorHAnsi"/>
          <w:b w:val="0"/>
          <w:bCs w:val="0"/>
          <w:i w:val="0"/>
          <w:iCs w:val="0"/>
          <w:color w:val="000000"/>
          <w:sz w:val="24"/>
          <w:szCs w:val="24"/>
        </w:rPr>
        <w:t>l</w:t>
      </w:r>
      <w:r w:rsidR="0089684E" w:rsidRPr="00576403">
        <w:rPr>
          <w:rFonts w:asciiTheme="minorHAnsi" w:eastAsia="Times New Roman" w:hAnsiTheme="minorHAnsi" w:cstheme="minorHAnsi"/>
          <w:b w:val="0"/>
          <w:bCs w:val="0"/>
          <w:i w:val="0"/>
          <w:iCs w:val="0"/>
          <w:color w:val="000000"/>
          <w:sz w:val="24"/>
          <w:szCs w:val="24"/>
        </w:rPr>
        <w:t xml:space="preserve">oad </w:t>
      </w:r>
      <w:r w:rsidR="001E15E9" w:rsidRPr="00576403">
        <w:rPr>
          <w:rFonts w:asciiTheme="minorHAnsi" w:eastAsia="Times New Roman" w:hAnsiTheme="minorHAnsi" w:cstheme="minorHAnsi"/>
          <w:b w:val="0"/>
          <w:bCs w:val="0"/>
          <w:i w:val="0"/>
          <w:iCs w:val="0"/>
          <w:color w:val="000000"/>
          <w:sz w:val="24"/>
          <w:szCs w:val="24"/>
        </w:rPr>
        <w:t>d</w:t>
      </w:r>
      <w:r w:rsidR="0089684E" w:rsidRPr="00576403">
        <w:rPr>
          <w:rFonts w:asciiTheme="minorHAnsi" w:eastAsia="Times New Roman" w:hAnsiTheme="minorHAnsi" w:cstheme="minorHAnsi"/>
          <w:b w:val="0"/>
          <w:bCs w:val="0"/>
          <w:i w:val="0"/>
          <w:iCs w:val="0"/>
          <w:color w:val="000000"/>
          <w:sz w:val="24"/>
          <w:szCs w:val="24"/>
        </w:rPr>
        <w:t xml:space="preserve">ata </w:t>
      </w:r>
      <w:r w:rsidR="00875CA1" w:rsidRPr="00576403">
        <w:rPr>
          <w:rFonts w:asciiTheme="minorHAnsi" w:eastAsia="Times New Roman" w:hAnsiTheme="minorHAnsi" w:cstheme="minorHAnsi"/>
          <w:b w:val="0"/>
          <w:bCs w:val="0"/>
          <w:i w:val="0"/>
          <w:iCs w:val="0"/>
          <w:color w:val="000000"/>
          <w:sz w:val="24"/>
          <w:szCs w:val="24"/>
        </w:rPr>
        <w:t>inc</w:t>
      </w:r>
      <w:r w:rsidR="00551198" w:rsidRPr="00576403">
        <w:rPr>
          <w:rFonts w:asciiTheme="minorHAnsi" w:eastAsia="Times New Roman" w:hAnsiTheme="minorHAnsi" w:cstheme="minorHAnsi"/>
          <w:b w:val="0"/>
          <w:bCs w:val="0"/>
          <w:i w:val="0"/>
          <w:iCs w:val="0"/>
          <w:color w:val="000000"/>
          <w:sz w:val="24"/>
          <w:szCs w:val="24"/>
        </w:rPr>
        <w:t>luded with the RFQ as</w:t>
      </w:r>
      <w:r w:rsidR="00CF6072" w:rsidRPr="00576403">
        <w:rPr>
          <w:rFonts w:asciiTheme="minorHAnsi" w:eastAsia="Times New Roman" w:hAnsiTheme="minorHAnsi" w:cstheme="minorHAnsi"/>
          <w:b w:val="0"/>
          <w:bCs w:val="0"/>
          <w:i w:val="0"/>
          <w:iCs w:val="0"/>
          <w:color w:val="000000"/>
          <w:sz w:val="24"/>
          <w:szCs w:val="24"/>
        </w:rPr>
        <w:t xml:space="preserve"> Attachment</w:t>
      </w:r>
      <w:r w:rsidR="009A3D66" w:rsidRPr="00576403">
        <w:rPr>
          <w:rFonts w:asciiTheme="minorHAnsi" w:eastAsia="Times New Roman" w:hAnsiTheme="minorHAnsi" w:cstheme="minorHAnsi"/>
          <w:b w:val="0"/>
          <w:bCs w:val="0"/>
          <w:i w:val="0"/>
          <w:iCs w:val="0"/>
          <w:color w:val="000000"/>
          <w:sz w:val="24"/>
          <w:szCs w:val="24"/>
        </w:rPr>
        <w:t xml:space="preserve"> </w:t>
      </w:r>
      <w:r w:rsidR="00EB45FD">
        <w:rPr>
          <w:rFonts w:asciiTheme="minorHAnsi" w:eastAsia="Times New Roman" w:hAnsiTheme="minorHAnsi" w:cstheme="minorHAnsi"/>
          <w:b w:val="0"/>
          <w:bCs w:val="0"/>
          <w:i w:val="0"/>
          <w:iCs w:val="0"/>
          <w:color w:val="000000"/>
          <w:sz w:val="24"/>
          <w:szCs w:val="24"/>
        </w:rPr>
        <w:t>K</w:t>
      </w:r>
      <w:r w:rsidR="004A2FDF" w:rsidRPr="00576403">
        <w:rPr>
          <w:rFonts w:asciiTheme="minorHAnsi" w:eastAsia="Times New Roman" w:hAnsiTheme="minorHAnsi" w:cstheme="minorHAnsi"/>
          <w:b w:val="0"/>
          <w:bCs w:val="0"/>
          <w:i w:val="0"/>
          <w:iCs w:val="0"/>
          <w:color w:val="000000"/>
          <w:sz w:val="24"/>
          <w:szCs w:val="24"/>
        </w:rPr>
        <w:t xml:space="preserve">, </w:t>
      </w:r>
      <w:r w:rsidR="00CF6072" w:rsidRPr="00576403">
        <w:rPr>
          <w:rFonts w:asciiTheme="minorHAnsi" w:eastAsia="Times New Roman" w:hAnsiTheme="minorHAnsi" w:cstheme="minorHAnsi"/>
          <w:b w:val="0"/>
          <w:bCs w:val="0"/>
          <w:i w:val="0"/>
          <w:iCs w:val="0"/>
          <w:color w:val="000000"/>
          <w:sz w:val="24"/>
          <w:szCs w:val="24"/>
        </w:rPr>
        <w:t>Sample</w:t>
      </w:r>
      <w:r w:rsidR="009A3D66" w:rsidRPr="00576403">
        <w:rPr>
          <w:rFonts w:asciiTheme="minorHAnsi" w:eastAsia="Times New Roman" w:hAnsiTheme="minorHAnsi" w:cstheme="minorHAnsi"/>
          <w:b w:val="0"/>
          <w:bCs w:val="0"/>
          <w:i w:val="0"/>
          <w:iCs w:val="0"/>
          <w:color w:val="000000"/>
          <w:sz w:val="24"/>
          <w:szCs w:val="24"/>
        </w:rPr>
        <w:t xml:space="preserve"> H</w:t>
      </w:r>
      <w:r w:rsidR="00CF6072" w:rsidRPr="00576403">
        <w:rPr>
          <w:rFonts w:asciiTheme="minorHAnsi" w:eastAsia="Times New Roman" w:hAnsiTheme="minorHAnsi" w:cstheme="minorHAnsi"/>
          <w:b w:val="0"/>
          <w:bCs w:val="0"/>
          <w:i w:val="0"/>
          <w:iCs w:val="0"/>
          <w:color w:val="000000"/>
          <w:sz w:val="24"/>
          <w:szCs w:val="24"/>
        </w:rPr>
        <w:t>istorical</w:t>
      </w:r>
      <w:r w:rsidR="004A2FDF" w:rsidRPr="00576403">
        <w:rPr>
          <w:rFonts w:asciiTheme="minorHAnsi" w:eastAsia="Times New Roman" w:hAnsiTheme="minorHAnsi" w:cstheme="minorHAnsi"/>
          <w:b w:val="0"/>
          <w:bCs w:val="0"/>
          <w:i w:val="0"/>
          <w:iCs w:val="0"/>
          <w:color w:val="000000"/>
          <w:sz w:val="24"/>
          <w:szCs w:val="24"/>
        </w:rPr>
        <w:t xml:space="preserve"> </w:t>
      </w:r>
      <w:r w:rsidR="009A3D66" w:rsidRPr="00576403">
        <w:rPr>
          <w:rFonts w:asciiTheme="minorHAnsi" w:eastAsia="Times New Roman" w:hAnsiTheme="minorHAnsi" w:cstheme="minorHAnsi"/>
          <w:b w:val="0"/>
          <w:bCs w:val="0"/>
          <w:i w:val="0"/>
          <w:iCs w:val="0"/>
          <w:color w:val="000000"/>
          <w:sz w:val="24"/>
          <w:szCs w:val="24"/>
        </w:rPr>
        <w:t>E</w:t>
      </w:r>
      <w:r w:rsidR="00CF6072" w:rsidRPr="00576403">
        <w:rPr>
          <w:rFonts w:asciiTheme="minorHAnsi" w:eastAsia="Times New Roman" w:hAnsiTheme="minorHAnsi" w:cstheme="minorHAnsi"/>
          <w:b w:val="0"/>
          <w:bCs w:val="0"/>
          <w:i w:val="0"/>
          <w:iCs w:val="0"/>
          <w:color w:val="000000"/>
          <w:sz w:val="24"/>
          <w:szCs w:val="24"/>
        </w:rPr>
        <w:t>lectricity</w:t>
      </w:r>
      <w:r w:rsidR="009A3D66" w:rsidRPr="00576403">
        <w:rPr>
          <w:rFonts w:asciiTheme="minorHAnsi" w:eastAsia="Times New Roman" w:hAnsiTheme="minorHAnsi" w:cstheme="minorHAnsi"/>
          <w:b w:val="0"/>
          <w:bCs w:val="0"/>
          <w:i w:val="0"/>
          <w:iCs w:val="0"/>
          <w:color w:val="000000"/>
          <w:sz w:val="24"/>
          <w:szCs w:val="24"/>
        </w:rPr>
        <w:t xml:space="preserve"> U</w:t>
      </w:r>
      <w:r w:rsidR="00CF6072" w:rsidRPr="00576403">
        <w:rPr>
          <w:rFonts w:asciiTheme="minorHAnsi" w:eastAsia="Times New Roman" w:hAnsiTheme="minorHAnsi" w:cstheme="minorHAnsi"/>
          <w:b w:val="0"/>
          <w:bCs w:val="0"/>
          <w:i w:val="0"/>
          <w:iCs w:val="0"/>
          <w:color w:val="000000"/>
          <w:sz w:val="24"/>
          <w:szCs w:val="24"/>
        </w:rPr>
        <w:t>sage</w:t>
      </w:r>
      <w:r w:rsidR="004A2FDF" w:rsidRPr="00576403">
        <w:rPr>
          <w:rFonts w:asciiTheme="minorHAnsi" w:eastAsia="Times New Roman" w:hAnsiTheme="minorHAnsi" w:cstheme="minorHAnsi"/>
          <w:b w:val="0"/>
          <w:bCs w:val="0"/>
          <w:i w:val="0"/>
          <w:iCs w:val="0"/>
          <w:color w:val="000000"/>
          <w:sz w:val="24"/>
          <w:szCs w:val="24"/>
        </w:rPr>
        <w:t>,</w:t>
      </w:r>
      <w:r w:rsidR="0089684E" w:rsidRPr="00576403">
        <w:rPr>
          <w:rFonts w:asciiTheme="minorHAnsi" w:eastAsia="Times New Roman" w:hAnsiTheme="minorHAnsi" w:cstheme="minorHAnsi"/>
          <w:b w:val="0"/>
          <w:bCs w:val="0"/>
          <w:i w:val="0"/>
          <w:iCs w:val="0"/>
          <w:color w:val="000000"/>
          <w:sz w:val="24"/>
          <w:szCs w:val="24"/>
        </w:rPr>
        <w:t xml:space="preserve"> display the hypothetical </w:t>
      </w:r>
      <w:r w:rsidR="005D7E03" w:rsidRPr="00576403">
        <w:rPr>
          <w:rFonts w:asciiTheme="minorHAnsi" w:eastAsia="Times New Roman" w:hAnsiTheme="minorHAnsi" w:cstheme="minorHAnsi"/>
          <w:b w:val="0"/>
          <w:bCs w:val="0"/>
          <w:i w:val="0"/>
          <w:iCs w:val="0"/>
          <w:color w:val="000000"/>
          <w:sz w:val="24"/>
          <w:szCs w:val="24"/>
        </w:rPr>
        <w:t>MWh</w:t>
      </w:r>
      <w:r w:rsidR="0089684E" w:rsidRPr="00576403">
        <w:rPr>
          <w:rFonts w:asciiTheme="minorHAnsi" w:eastAsia="Times New Roman" w:hAnsiTheme="minorHAnsi" w:cstheme="minorHAnsi"/>
          <w:b w:val="0"/>
          <w:bCs w:val="0"/>
          <w:i w:val="0"/>
          <w:iCs w:val="0"/>
          <w:color w:val="000000"/>
          <w:sz w:val="24"/>
          <w:szCs w:val="24"/>
        </w:rPr>
        <w:t xml:space="preserve"> </w:t>
      </w:r>
      <w:r w:rsidR="009B411D" w:rsidRPr="00576403">
        <w:rPr>
          <w:rFonts w:asciiTheme="minorHAnsi" w:eastAsia="Times New Roman" w:hAnsiTheme="minorHAnsi" w:cstheme="minorHAnsi"/>
          <w:b w:val="0"/>
          <w:bCs w:val="0"/>
          <w:i w:val="0"/>
          <w:iCs w:val="0"/>
          <w:color w:val="000000"/>
          <w:sz w:val="24"/>
          <w:szCs w:val="24"/>
        </w:rPr>
        <w:t>Rate</w:t>
      </w:r>
      <w:r w:rsidR="0089684E" w:rsidRPr="00576403">
        <w:rPr>
          <w:rFonts w:asciiTheme="minorHAnsi" w:eastAsia="Times New Roman" w:hAnsiTheme="minorHAnsi" w:cstheme="minorHAnsi"/>
          <w:b w:val="0"/>
          <w:bCs w:val="0"/>
          <w:i w:val="0"/>
          <w:iCs w:val="0"/>
          <w:color w:val="000000"/>
          <w:sz w:val="24"/>
          <w:szCs w:val="24"/>
        </w:rPr>
        <w:t xml:space="preserve"> </w:t>
      </w:r>
      <w:r w:rsidR="009A3D66" w:rsidRPr="00576403">
        <w:rPr>
          <w:rFonts w:asciiTheme="minorHAnsi" w:eastAsia="Times New Roman" w:hAnsiTheme="minorHAnsi" w:cstheme="minorHAnsi"/>
          <w:b w:val="0"/>
          <w:bCs w:val="0"/>
          <w:i w:val="0"/>
          <w:iCs w:val="0"/>
          <w:color w:val="000000"/>
          <w:sz w:val="24"/>
          <w:szCs w:val="24"/>
        </w:rPr>
        <w:t xml:space="preserve">for </w:t>
      </w:r>
      <w:r w:rsidR="009B411D" w:rsidRPr="00576403">
        <w:rPr>
          <w:rFonts w:asciiTheme="minorHAnsi" w:eastAsia="Times New Roman" w:hAnsiTheme="minorHAnsi" w:cstheme="minorHAnsi"/>
          <w:b w:val="0"/>
          <w:bCs w:val="0"/>
          <w:i w:val="0"/>
          <w:iCs w:val="0"/>
          <w:color w:val="000000"/>
          <w:sz w:val="24"/>
          <w:szCs w:val="24"/>
        </w:rPr>
        <w:t>E</w:t>
      </w:r>
      <w:r w:rsidR="0065776E" w:rsidRPr="00576403">
        <w:rPr>
          <w:rFonts w:asciiTheme="minorHAnsi" w:eastAsia="Times New Roman" w:hAnsiTheme="minorHAnsi" w:cstheme="minorHAnsi"/>
          <w:b w:val="0"/>
          <w:bCs w:val="0"/>
          <w:i w:val="0"/>
          <w:iCs w:val="0"/>
          <w:color w:val="000000"/>
          <w:sz w:val="24"/>
          <w:szCs w:val="24"/>
        </w:rPr>
        <w:t>lectricity</w:t>
      </w:r>
      <w:r w:rsidR="00931D45" w:rsidRPr="00576403">
        <w:rPr>
          <w:rFonts w:asciiTheme="minorHAnsi" w:eastAsia="Times New Roman" w:hAnsiTheme="minorHAnsi" w:cstheme="minorHAnsi"/>
          <w:b w:val="0"/>
          <w:bCs w:val="0"/>
          <w:i w:val="0"/>
          <w:iCs w:val="0"/>
          <w:color w:val="000000"/>
          <w:sz w:val="24"/>
          <w:szCs w:val="24"/>
        </w:rPr>
        <w:t xml:space="preserve">.  Indicate </w:t>
      </w:r>
      <w:r w:rsidR="008A7134" w:rsidRPr="00576403">
        <w:rPr>
          <w:rFonts w:asciiTheme="minorHAnsi" w:eastAsia="Times New Roman" w:hAnsiTheme="minorHAnsi" w:cstheme="minorHAnsi"/>
          <w:b w:val="0"/>
          <w:bCs w:val="0"/>
          <w:i w:val="0"/>
          <w:iCs w:val="0"/>
          <w:color w:val="000000"/>
          <w:sz w:val="24"/>
          <w:szCs w:val="24"/>
        </w:rPr>
        <w:t>your ESP’s</w:t>
      </w:r>
      <w:r w:rsidR="0089684E" w:rsidRPr="00576403">
        <w:rPr>
          <w:rFonts w:asciiTheme="minorHAnsi" w:eastAsia="Times New Roman" w:hAnsiTheme="minorHAnsi" w:cstheme="minorHAnsi"/>
          <w:b w:val="0"/>
          <w:bCs w:val="0"/>
          <w:i w:val="0"/>
          <w:iCs w:val="0"/>
          <w:color w:val="000000"/>
          <w:sz w:val="24"/>
          <w:szCs w:val="24"/>
        </w:rPr>
        <w:t xml:space="preserve"> proposed pricing structure(s)</w:t>
      </w:r>
      <w:r w:rsidR="00642E68" w:rsidRPr="00576403">
        <w:rPr>
          <w:rFonts w:asciiTheme="minorHAnsi" w:eastAsia="Times New Roman" w:hAnsiTheme="minorHAnsi" w:cstheme="minorHAnsi"/>
          <w:b w:val="0"/>
          <w:bCs w:val="0"/>
          <w:i w:val="0"/>
          <w:iCs w:val="0"/>
          <w:color w:val="000000"/>
          <w:sz w:val="24"/>
          <w:szCs w:val="24"/>
        </w:rPr>
        <w:t xml:space="preserve"> per</w:t>
      </w:r>
      <w:r w:rsidR="002C240D" w:rsidRPr="00576403">
        <w:rPr>
          <w:rFonts w:asciiTheme="minorHAnsi" w:eastAsia="Times New Roman" w:hAnsiTheme="minorHAnsi" w:cstheme="minorHAnsi"/>
          <w:b w:val="0"/>
          <w:bCs w:val="0"/>
          <w:i w:val="0"/>
          <w:iCs w:val="0"/>
          <w:color w:val="000000"/>
          <w:sz w:val="24"/>
          <w:szCs w:val="24"/>
        </w:rPr>
        <w:t xml:space="preserve"> MWh</w:t>
      </w:r>
      <w:r w:rsidR="0089684E" w:rsidRPr="00576403">
        <w:rPr>
          <w:rFonts w:asciiTheme="minorHAnsi" w:eastAsia="Times New Roman" w:hAnsiTheme="minorHAnsi" w:cstheme="minorHAnsi"/>
          <w:b w:val="0"/>
          <w:bCs w:val="0"/>
          <w:i w:val="0"/>
          <w:iCs w:val="0"/>
          <w:color w:val="000000"/>
          <w:sz w:val="24"/>
          <w:szCs w:val="24"/>
        </w:rPr>
        <w:t>, basing your proposal on the calendar year 2019 data</w:t>
      </w:r>
      <w:r w:rsidR="009B411D" w:rsidRPr="00576403">
        <w:rPr>
          <w:rFonts w:asciiTheme="minorHAnsi" w:eastAsia="Times New Roman" w:hAnsiTheme="minorHAnsi" w:cstheme="minorHAnsi"/>
          <w:b w:val="0"/>
          <w:bCs w:val="0"/>
          <w:i w:val="0"/>
          <w:iCs w:val="0"/>
          <w:color w:val="000000"/>
          <w:sz w:val="24"/>
          <w:szCs w:val="24"/>
        </w:rPr>
        <w:t xml:space="preserve"> as provided in Attachment </w:t>
      </w:r>
      <w:r w:rsidR="00EB45FD">
        <w:rPr>
          <w:rFonts w:asciiTheme="minorHAnsi" w:eastAsia="Times New Roman" w:hAnsiTheme="minorHAnsi" w:cstheme="minorHAnsi"/>
          <w:b w:val="0"/>
          <w:bCs w:val="0"/>
          <w:i w:val="0"/>
          <w:iCs w:val="0"/>
          <w:color w:val="000000"/>
          <w:sz w:val="24"/>
          <w:szCs w:val="24"/>
        </w:rPr>
        <w:t>K</w:t>
      </w:r>
      <w:r w:rsidR="009B411D" w:rsidRPr="00576403">
        <w:rPr>
          <w:rFonts w:asciiTheme="minorHAnsi" w:eastAsia="Times New Roman" w:hAnsiTheme="minorHAnsi" w:cstheme="minorHAnsi"/>
          <w:b w:val="0"/>
          <w:bCs w:val="0"/>
          <w:i w:val="0"/>
          <w:iCs w:val="0"/>
          <w:color w:val="000000"/>
          <w:sz w:val="24"/>
          <w:szCs w:val="24"/>
        </w:rPr>
        <w:t>.</w:t>
      </w:r>
    </w:p>
    <w:p w14:paraId="25E76E15" w14:textId="10647DD3" w:rsidR="006C1FD7" w:rsidRPr="006C1FD7" w:rsidRDefault="00576403" w:rsidP="00576403">
      <w:pPr>
        <w:spacing w:before="60" w:after="60" w:line="240" w:lineRule="auto"/>
        <w:ind w:left="2160" w:hanging="720"/>
        <w:rPr>
          <w:rFonts w:eastAsia="Calibri" w:cstheme="minorHAnsi"/>
        </w:rPr>
      </w:pPr>
      <w:r>
        <w:rPr>
          <w:rFonts w:eastAsia="Calibri" w:cstheme="minorHAnsi"/>
          <w:b/>
        </w:rPr>
        <w:t>2.3.1</w:t>
      </w:r>
      <w:r w:rsidR="009B411D">
        <w:rPr>
          <w:rFonts w:eastAsia="Calibri" w:cstheme="minorHAnsi"/>
          <w:b/>
        </w:rPr>
        <w:t>)</w:t>
      </w:r>
      <w:r w:rsidR="009B411D">
        <w:rPr>
          <w:rFonts w:eastAsia="Calibri" w:cstheme="minorHAnsi"/>
          <w:b/>
        </w:rPr>
        <w:tab/>
      </w:r>
      <w:r w:rsidR="002C6690" w:rsidRPr="00FA697F">
        <w:rPr>
          <w:rFonts w:eastAsia="Calibri" w:cstheme="minorHAnsi"/>
          <w:b/>
        </w:rPr>
        <w:t xml:space="preserve">Provide </w:t>
      </w:r>
      <w:r w:rsidR="00F60660">
        <w:rPr>
          <w:rFonts w:eastAsia="Calibri" w:cstheme="minorHAnsi"/>
          <w:b/>
        </w:rPr>
        <w:t>each</w:t>
      </w:r>
      <w:r w:rsidR="008D240A">
        <w:rPr>
          <w:rFonts w:eastAsia="Calibri" w:cstheme="minorHAnsi"/>
          <w:b/>
        </w:rPr>
        <w:t xml:space="preserve"> of the below </w:t>
      </w:r>
      <w:r w:rsidR="0013191F" w:rsidRPr="00FA697F">
        <w:rPr>
          <w:rFonts w:eastAsia="Calibri" w:cstheme="minorHAnsi"/>
          <w:b/>
        </w:rPr>
        <w:t>pricing scenario</w:t>
      </w:r>
      <w:r w:rsidR="008D240A">
        <w:rPr>
          <w:rFonts w:eastAsia="Calibri" w:cstheme="minorHAnsi"/>
          <w:b/>
        </w:rPr>
        <w:t>s</w:t>
      </w:r>
      <w:r w:rsidR="0013191F" w:rsidRPr="00FA697F">
        <w:rPr>
          <w:rFonts w:eastAsia="Calibri" w:cstheme="minorHAnsi"/>
          <w:b/>
        </w:rPr>
        <w:t xml:space="preserve"> for op</w:t>
      </w:r>
      <w:r w:rsidR="00E76DDC" w:rsidRPr="00FA697F">
        <w:rPr>
          <w:rFonts w:eastAsia="Calibri" w:cstheme="minorHAnsi"/>
          <w:b/>
        </w:rPr>
        <w:t xml:space="preserve">tions 1, </w:t>
      </w:r>
      <w:r w:rsidR="00045D63" w:rsidRPr="00FA697F">
        <w:rPr>
          <w:rFonts w:eastAsia="Calibri" w:cstheme="minorHAnsi"/>
          <w:b/>
        </w:rPr>
        <w:t>2, 3</w:t>
      </w:r>
      <w:r w:rsidR="007328E2" w:rsidRPr="00FA697F">
        <w:rPr>
          <w:rFonts w:eastAsia="Calibri" w:cstheme="minorHAnsi"/>
          <w:b/>
        </w:rPr>
        <w:t xml:space="preserve">, 4. </w:t>
      </w:r>
    </w:p>
    <w:p w14:paraId="3A76DA6B" w14:textId="2731E852" w:rsidR="006C1FD7" w:rsidRPr="006C1FD7" w:rsidRDefault="006C1FD7" w:rsidP="003E324F">
      <w:pPr>
        <w:spacing w:before="60" w:after="60" w:line="240" w:lineRule="auto"/>
        <w:ind w:left="2520"/>
        <w:rPr>
          <w:rFonts w:eastAsia="Calibri" w:cstheme="minorHAnsi"/>
        </w:rPr>
      </w:pPr>
      <w:r w:rsidRPr="006C1FD7">
        <w:rPr>
          <w:rFonts w:eastAsia="Calibri" w:cstheme="minorHAnsi"/>
          <w:b/>
          <w:bCs/>
        </w:rPr>
        <w:t>Option 1</w:t>
      </w:r>
      <w:r w:rsidR="001F2B93" w:rsidRPr="008D240A">
        <w:rPr>
          <w:rFonts w:eastAsia="Calibri" w:cstheme="minorHAnsi"/>
          <w:b/>
          <w:bCs/>
        </w:rPr>
        <w:t>:</w:t>
      </w:r>
      <w:r w:rsidR="001F2B93" w:rsidRPr="00FA697F">
        <w:rPr>
          <w:rFonts w:eastAsia="Calibri" w:cstheme="minorHAnsi"/>
        </w:rPr>
        <w:t xml:space="preserve"> 12 Month</w:t>
      </w:r>
      <w:r w:rsidR="00CD09BD" w:rsidRPr="00FA697F">
        <w:rPr>
          <w:rFonts w:eastAsia="Calibri" w:cstheme="minorHAnsi"/>
        </w:rPr>
        <w:t>s</w:t>
      </w:r>
    </w:p>
    <w:p w14:paraId="7CA61CF3" w14:textId="01F53BDE" w:rsidR="006C1FD7" w:rsidRPr="006C1FD7" w:rsidRDefault="006C1FD7" w:rsidP="003E324F">
      <w:pPr>
        <w:spacing w:before="60" w:after="60" w:line="240" w:lineRule="auto"/>
        <w:ind w:left="2520"/>
        <w:rPr>
          <w:rFonts w:eastAsia="Calibri" w:cstheme="minorHAnsi"/>
        </w:rPr>
      </w:pPr>
      <w:r w:rsidRPr="006C1FD7">
        <w:rPr>
          <w:rFonts w:eastAsia="Calibri" w:cstheme="minorHAnsi"/>
          <w:b/>
          <w:bCs/>
        </w:rPr>
        <w:t>Option 2</w:t>
      </w:r>
      <w:r w:rsidR="00E90940" w:rsidRPr="008D240A">
        <w:rPr>
          <w:rFonts w:eastAsia="Calibri" w:cstheme="minorHAnsi"/>
          <w:b/>
          <w:bCs/>
        </w:rPr>
        <w:t>:</w:t>
      </w:r>
      <w:r w:rsidR="00E90940" w:rsidRPr="00FA697F">
        <w:rPr>
          <w:rFonts w:eastAsia="Calibri" w:cstheme="minorHAnsi"/>
        </w:rPr>
        <w:t xml:space="preserve"> 24 Months</w:t>
      </w:r>
    </w:p>
    <w:p w14:paraId="0BB18D91" w14:textId="63EA1B9B" w:rsidR="006C1FD7" w:rsidRPr="00FA697F" w:rsidRDefault="006C1FD7" w:rsidP="003E324F">
      <w:pPr>
        <w:spacing w:before="60" w:after="60" w:line="240" w:lineRule="auto"/>
        <w:ind w:left="2520"/>
        <w:rPr>
          <w:rFonts w:eastAsia="Calibri" w:cstheme="minorHAnsi"/>
        </w:rPr>
      </w:pPr>
      <w:r w:rsidRPr="006C1FD7">
        <w:rPr>
          <w:rFonts w:eastAsia="Calibri" w:cstheme="minorHAnsi"/>
          <w:b/>
          <w:bCs/>
        </w:rPr>
        <w:t>Option 3</w:t>
      </w:r>
      <w:r w:rsidR="00E90940" w:rsidRPr="008D240A">
        <w:rPr>
          <w:rFonts w:eastAsia="Calibri" w:cstheme="minorHAnsi"/>
          <w:b/>
          <w:bCs/>
        </w:rPr>
        <w:t>:</w:t>
      </w:r>
      <w:r w:rsidR="00E90940" w:rsidRPr="00FA697F">
        <w:rPr>
          <w:rFonts w:eastAsia="Calibri" w:cstheme="minorHAnsi"/>
        </w:rPr>
        <w:t xml:space="preserve"> 36 </w:t>
      </w:r>
      <w:r w:rsidR="00CD09BD" w:rsidRPr="00FA697F">
        <w:rPr>
          <w:rFonts w:eastAsia="Calibri" w:cstheme="minorHAnsi"/>
        </w:rPr>
        <w:t>Months</w:t>
      </w:r>
    </w:p>
    <w:p w14:paraId="41B2DBE0" w14:textId="39674CD9" w:rsidR="006C1FD7" w:rsidRPr="00FA697F" w:rsidRDefault="007328E2" w:rsidP="003E324F">
      <w:pPr>
        <w:spacing w:before="60" w:after="60" w:line="240" w:lineRule="auto"/>
        <w:ind w:left="2520"/>
        <w:rPr>
          <w:rFonts w:eastAsia="Calibri" w:cstheme="minorHAnsi"/>
        </w:rPr>
      </w:pPr>
      <w:r w:rsidRPr="008D240A">
        <w:rPr>
          <w:rFonts w:eastAsia="Calibri" w:cstheme="minorHAnsi"/>
          <w:b/>
          <w:bCs/>
        </w:rPr>
        <w:t>Option 4:</w:t>
      </w:r>
      <w:r w:rsidRPr="00FA697F">
        <w:rPr>
          <w:rFonts w:eastAsia="Calibri" w:cstheme="minorHAnsi"/>
        </w:rPr>
        <w:t xml:space="preserve"> 60 Months</w:t>
      </w:r>
    </w:p>
    <w:p w14:paraId="3CCFCC8F" w14:textId="77777777" w:rsidR="00D51124" w:rsidRPr="00FA697F" w:rsidRDefault="00D51124" w:rsidP="00D51124">
      <w:pPr>
        <w:spacing w:before="60" w:after="60" w:line="240" w:lineRule="auto"/>
        <w:ind w:left="1800"/>
        <w:rPr>
          <w:rFonts w:eastAsia="Calibri" w:cstheme="minorHAnsi"/>
        </w:rPr>
      </w:pPr>
    </w:p>
    <w:p w14:paraId="3B1C1492" w14:textId="3F2C0DC4" w:rsidR="00D64FE1" w:rsidRPr="00D64FE1" w:rsidRDefault="00576403" w:rsidP="005B6E76">
      <w:pPr>
        <w:spacing w:line="240" w:lineRule="auto"/>
        <w:ind w:left="2520" w:hanging="1080"/>
        <w:jc w:val="both"/>
        <w:rPr>
          <w:rFonts w:eastAsia="Times New Roman" w:cstheme="minorHAnsi"/>
        </w:rPr>
      </w:pPr>
      <w:r>
        <w:rPr>
          <w:rFonts w:eastAsia="Times New Roman" w:cstheme="minorHAnsi"/>
          <w:b/>
          <w:bCs/>
        </w:rPr>
        <w:t>2.3.2</w:t>
      </w:r>
      <w:r w:rsidR="00F60660">
        <w:rPr>
          <w:rFonts w:eastAsia="Times New Roman" w:cstheme="minorHAnsi"/>
          <w:b/>
          <w:bCs/>
        </w:rPr>
        <w:t>)</w:t>
      </w:r>
      <w:r w:rsidR="00F60660">
        <w:rPr>
          <w:rFonts w:eastAsia="Times New Roman" w:cstheme="minorHAnsi"/>
          <w:b/>
          <w:bCs/>
        </w:rPr>
        <w:tab/>
      </w:r>
      <w:r w:rsidR="00D51124" w:rsidRPr="00FA697F">
        <w:rPr>
          <w:rFonts w:eastAsia="Times New Roman" w:cstheme="minorHAnsi"/>
          <w:b/>
          <w:bCs/>
        </w:rPr>
        <w:t>Option 1:</w:t>
      </w:r>
      <w:r w:rsidR="00D51124" w:rsidRPr="00FA697F">
        <w:rPr>
          <w:rFonts w:eastAsia="Times New Roman" w:cstheme="minorHAnsi"/>
        </w:rPr>
        <w:t xml:space="preserve"> </w:t>
      </w:r>
      <w:r w:rsidR="00D64FE1" w:rsidRPr="00D64FE1">
        <w:rPr>
          <w:rFonts w:eastAsia="Times New Roman" w:cstheme="minorHAnsi"/>
        </w:rPr>
        <w:t>Rate for Electricity shall be</w:t>
      </w:r>
      <w:r w:rsidR="00D64FE1" w:rsidRPr="00D64FE1">
        <w:rPr>
          <w:rFonts w:eastAsia="Times New Roman" w:cstheme="minorHAnsi"/>
          <w:b/>
          <w:bCs/>
        </w:rPr>
        <w:t xml:space="preserve"> [$________]</w:t>
      </w:r>
      <w:r w:rsidR="00D64FE1" w:rsidRPr="00D64FE1">
        <w:rPr>
          <w:rFonts w:eastAsia="Times New Roman" w:cstheme="minorHAnsi"/>
        </w:rPr>
        <w:t xml:space="preserve"> per MWh. </w:t>
      </w:r>
    </w:p>
    <w:p w14:paraId="3F4DE8ED" w14:textId="479A3D1D" w:rsidR="00D64FE1" w:rsidRPr="00FA697F" w:rsidRDefault="00D51124" w:rsidP="00F60660">
      <w:pPr>
        <w:spacing w:line="240" w:lineRule="auto"/>
        <w:ind w:left="1800" w:firstLine="720"/>
        <w:rPr>
          <w:rFonts w:eastAsia="Times New Roman" w:cstheme="minorHAnsi"/>
          <w:b/>
        </w:rPr>
      </w:pPr>
      <w:r w:rsidRPr="00FA697F">
        <w:rPr>
          <w:rFonts w:eastAsia="Times New Roman" w:cstheme="minorHAnsi"/>
          <w:b/>
        </w:rPr>
        <w:t xml:space="preserve">Option </w:t>
      </w:r>
      <w:r w:rsidRPr="00FA697F">
        <w:rPr>
          <w:rFonts w:eastAsia="Times New Roman" w:cstheme="minorHAnsi"/>
          <w:b/>
        </w:rPr>
        <w:t>2</w:t>
      </w:r>
      <w:r w:rsidRPr="00FA697F">
        <w:rPr>
          <w:rFonts w:eastAsia="Times New Roman" w:cstheme="minorHAnsi"/>
          <w:b/>
        </w:rPr>
        <w:t xml:space="preserve">: </w:t>
      </w:r>
      <w:r w:rsidRPr="00FA697F">
        <w:rPr>
          <w:rFonts w:eastAsia="Times New Roman" w:cstheme="minorHAnsi"/>
          <w:bCs/>
        </w:rPr>
        <w:t>Rate for Electricity shall be [$________] per MWh.</w:t>
      </w:r>
    </w:p>
    <w:p w14:paraId="7DB2B71B" w14:textId="19679259" w:rsidR="00D51124" w:rsidRPr="00FA697F" w:rsidRDefault="00D51124" w:rsidP="00F60660">
      <w:pPr>
        <w:spacing w:line="240" w:lineRule="auto"/>
        <w:ind w:left="1800" w:firstLine="720"/>
        <w:rPr>
          <w:rFonts w:eastAsia="Times New Roman" w:cstheme="minorHAnsi"/>
          <w:b/>
        </w:rPr>
      </w:pPr>
      <w:r w:rsidRPr="00FA697F">
        <w:rPr>
          <w:rFonts w:eastAsia="Times New Roman" w:cstheme="minorHAnsi"/>
          <w:b/>
        </w:rPr>
        <w:t xml:space="preserve">Option </w:t>
      </w:r>
      <w:r w:rsidRPr="00FA697F">
        <w:rPr>
          <w:rFonts w:eastAsia="Times New Roman" w:cstheme="minorHAnsi"/>
          <w:b/>
        </w:rPr>
        <w:t>3</w:t>
      </w:r>
      <w:r w:rsidRPr="00FA697F">
        <w:rPr>
          <w:rFonts w:eastAsia="Times New Roman" w:cstheme="minorHAnsi"/>
          <w:b/>
        </w:rPr>
        <w:t xml:space="preserve">: </w:t>
      </w:r>
      <w:r w:rsidRPr="00FA697F">
        <w:rPr>
          <w:rFonts w:eastAsia="Times New Roman" w:cstheme="minorHAnsi"/>
          <w:bCs/>
        </w:rPr>
        <w:t>Rate for Electricity shall be [$________] per MWh.</w:t>
      </w:r>
    </w:p>
    <w:p w14:paraId="27BCC961" w14:textId="2C1AC673" w:rsidR="00D51124" w:rsidRPr="00FA697F" w:rsidRDefault="00D51124" w:rsidP="00F60660">
      <w:pPr>
        <w:spacing w:line="240" w:lineRule="auto"/>
        <w:ind w:left="1800" w:firstLine="720"/>
        <w:rPr>
          <w:rFonts w:eastAsia="Times New Roman" w:cstheme="minorHAnsi"/>
          <w:bCs/>
        </w:rPr>
      </w:pPr>
      <w:r w:rsidRPr="00FA697F">
        <w:rPr>
          <w:rFonts w:eastAsia="Times New Roman" w:cstheme="minorHAnsi"/>
          <w:b/>
        </w:rPr>
        <w:t xml:space="preserve">Option </w:t>
      </w:r>
      <w:r w:rsidRPr="00FA697F">
        <w:rPr>
          <w:rFonts w:eastAsia="Times New Roman" w:cstheme="minorHAnsi"/>
          <w:b/>
        </w:rPr>
        <w:t>4</w:t>
      </w:r>
      <w:r w:rsidRPr="00FA697F">
        <w:rPr>
          <w:rFonts w:eastAsia="Times New Roman" w:cstheme="minorHAnsi"/>
          <w:b/>
        </w:rPr>
        <w:t xml:space="preserve">: </w:t>
      </w:r>
      <w:r w:rsidRPr="00FA697F">
        <w:rPr>
          <w:rFonts w:eastAsia="Times New Roman" w:cstheme="minorHAnsi"/>
          <w:bCs/>
        </w:rPr>
        <w:t>Rate for Electricity shall be [$________] per MWh.</w:t>
      </w:r>
    </w:p>
    <w:p w14:paraId="2821FBB6" w14:textId="77777777" w:rsidR="004C0066" w:rsidRPr="00FA697F" w:rsidRDefault="004C0066" w:rsidP="00D51124">
      <w:pPr>
        <w:spacing w:line="240" w:lineRule="auto"/>
        <w:ind w:left="1080" w:firstLine="720"/>
        <w:rPr>
          <w:rFonts w:eastAsia="Times New Roman" w:cstheme="minorHAnsi"/>
          <w:bCs/>
        </w:rPr>
      </w:pPr>
    </w:p>
    <w:p w14:paraId="58DF2DC9" w14:textId="1CCA9D24" w:rsidR="004C0066" w:rsidRPr="00FA697F" w:rsidRDefault="00576403" w:rsidP="00576403">
      <w:pPr>
        <w:spacing w:line="240" w:lineRule="auto"/>
        <w:ind w:left="2160" w:hanging="720"/>
        <w:rPr>
          <w:rFonts w:eastAsia="Times New Roman" w:cstheme="minorHAnsi"/>
          <w:bCs/>
        </w:rPr>
      </w:pPr>
      <w:r>
        <w:rPr>
          <w:rFonts w:eastAsia="Times New Roman" w:cstheme="minorHAnsi"/>
          <w:b/>
        </w:rPr>
        <w:t>2.3.3</w:t>
      </w:r>
      <w:r w:rsidR="00F60660" w:rsidRPr="00F60660">
        <w:rPr>
          <w:rFonts w:eastAsia="Times New Roman" w:cstheme="minorHAnsi"/>
          <w:b/>
        </w:rPr>
        <w:t>)</w:t>
      </w:r>
      <w:r w:rsidR="00F60660">
        <w:rPr>
          <w:rFonts w:eastAsia="Times New Roman" w:cstheme="minorHAnsi"/>
          <w:bCs/>
        </w:rPr>
        <w:tab/>
      </w:r>
      <w:r w:rsidR="004C0066" w:rsidRPr="00F60660">
        <w:rPr>
          <w:rFonts w:eastAsia="Times New Roman" w:cstheme="minorHAnsi"/>
          <w:b/>
        </w:rPr>
        <w:t>Pass Through Charges:</w:t>
      </w:r>
      <w:r w:rsidR="004C0066" w:rsidRPr="00FA697F">
        <w:rPr>
          <w:rFonts w:eastAsia="Times New Roman" w:cstheme="minorHAnsi"/>
          <w:bCs/>
        </w:rPr>
        <w:t xml:space="preserve"> </w:t>
      </w:r>
      <w:r w:rsidR="00880F52" w:rsidRPr="00FA697F">
        <w:rPr>
          <w:rFonts w:eastAsia="Times New Roman" w:cstheme="minorHAnsi"/>
          <w:bCs/>
        </w:rPr>
        <w:t xml:space="preserve">MWh </w:t>
      </w:r>
      <w:r w:rsidR="004C0066" w:rsidRPr="00FA697F">
        <w:rPr>
          <w:rFonts w:eastAsia="Times New Roman" w:cstheme="minorHAnsi"/>
          <w:bCs/>
        </w:rPr>
        <w:t>Rate</w:t>
      </w:r>
      <w:r w:rsidR="00880F52" w:rsidRPr="00FA697F">
        <w:rPr>
          <w:rFonts w:eastAsia="Times New Roman" w:cstheme="minorHAnsi"/>
          <w:bCs/>
        </w:rPr>
        <w:t xml:space="preserve"> for Electricity should</w:t>
      </w:r>
      <w:r w:rsidR="004C0066" w:rsidRPr="00FA697F">
        <w:rPr>
          <w:rFonts w:eastAsia="Times New Roman" w:cstheme="minorHAnsi"/>
          <w:bCs/>
        </w:rPr>
        <w:t xml:space="preserve"> not include items which will be Passed Through</w:t>
      </w:r>
      <w:r w:rsidR="00880F52" w:rsidRPr="00FA697F">
        <w:rPr>
          <w:rFonts w:eastAsia="Times New Roman" w:cstheme="minorHAnsi"/>
          <w:bCs/>
        </w:rPr>
        <w:t xml:space="preserve"> by the Seller.</w:t>
      </w:r>
    </w:p>
    <w:p w14:paraId="06B7CBE0" w14:textId="77777777" w:rsidR="00D51124" w:rsidRPr="00D64FE1" w:rsidRDefault="00D51124" w:rsidP="00880F52">
      <w:pPr>
        <w:spacing w:line="240" w:lineRule="auto"/>
        <w:rPr>
          <w:rFonts w:eastAsia="Times New Roman" w:cstheme="minorHAnsi"/>
          <w:bCs/>
        </w:rPr>
      </w:pPr>
    </w:p>
    <w:p w14:paraId="2AED954E" w14:textId="08807881" w:rsidR="00D64FE1" w:rsidRPr="00D64FE1" w:rsidRDefault="00576403" w:rsidP="00576403">
      <w:pPr>
        <w:spacing w:line="240" w:lineRule="auto"/>
        <w:ind w:left="2160" w:hanging="720"/>
        <w:jc w:val="both"/>
        <w:rPr>
          <w:rFonts w:eastAsia="Times New Roman" w:cstheme="minorHAnsi"/>
        </w:rPr>
      </w:pPr>
      <w:r>
        <w:rPr>
          <w:rFonts w:eastAsia="Times New Roman" w:cstheme="minorHAnsi"/>
          <w:b/>
        </w:rPr>
        <w:t>2.3.4</w:t>
      </w:r>
      <w:r w:rsidR="00F60660">
        <w:rPr>
          <w:rFonts w:eastAsia="Times New Roman" w:cstheme="minorHAnsi"/>
          <w:b/>
        </w:rPr>
        <w:t>)</w:t>
      </w:r>
      <w:r w:rsidR="006B3691">
        <w:rPr>
          <w:rFonts w:eastAsia="Times New Roman" w:cstheme="minorHAnsi"/>
          <w:b/>
        </w:rPr>
        <w:tab/>
      </w:r>
      <w:r w:rsidR="00074614" w:rsidRPr="00FA697F">
        <w:rPr>
          <w:rFonts w:eastAsia="Times New Roman" w:cstheme="minorHAnsi"/>
          <w:b/>
        </w:rPr>
        <w:t xml:space="preserve">Seller shall indicate </w:t>
      </w:r>
      <w:r w:rsidR="00746759" w:rsidRPr="00FA697F">
        <w:rPr>
          <w:rFonts w:eastAsia="Times New Roman" w:cstheme="minorHAnsi"/>
          <w:b/>
        </w:rPr>
        <w:t>their tariff’s R</w:t>
      </w:r>
      <w:r w:rsidR="00D64FE1" w:rsidRPr="00D64FE1">
        <w:rPr>
          <w:rFonts w:eastAsia="Times New Roman" w:cstheme="minorHAnsi"/>
          <w:b/>
        </w:rPr>
        <w:t>ate Components</w:t>
      </w:r>
      <w:r w:rsidR="004B3326" w:rsidRPr="00FA697F">
        <w:rPr>
          <w:rFonts w:eastAsia="Times New Roman" w:cstheme="minorHAnsi"/>
          <w:b/>
        </w:rPr>
        <w:t xml:space="preserve"> </w:t>
      </w:r>
      <w:r w:rsidR="00D64FE1" w:rsidRPr="00D64FE1">
        <w:rPr>
          <w:rFonts w:eastAsia="Times New Roman" w:cstheme="minorHAnsi"/>
          <w:b/>
          <w:bCs/>
        </w:rPr>
        <w:t>in Table</w:t>
      </w:r>
      <w:r w:rsidR="007179E8" w:rsidRPr="007179E8">
        <w:rPr>
          <w:rFonts w:eastAsia="Times New Roman" w:cstheme="minorHAnsi"/>
          <w:b/>
          <w:bCs/>
        </w:rPr>
        <w:t>s:</w:t>
      </w:r>
      <w:r w:rsidR="00D64FE1" w:rsidRPr="00D64FE1">
        <w:rPr>
          <w:rFonts w:eastAsia="Times New Roman" w:cstheme="minorHAnsi"/>
        </w:rPr>
        <w:t xml:space="preserve"> </w:t>
      </w:r>
      <w:r w:rsidR="00746759" w:rsidRPr="00FA697F">
        <w:rPr>
          <w:rFonts w:eastAsia="Times New Roman" w:cstheme="minorHAnsi"/>
        </w:rPr>
        <w:t>1</w:t>
      </w:r>
      <w:r w:rsidR="00BD306A">
        <w:rPr>
          <w:rFonts w:eastAsia="Times New Roman" w:cstheme="minorHAnsi"/>
        </w:rPr>
        <w:t>, 3</w:t>
      </w:r>
      <w:r w:rsidR="00A0649C">
        <w:rPr>
          <w:rFonts w:eastAsia="Times New Roman" w:cstheme="minorHAnsi"/>
        </w:rPr>
        <w:t xml:space="preserve">, 5, </w:t>
      </w:r>
      <w:r w:rsidR="007179E8">
        <w:rPr>
          <w:rFonts w:eastAsia="Times New Roman" w:cstheme="minorHAnsi"/>
        </w:rPr>
        <w:t>and 7</w:t>
      </w:r>
      <w:r w:rsidR="00746759" w:rsidRPr="00FA697F">
        <w:rPr>
          <w:rFonts w:eastAsia="Times New Roman" w:cstheme="minorHAnsi"/>
        </w:rPr>
        <w:t xml:space="preserve">. </w:t>
      </w:r>
      <w:r w:rsidR="00D64FE1" w:rsidRPr="00D64FE1">
        <w:rPr>
          <w:rFonts w:eastAsia="Times New Roman" w:cstheme="minorHAnsi"/>
        </w:rPr>
        <w:t xml:space="preserve"> </w:t>
      </w:r>
      <w:r w:rsidR="00746759" w:rsidRPr="00FA697F">
        <w:rPr>
          <w:rFonts w:eastAsia="Times New Roman" w:cstheme="minorHAnsi"/>
        </w:rPr>
        <w:t xml:space="preserve">Seller should indicate </w:t>
      </w:r>
      <w:r w:rsidR="00E15ABF" w:rsidRPr="00FA697F">
        <w:rPr>
          <w:rFonts w:eastAsia="Times New Roman" w:cstheme="minorHAnsi"/>
        </w:rPr>
        <w:t xml:space="preserve">which rate components </w:t>
      </w:r>
      <w:r w:rsidR="00A817FF" w:rsidRPr="00FA697F">
        <w:rPr>
          <w:rFonts w:eastAsia="Times New Roman" w:cstheme="minorHAnsi"/>
        </w:rPr>
        <w:t xml:space="preserve">will be </w:t>
      </w:r>
      <w:r w:rsidR="002D5AA3" w:rsidRPr="00FA697F">
        <w:rPr>
          <w:rFonts w:eastAsia="Times New Roman" w:cstheme="minorHAnsi"/>
        </w:rPr>
        <w:t>invoiced to the Buyer on</w:t>
      </w:r>
      <w:r w:rsidR="00D64FE1" w:rsidRPr="00D64FE1">
        <w:rPr>
          <w:rFonts w:eastAsia="Times New Roman" w:cstheme="minorHAnsi"/>
        </w:rPr>
        <w:t xml:space="preserve"> a pass-through basis </w:t>
      </w:r>
      <w:r w:rsidR="002D5AA3" w:rsidRPr="00FA697F">
        <w:rPr>
          <w:rFonts w:eastAsia="Times New Roman" w:cstheme="minorHAnsi"/>
        </w:rPr>
        <w:t>by</w:t>
      </w:r>
      <w:r w:rsidR="00D64FE1" w:rsidRPr="00D64FE1">
        <w:rPr>
          <w:rFonts w:eastAsia="Times New Roman" w:cstheme="minorHAnsi"/>
        </w:rPr>
        <w:t xml:space="preserve"> mark</w:t>
      </w:r>
      <w:r w:rsidR="00FB6FE4" w:rsidRPr="00FA697F">
        <w:rPr>
          <w:rFonts w:eastAsia="Times New Roman" w:cstheme="minorHAnsi"/>
        </w:rPr>
        <w:t xml:space="preserve">ing </w:t>
      </w:r>
      <w:r w:rsidR="0068267F" w:rsidRPr="00FA697F">
        <w:rPr>
          <w:rFonts w:eastAsia="Times New Roman" w:cstheme="minorHAnsi"/>
        </w:rPr>
        <w:t>said rate components</w:t>
      </w:r>
      <w:r w:rsidR="00D64FE1" w:rsidRPr="00D64FE1">
        <w:rPr>
          <w:rFonts w:eastAsia="Times New Roman" w:cstheme="minorHAnsi"/>
        </w:rPr>
        <w:t xml:space="preserve"> with a “P”.  </w:t>
      </w:r>
      <w:r w:rsidR="00D64FE1" w:rsidRPr="00D64FE1">
        <w:rPr>
          <w:rFonts w:eastAsia="Times New Roman" w:cstheme="minorHAnsi"/>
        </w:rPr>
        <w:lastRenderedPageBreak/>
        <w:t xml:space="preserve">Rate Components marked with an “F” shall be included in the </w:t>
      </w:r>
      <w:r w:rsidR="00407639" w:rsidRPr="00FA697F">
        <w:rPr>
          <w:rFonts w:eastAsia="Times New Roman" w:cstheme="minorHAnsi"/>
        </w:rPr>
        <w:t>pro</w:t>
      </w:r>
      <w:r w:rsidR="00412637" w:rsidRPr="00FA697F">
        <w:rPr>
          <w:rFonts w:eastAsia="Times New Roman" w:cstheme="minorHAnsi"/>
        </w:rPr>
        <w:t xml:space="preserve">posed MWh </w:t>
      </w:r>
      <w:r w:rsidR="00407639" w:rsidRPr="00FA697F">
        <w:rPr>
          <w:rFonts w:eastAsia="Times New Roman" w:cstheme="minorHAnsi"/>
        </w:rPr>
        <w:t>Rate for Electricity.</w:t>
      </w:r>
    </w:p>
    <w:p w14:paraId="381075EC" w14:textId="77777777" w:rsidR="00706CCF" w:rsidRPr="00FA697F" w:rsidRDefault="00706CCF" w:rsidP="00706CCF">
      <w:pPr>
        <w:pStyle w:val="ListParagraph"/>
        <w:spacing w:line="240" w:lineRule="auto"/>
        <w:jc w:val="both"/>
        <w:rPr>
          <w:rFonts w:eastAsia="Times New Roman" w:cstheme="minorHAnsi"/>
        </w:rPr>
      </w:pPr>
    </w:p>
    <w:p w14:paraId="15A26A00" w14:textId="24E0DEB6" w:rsidR="00880F52" w:rsidRPr="00FA697F" w:rsidRDefault="00576403" w:rsidP="00576403">
      <w:pPr>
        <w:pStyle w:val="ListParagraph"/>
        <w:spacing w:line="240" w:lineRule="auto"/>
        <w:ind w:left="2160" w:hanging="720"/>
        <w:jc w:val="both"/>
        <w:rPr>
          <w:rFonts w:eastAsia="Times New Roman" w:cstheme="minorHAnsi"/>
        </w:rPr>
      </w:pPr>
      <w:r>
        <w:rPr>
          <w:rFonts w:eastAsia="Times New Roman" w:cstheme="minorHAnsi"/>
          <w:b/>
          <w:bCs/>
        </w:rPr>
        <w:t>2.3.5</w:t>
      </w:r>
      <w:r w:rsidR="007179E8" w:rsidRPr="007179E8">
        <w:rPr>
          <w:rFonts w:eastAsia="Times New Roman" w:cstheme="minorHAnsi"/>
          <w:b/>
          <w:bCs/>
        </w:rPr>
        <w:t>)</w:t>
      </w:r>
      <w:r w:rsidR="007179E8">
        <w:rPr>
          <w:rFonts w:eastAsia="Times New Roman" w:cstheme="minorHAnsi"/>
        </w:rPr>
        <w:tab/>
      </w:r>
      <w:r w:rsidR="00706CCF" w:rsidRPr="00FA697F">
        <w:rPr>
          <w:rFonts w:eastAsia="Times New Roman" w:cstheme="minorHAnsi"/>
        </w:rPr>
        <w:t xml:space="preserve">The Seller should indicate any </w:t>
      </w:r>
      <w:r w:rsidR="00721FEE" w:rsidRPr="00FA697F">
        <w:rPr>
          <w:rFonts w:eastAsia="Times New Roman" w:cstheme="minorHAnsi"/>
        </w:rPr>
        <w:t xml:space="preserve">theoretical </w:t>
      </w:r>
      <w:r w:rsidR="00880F52" w:rsidRPr="00FA697F">
        <w:rPr>
          <w:rFonts w:eastAsia="Times New Roman" w:cstheme="minorHAnsi"/>
        </w:rPr>
        <w:t xml:space="preserve">DSP Charges </w:t>
      </w:r>
      <w:r w:rsidR="00A36D84" w:rsidRPr="00FA697F">
        <w:rPr>
          <w:rFonts w:eastAsia="Times New Roman" w:cstheme="minorHAnsi"/>
        </w:rPr>
        <w:t>applicable</w:t>
      </w:r>
      <w:r w:rsidR="00880F52" w:rsidRPr="00FA697F">
        <w:rPr>
          <w:rFonts w:eastAsia="Times New Roman" w:cstheme="minorHAnsi"/>
        </w:rPr>
        <w:t xml:space="preserve"> to Seller by </w:t>
      </w:r>
      <w:r w:rsidR="00A36D84" w:rsidRPr="00FA697F">
        <w:rPr>
          <w:rFonts w:eastAsia="Times New Roman" w:cstheme="minorHAnsi"/>
        </w:rPr>
        <w:t>the</w:t>
      </w:r>
      <w:r w:rsidR="00880F52" w:rsidRPr="00FA697F">
        <w:rPr>
          <w:rFonts w:eastAsia="Times New Roman" w:cstheme="minorHAnsi"/>
        </w:rPr>
        <w:t xml:space="preserve"> DSP for </w:t>
      </w:r>
      <w:r w:rsidR="0011030C" w:rsidRPr="00FA697F">
        <w:rPr>
          <w:rFonts w:eastAsia="Times New Roman" w:cstheme="minorHAnsi"/>
        </w:rPr>
        <w:t xml:space="preserve">the single </w:t>
      </w:r>
      <w:r w:rsidR="00880F52" w:rsidRPr="00FA697F">
        <w:rPr>
          <w:rFonts w:eastAsia="Times New Roman" w:cstheme="minorHAnsi"/>
        </w:rPr>
        <w:t>Delivery Point</w:t>
      </w:r>
      <w:r w:rsidR="0011030C" w:rsidRPr="00FA697F">
        <w:rPr>
          <w:rFonts w:eastAsia="Times New Roman" w:cstheme="minorHAnsi"/>
        </w:rPr>
        <w:t xml:space="preserve"> </w:t>
      </w:r>
      <w:r w:rsidR="00D07F5D" w:rsidRPr="00FA697F">
        <w:rPr>
          <w:rFonts w:eastAsia="Times New Roman" w:cstheme="minorHAnsi"/>
        </w:rPr>
        <w:t xml:space="preserve">as indicated in Attachment </w:t>
      </w:r>
      <w:r w:rsidR="00EB45FD">
        <w:rPr>
          <w:rFonts w:eastAsia="Times New Roman" w:cstheme="minorHAnsi"/>
        </w:rPr>
        <w:t>K</w:t>
      </w:r>
      <w:r w:rsidR="00D07F5D" w:rsidRPr="00FA697F">
        <w:rPr>
          <w:rFonts w:eastAsia="Times New Roman" w:cstheme="minorHAnsi"/>
        </w:rPr>
        <w:t>.</w:t>
      </w:r>
    </w:p>
    <w:p w14:paraId="12C94297" w14:textId="77777777" w:rsidR="00880F52" w:rsidRPr="00FA697F" w:rsidRDefault="00880F52" w:rsidP="00880F52">
      <w:pPr>
        <w:spacing w:line="240" w:lineRule="auto"/>
        <w:ind w:left="1980" w:hanging="540"/>
        <w:jc w:val="both"/>
        <w:rPr>
          <w:rFonts w:eastAsia="Times New Roman" w:cstheme="minorHAnsi"/>
        </w:rPr>
      </w:pPr>
    </w:p>
    <w:p w14:paraId="30DEAA57" w14:textId="6B389B7A" w:rsidR="00D64FE1" w:rsidRPr="00FA697F" w:rsidRDefault="00576403" w:rsidP="00576403">
      <w:pPr>
        <w:pStyle w:val="ListParagraph"/>
        <w:spacing w:line="240" w:lineRule="auto"/>
        <w:ind w:left="2160" w:hanging="720"/>
        <w:jc w:val="both"/>
        <w:rPr>
          <w:rFonts w:eastAsia="Times New Roman" w:cstheme="minorHAnsi"/>
        </w:rPr>
      </w:pPr>
      <w:r>
        <w:rPr>
          <w:rFonts w:eastAsia="Times New Roman" w:cstheme="minorHAnsi"/>
          <w:b/>
          <w:bCs/>
        </w:rPr>
        <w:t>2.3.6</w:t>
      </w:r>
      <w:r w:rsidR="007179E8" w:rsidRPr="007179E8">
        <w:rPr>
          <w:rFonts w:eastAsia="Times New Roman" w:cstheme="minorHAnsi"/>
          <w:b/>
          <w:bCs/>
        </w:rPr>
        <w:t>)</w:t>
      </w:r>
      <w:r w:rsidR="007179E8">
        <w:rPr>
          <w:rFonts w:eastAsia="Times New Roman" w:cstheme="minorHAnsi"/>
        </w:rPr>
        <w:tab/>
      </w:r>
      <w:r w:rsidR="00880F52" w:rsidRPr="007179E8">
        <w:rPr>
          <w:rFonts w:eastAsia="Times New Roman" w:cstheme="minorHAnsi"/>
          <w:b/>
          <w:bCs/>
        </w:rPr>
        <w:t>Taxes.</w:t>
      </w:r>
      <w:r w:rsidR="00880F52" w:rsidRPr="00FA697F">
        <w:rPr>
          <w:rFonts w:eastAsia="Times New Roman" w:cstheme="minorHAnsi"/>
        </w:rPr>
        <w:t xml:space="preserve">  Unless otherwise required by law, the Buyer is exempt from federal excise taxes and no payment will be made for any personal property taxes levied on Seller or on any taxes levied on employee wages. The Buyer shall only pay for applicable state or local sales, service, use, or similar taxes imposed on the Electricity supplied to the Buye</w:t>
      </w:r>
      <w:r w:rsidR="007179E8">
        <w:rPr>
          <w:rFonts w:eastAsia="Times New Roman" w:cstheme="minorHAnsi"/>
        </w:rPr>
        <w:t>r</w:t>
      </w:r>
      <w:r w:rsidR="00880F52" w:rsidRPr="00FA697F">
        <w:rPr>
          <w:rFonts w:eastAsia="Times New Roman" w:cstheme="minorHAnsi"/>
        </w:rPr>
        <w:t>.</w:t>
      </w:r>
    </w:p>
    <w:p w14:paraId="35A181C6" w14:textId="77777777" w:rsidR="008F5ECF" w:rsidRPr="00FA697F" w:rsidRDefault="008F5ECF" w:rsidP="00D07F5D">
      <w:pPr>
        <w:pStyle w:val="ListParagraph"/>
        <w:spacing w:line="240" w:lineRule="auto"/>
        <w:jc w:val="both"/>
        <w:rPr>
          <w:rFonts w:eastAsia="Times New Roman" w:cstheme="minorHAnsi"/>
        </w:rPr>
      </w:pPr>
    </w:p>
    <w:p w14:paraId="60745097" w14:textId="05AFDDC6" w:rsidR="008F5ECF" w:rsidRPr="00FA697F" w:rsidRDefault="00576403" w:rsidP="00576403">
      <w:pPr>
        <w:pStyle w:val="ListParagraph"/>
        <w:spacing w:line="240" w:lineRule="auto"/>
        <w:ind w:left="2160" w:hanging="720"/>
        <w:jc w:val="both"/>
        <w:rPr>
          <w:rFonts w:eastAsia="Times New Roman" w:cstheme="minorHAnsi"/>
          <w:b/>
          <w:bCs/>
          <w:u w:val="single"/>
        </w:rPr>
      </w:pPr>
      <w:r>
        <w:rPr>
          <w:rFonts w:eastAsia="Times New Roman" w:cstheme="minorHAnsi"/>
          <w:b/>
          <w:bCs/>
          <w:u w:val="single"/>
        </w:rPr>
        <w:t>2.3.7</w:t>
      </w:r>
      <w:r w:rsidR="007179E8">
        <w:rPr>
          <w:rFonts w:eastAsia="Times New Roman" w:cstheme="minorHAnsi"/>
          <w:b/>
          <w:bCs/>
          <w:u w:val="single"/>
        </w:rPr>
        <w:t>)</w:t>
      </w:r>
      <w:r w:rsidR="007179E8">
        <w:rPr>
          <w:rFonts w:eastAsia="Times New Roman" w:cstheme="minorHAnsi"/>
          <w:b/>
          <w:bCs/>
          <w:u w:val="single"/>
        </w:rPr>
        <w:tab/>
      </w:r>
      <w:r w:rsidR="002173F8" w:rsidRPr="00FA697F">
        <w:rPr>
          <w:rFonts w:eastAsia="Times New Roman" w:cstheme="minorHAnsi"/>
          <w:b/>
          <w:bCs/>
          <w:u w:val="single"/>
        </w:rPr>
        <w:t>Option 1: Seller to provide data in tables 1, and</w:t>
      </w:r>
      <w:r w:rsidR="00761421" w:rsidRPr="00FA697F">
        <w:rPr>
          <w:rFonts w:eastAsia="Times New Roman" w:cstheme="minorHAnsi"/>
          <w:b/>
          <w:bCs/>
          <w:u w:val="single"/>
        </w:rPr>
        <w:t xml:space="preserve"> for the </w:t>
      </w:r>
      <w:proofErr w:type="gramStart"/>
      <w:r w:rsidR="00761421" w:rsidRPr="00FA697F">
        <w:rPr>
          <w:rFonts w:eastAsia="Times New Roman" w:cstheme="minorHAnsi"/>
          <w:b/>
          <w:bCs/>
          <w:u w:val="single"/>
        </w:rPr>
        <w:t xml:space="preserve">12 </w:t>
      </w:r>
      <w:r w:rsidR="00761421" w:rsidRPr="00FA697F">
        <w:rPr>
          <w:rFonts w:eastAsia="Times New Roman" w:cstheme="minorHAnsi"/>
          <w:b/>
          <w:bCs/>
          <w:u w:val="single"/>
        </w:rPr>
        <w:t>m</w:t>
      </w:r>
      <w:r w:rsidR="00761421" w:rsidRPr="00FA697F">
        <w:rPr>
          <w:rFonts w:eastAsia="Times New Roman" w:cstheme="minorHAnsi"/>
          <w:b/>
          <w:bCs/>
          <w:u w:val="single"/>
        </w:rPr>
        <w:t>onth</w:t>
      </w:r>
      <w:proofErr w:type="gramEnd"/>
      <w:r w:rsidR="00761421" w:rsidRPr="00FA697F">
        <w:rPr>
          <w:rFonts w:eastAsia="Times New Roman" w:cstheme="minorHAnsi"/>
          <w:b/>
          <w:bCs/>
          <w:u w:val="single"/>
        </w:rPr>
        <w:t xml:space="preserve"> basis.</w:t>
      </w:r>
    </w:p>
    <w:p w14:paraId="69399076" w14:textId="77777777" w:rsidR="00D64FE1" w:rsidRPr="00D64FE1" w:rsidRDefault="00D64FE1" w:rsidP="00D64FE1">
      <w:pPr>
        <w:spacing w:line="240" w:lineRule="auto"/>
        <w:jc w:val="both"/>
        <w:rPr>
          <w:rFonts w:eastAsia="Times New Roman" w:cstheme="minorHAnsi"/>
        </w:rPr>
      </w:pPr>
    </w:p>
    <w:p w14:paraId="6067FC4C" w14:textId="3E3A0385" w:rsidR="00D64FE1" w:rsidRPr="00D64FE1" w:rsidRDefault="00D64FE1" w:rsidP="00D64FE1">
      <w:pPr>
        <w:spacing w:line="240" w:lineRule="auto"/>
        <w:ind w:left="1440"/>
        <w:rPr>
          <w:rFonts w:eastAsia="Times New Roman" w:cstheme="minorHAnsi"/>
          <w:b/>
          <w:u w:val="single"/>
        </w:rPr>
      </w:pPr>
      <w:r w:rsidRPr="00D64FE1">
        <w:rPr>
          <w:rFonts w:eastAsia="Times New Roman" w:cstheme="minorHAnsi"/>
          <w:b/>
        </w:rPr>
        <w:t xml:space="preserve">       </w:t>
      </w:r>
      <w:r w:rsidRPr="00D64FE1">
        <w:rPr>
          <w:rFonts w:eastAsia="Times New Roman" w:cstheme="minorHAnsi"/>
          <w:b/>
          <w:u w:val="single"/>
        </w:rPr>
        <w:t xml:space="preserve">Table </w:t>
      </w:r>
      <w:r w:rsidR="00074614" w:rsidRPr="00FA697F">
        <w:rPr>
          <w:rFonts w:eastAsia="Times New Roman" w:cstheme="minorHAnsi"/>
          <w:b/>
          <w:u w:val="single"/>
        </w:rPr>
        <w:t>1</w:t>
      </w:r>
      <w:r w:rsidRPr="00D64FE1">
        <w:rPr>
          <w:rFonts w:eastAsia="Times New Roman" w:cstheme="minorHAnsi"/>
          <w:b/>
          <w:u w:val="single"/>
        </w:rPr>
        <w:t xml:space="preserve"> </w:t>
      </w:r>
      <w:proofErr w:type="gramStart"/>
      <w:r w:rsidRPr="00D64FE1">
        <w:rPr>
          <w:rFonts w:eastAsia="Times New Roman" w:cstheme="minorHAnsi"/>
          <w:b/>
          <w:u w:val="single"/>
        </w:rPr>
        <w:t>–  Rate</w:t>
      </w:r>
      <w:proofErr w:type="gramEnd"/>
      <w:r w:rsidRPr="00D64FE1">
        <w:rPr>
          <w:rFonts w:eastAsia="Times New Roman" w:cstheme="minorHAnsi"/>
          <w:b/>
          <w:u w:val="single"/>
        </w:rPr>
        <w:t xml:space="preserve"> Components:</w:t>
      </w:r>
    </w:p>
    <w:tbl>
      <w:tblPr>
        <w:tblW w:w="7645" w:type="dxa"/>
        <w:tblInd w:w="1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2245"/>
      </w:tblGrid>
      <w:tr w:rsidR="00D64FE1" w:rsidRPr="00D64FE1" w14:paraId="1149AF74" w14:textId="77777777" w:rsidTr="007179E8">
        <w:tc>
          <w:tcPr>
            <w:tcW w:w="5400" w:type="dxa"/>
            <w:shd w:val="clear" w:color="auto" w:fill="auto"/>
            <w:vAlign w:val="center"/>
          </w:tcPr>
          <w:p w14:paraId="1046CC00" w14:textId="77777777" w:rsidR="00D64FE1" w:rsidRPr="00D64FE1" w:rsidRDefault="00D64FE1" w:rsidP="00D64FE1">
            <w:pPr>
              <w:spacing w:line="240" w:lineRule="auto"/>
              <w:jc w:val="center"/>
              <w:rPr>
                <w:rFonts w:eastAsia="Times New Roman" w:cstheme="minorHAnsi"/>
              </w:rPr>
            </w:pPr>
            <w:r w:rsidRPr="00D64FE1">
              <w:rPr>
                <w:rFonts w:eastAsia="Times New Roman" w:cstheme="minorHAnsi"/>
              </w:rPr>
              <w:t>Energy Charge</w:t>
            </w:r>
          </w:p>
        </w:tc>
        <w:tc>
          <w:tcPr>
            <w:tcW w:w="2245" w:type="dxa"/>
            <w:shd w:val="clear" w:color="auto" w:fill="auto"/>
            <w:vAlign w:val="center"/>
          </w:tcPr>
          <w:p w14:paraId="070CCE0E" w14:textId="77777777" w:rsidR="00D64FE1" w:rsidRPr="00D64FE1" w:rsidRDefault="00D64FE1" w:rsidP="00D64FE1">
            <w:pPr>
              <w:spacing w:line="240" w:lineRule="auto"/>
              <w:jc w:val="center"/>
              <w:rPr>
                <w:rFonts w:eastAsia="Times New Roman" w:cstheme="minorHAnsi"/>
                <w:highlight w:val="yellow"/>
              </w:rPr>
            </w:pPr>
          </w:p>
        </w:tc>
      </w:tr>
      <w:tr w:rsidR="00D64FE1" w:rsidRPr="00D64FE1" w14:paraId="2793CB4A" w14:textId="77777777" w:rsidTr="007179E8">
        <w:tc>
          <w:tcPr>
            <w:tcW w:w="5400" w:type="dxa"/>
            <w:shd w:val="clear" w:color="auto" w:fill="auto"/>
            <w:vAlign w:val="center"/>
          </w:tcPr>
          <w:p w14:paraId="52DCA9BD" w14:textId="77777777" w:rsidR="00D64FE1" w:rsidRPr="00D64FE1" w:rsidRDefault="00D64FE1" w:rsidP="00D64FE1">
            <w:pPr>
              <w:spacing w:line="240" w:lineRule="auto"/>
              <w:jc w:val="center"/>
              <w:rPr>
                <w:rFonts w:eastAsia="Times New Roman" w:cstheme="minorHAnsi"/>
              </w:rPr>
            </w:pPr>
            <w:r w:rsidRPr="00D64FE1">
              <w:rPr>
                <w:rFonts w:eastAsia="Times New Roman" w:cstheme="minorHAnsi"/>
              </w:rPr>
              <w:t>Basis Charge</w:t>
            </w:r>
          </w:p>
        </w:tc>
        <w:tc>
          <w:tcPr>
            <w:tcW w:w="2245" w:type="dxa"/>
            <w:shd w:val="clear" w:color="auto" w:fill="auto"/>
            <w:vAlign w:val="center"/>
          </w:tcPr>
          <w:p w14:paraId="7668A521" w14:textId="77777777" w:rsidR="00D64FE1" w:rsidRPr="00D64FE1" w:rsidRDefault="00D64FE1" w:rsidP="00D64FE1">
            <w:pPr>
              <w:spacing w:line="240" w:lineRule="auto"/>
              <w:jc w:val="center"/>
              <w:rPr>
                <w:rFonts w:eastAsia="Times New Roman" w:cstheme="minorHAnsi"/>
                <w:highlight w:val="yellow"/>
              </w:rPr>
            </w:pPr>
          </w:p>
        </w:tc>
      </w:tr>
      <w:tr w:rsidR="00D64FE1" w:rsidRPr="00D64FE1" w14:paraId="16DA0307" w14:textId="77777777" w:rsidTr="007179E8">
        <w:tc>
          <w:tcPr>
            <w:tcW w:w="5400" w:type="dxa"/>
            <w:shd w:val="clear" w:color="auto" w:fill="auto"/>
            <w:vAlign w:val="center"/>
          </w:tcPr>
          <w:p w14:paraId="6BEAA9BA" w14:textId="77777777" w:rsidR="00D64FE1" w:rsidRPr="00D64FE1" w:rsidRDefault="00D64FE1" w:rsidP="00D64FE1">
            <w:pPr>
              <w:spacing w:line="240" w:lineRule="auto"/>
              <w:jc w:val="center"/>
              <w:rPr>
                <w:rFonts w:eastAsia="Times New Roman" w:cstheme="minorHAnsi"/>
              </w:rPr>
            </w:pPr>
            <w:r w:rsidRPr="00D64FE1">
              <w:rPr>
                <w:rFonts w:eastAsia="Times New Roman" w:cstheme="minorHAnsi"/>
              </w:rPr>
              <w:t>Ancillary &amp; Settlement Charges/Credits</w:t>
            </w:r>
          </w:p>
        </w:tc>
        <w:tc>
          <w:tcPr>
            <w:tcW w:w="2245" w:type="dxa"/>
            <w:shd w:val="clear" w:color="auto" w:fill="auto"/>
            <w:vAlign w:val="center"/>
          </w:tcPr>
          <w:p w14:paraId="247E283A" w14:textId="77777777" w:rsidR="00D64FE1" w:rsidRPr="00D64FE1" w:rsidRDefault="00D64FE1" w:rsidP="00D64FE1">
            <w:pPr>
              <w:spacing w:line="240" w:lineRule="auto"/>
              <w:jc w:val="center"/>
              <w:rPr>
                <w:rFonts w:eastAsia="Times New Roman" w:cstheme="minorHAnsi"/>
                <w:highlight w:val="yellow"/>
              </w:rPr>
            </w:pPr>
          </w:p>
        </w:tc>
      </w:tr>
      <w:tr w:rsidR="00D64FE1" w:rsidRPr="00D64FE1" w14:paraId="6E0E3729" w14:textId="77777777" w:rsidTr="007179E8">
        <w:tc>
          <w:tcPr>
            <w:tcW w:w="5400" w:type="dxa"/>
            <w:shd w:val="clear" w:color="auto" w:fill="auto"/>
            <w:vAlign w:val="center"/>
          </w:tcPr>
          <w:p w14:paraId="44B2E1BC" w14:textId="77777777" w:rsidR="00D64FE1" w:rsidRPr="00D64FE1" w:rsidRDefault="00D64FE1" w:rsidP="00D64FE1">
            <w:pPr>
              <w:spacing w:line="240" w:lineRule="auto"/>
              <w:jc w:val="center"/>
              <w:rPr>
                <w:rFonts w:eastAsia="Times New Roman" w:cstheme="minorHAnsi"/>
              </w:rPr>
            </w:pPr>
            <w:r w:rsidRPr="00D64FE1">
              <w:rPr>
                <w:rFonts w:eastAsia="Times New Roman" w:cstheme="minorHAnsi"/>
              </w:rPr>
              <w:t>California Resource Adequacy</w:t>
            </w:r>
          </w:p>
        </w:tc>
        <w:tc>
          <w:tcPr>
            <w:tcW w:w="2245" w:type="dxa"/>
            <w:shd w:val="clear" w:color="auto" w:fill="auto"/>
            <w:vAlign w:val="center"/>
          </w:tcPr>
          <w:p w14:paraId="1D8AB9FF" w14:textId="77777777" w:rsidR="00D64FE1" w:rsidRPr="00D64FE1" w:rsidRDefault="00D64FE1" w:rsidP="00D64FE1">
            <w:pPr>
              <w:spacing w:line="240" w:lineRule="auto"/>
              <w:jc w:val="center"/>
              <w:rPr>
                <w:rFonts w:eastAsia="Times New Roman" w:cstheme="minorHAnsi"/>
                <w:highlight w:val="yellow"/>
              </w:rPr>
            </w:pPr>
          </w:p>
        </w:tc>
      </w:tr>
      <w:tr w:rsidR="00D64FE1" w:rsidRPr="00D64FE1" w14:paraId="285CF021" w14:textId="77777777" w:rsidTr="007179E8">
        <w:tc>
          <w:tcPr>
            <w:tcW w:w="5400" w:type="dxa"/>
            <w:shd w:val="clear" w:color="auto" w:fill="auto"/>
            <w:vAlign w:val="center"/>
          </w:tcPr>
          <w:p w14:paraId="326723B2" w14:textId="77777777" w:rsidR="00D64FE1" w:rsidRPr="00D64FE1" w:rsidRDefault="00D64FE1" w:rsidP="00D64FE1">
            <w:pPr>
              <w:spacing w:line="240" w:lineRule="auto"/>
              <w:jc w:val="center"/>
              <w:rPr>
                <w:rFonts w:eastAsia="Times New Roman" w:cstheme="minorHAnsi"/>
              </w:rPr>
            </w:pPr>
            <w:r w:rsidRPr="00D64FE1">
              <w:rPr>
                <w:rFonts w:eastAsia="Times New Roman" w:cstheme="minorHAnsi"/>
              </w:rPr>
              <w:t>CRR Hourly Settlements</w:t>
            </w:r>
          </w:p>
        </w:tc>
        <w:tc>
          <w:tcPr>
            <w:tcW w:w="2245" w:type="dxa"/>
            <w:shd w:val="clear" w:color="auto" w:fill="auto"/>
            <w:vAlign w:val="center"/>
          </w:tcPr>
          <w:p w14:paraId="39D12A9F" w14:textId="77777777" w:rsidR="00D64FE1" w:rsidRPr="00D64FE1" w:rsidRDefault="00D64FE1" w:rsidP="00D64FE1">
            <w:pPr>
              <w:spacing w:line="240" w:lineRule="auto"/>
              <w:jc w:val="center"/>
              <w:rPr>
                <w:rFonts w:eastAsia="Times New Roman" w:cstheme="minorHAnsi"/>
                <w:highlight w:val="yellow"/>
              </w:rPr>
            </w:pPr>
          </w:p>
        </w:tc>
      </w:tr>
      <w:tr w:rsidR="00D64FE1" w:rsidRPr="00D64FE1" w14:paraId="06326B08" w14:textId="77777777" w:rsidTr="007179E8">
        <w:tc>
          <w:tcPr>
            <w:tcW w:w="5400" w:type="dxa"/>
            <w:shd w:val="clear" w:color="auto" w:fill="auto"/>
            <w:vAlign w:val="center"/>
          </w:tcPr>
          <w:p w14:paraId="1074D7B7" w14:textId="77777777" w:rsidR="00D64FE1" w:rsidRPr="00D64FE1" w:rsidRDefault="00D64FE1" w:rsidP="00D64FE1">
            <w:pPr>
              <w:spacing w:line="240" w:lineRule="auto"/>
              <w:jc w:val="center"/>
              <w:rPr>
                <w:rFonts w:eastAsia="Times New Roman" w:cstheme="minorHAnsi"/>
              </w:rPr>
            </w:pPr>
            <w:r w:rsidRPr="00D64FE1">
              <w:rPr>
                <w:rFonts w:eastAsia="Times New Roman" w:cstheme="minorHAnsi"/>
              </w:rPr>
              <w:t>CAISO Monthly CPM Allocation</w:t>
            </w:r>
          </w:p>
        </w:tc>
        <w:tc>
          <w:tcPr>
            <w:tcW w:w="2245" w:type="dxa"/>
            <w:shd w:val="clear" w:color="auto" w:fill="auto"/>
            <w:vAlign w:val="center"/>
          </w:tcPr>
          <w:p w14:paraId="6D844405" w14:textId="77777777" w:rsidR="00D64FE1" w:rsidRPr="00D64FE1" w:rsidRDefault="00D64FE1" w:rsidP="00D64FE1">
            <w:pPr>
              <w:spacing w:line="240" w:lineRule="auto"/>
              <w:jc w:val="center"/>
              <w:rPr>
                <w:rFonts w:eastAsia="Times New Roman" w:cstheme="minorHAnsi"/>
                <w:highlight w:val="yellow"/>
              </w:rPr>
            </w:pPr>
          </w:p>
        </w:tc>
      </w:tr>
      <w:tr w:rsidR="00D64FE1" w:rsidRPr="00D64FE1" w14:paraId="1E6D3942" w14:textId="77777777" w:rsidTr="007179E8">
        <w:tc>
          <w:tcPr>
            <w:tcW w:w="5400" w:type="dxa"/>
            <w:shd w:val="clear" w:color="auto" w:fill="auto"/>
            <w:vAlign w:val="center"/>
          </w:tcPr>
          <w:p w14:paraId="5740C515" w14:textId="77777777" w:rsidR="00D64FE1" w:rsidRPr="00D64FE1" w:rsidRDefault="00D64FE1" w:rsidP="00D64FE1">
            <w:pPr>
              <w:spacing w:line="240" w:lineRule="auto"/>
              <w:jc w:val="center"/>
              <w:rPr>
                <w:rFonts w:eastAsia="Times New Roman" w:cstheme="minorHAnsi"/>
              </w:rPr>
            </w:pPr>
            <w:r w:rsidRPr="00D64FE1">
              <w:rPr>
                <w:rFonts w:eastAsia="Times New Roman" w:cstheme="minorHAnsi"/>
              </w:rPr>
              <w:t xml:space="preserve">Renewable Portfolio Standards Charge (“RPS”) </w:t>
            </w:r>
          </w:p>
        </w:tc>
        <w:tc>
          <w:tcPr>
            <w:tcW w:w="2245" w:type="dxa"/>
            <w:shd w:val="clear" w:color="auto" w:fill="auto"/>
            <w:vAlign w:val="center"/>
          </w:tcPr>
          <w:p w14:paraId="6AD592CA" w14:textId="77777777" w:rsidR="00D64FE1" w:rsidRPr="00D64FE1" w:rsidRDefault="00D64FE1" w:rsidP="00D64FE1">
            <w:pPr>
              <w:spacing w:line="240" w:lineRule="auto"/>
              <w:jc w:val="center"/>
              <w:rPr>
                <w:rFonts w:eastAsia="Times New Roman" w:cstheme="minorHAnsi"/>
              </w:rPr>
            </w:pPr>
          </w:p>
        </w:tc>
      </w:tr>
    </w:tbl>
    <w:p w14:paraId="5F3A65C7" w14:textId="77777777" w:rsidR="00D64FE1" w:rsidRPr="00D64FE1" w:rsidRDefault="00D64FE1" w:rsidP="00D64FE1">
      <w:pPr>
        <w:spacing w:line="240" w:lineRule="auto"/>
        <w:jc w:val="both"/>
        <w:rPr>
          <w:rFonts w:eastAsia="Times New Roman" w:cstheme="minorHAnsi"/>
        </w:rPr>
      </w:pPr>
    </w:p>
    <w:p w14:paraId="5E5F6419" w14:textId="0A926697" w:rsidR="00D64FE1" w:rsidRPr="00D64FE1" w:rsidRDefault="00D64FE1" w:rsidP="007179E8">
      <w:pPr>
        <w:spacing w:line="240" w:lineRule="auto"/>
        <w:ind w:left="1710"/>
        <w:jc w:val="both"/>
        <w:rPr>
          <w:rFonts w:eastAsia="Times New Roman" w:cstheme="minorHAnsi"/>
        </w:rPr>
      </w:pPr>
      <w:r w:rsidRPr="00D64FE1">
        <w:rPr>
          <w:rFonts w:eastAsia="Times New Roman" w:cstheme="minorHAnsi"/>
          <w:b/>
          <w:bCs/>
        </w:rPr>
        <w:t xml:space="preserve">Other Charges:  </w:t>
      </w:r>
      <w:r w:rsidRPr="00D64FE1">
        <w:rPr>
          <w:rFonts w:eastAsia="Times New Roman" w:cstheme="minorHAnsi"/>
        </w:rPr>
        <w:t xml:space="preserve">Seller shall indicate below in Table </w:t>
      </w:r>
      <w:r w:rsidR="00BA11D6" w:rsidRPr="00FA697F">
        <w:rPr>
          <w:rFonts w:eastAsia="Times New Roman" w:cstheme="minorHAnsi"/>
        </w:rPr>
        <w:t>2</w:t>
      </w:r>
      <w:r w:rsidRPr="00D64FE1">
        <w:rPr>
          <w:rFonts w:eastAsia="Times New Roman" w:cstheme="minorHAnsi"/>
        </w:rPr>
        <w:t xml:space="preserve"> any Other Charges (“Other Charges”) </w:t>
      </w:r>
      <w:r w:rsidR="00CF74DC" w:rsidRPr="00FA697F">
        <w:rPr>
          <w:rFonts w:eastAsia="Times New Roman" w:cstheme="minorHAnsi"/>
        </w:rPr>
        <w:t>additional to Table 1.</w:t>
      </w:r>
      <w:r w:rsidRPr="00D64FE1">
        <w:rPr>
          <w:rFonts w:eastAsia="Times New Roman" w:cstheme="minorHAnsi"/>
        </w:rPr>
        <w:t xml:space="preserve">  </w:t>
      </w:r>
    </w:p>
    <w:p w14:paraId="0C900700" w14:textId="77777777" w:rsidR="00D64FE1" w:rsidRPr="00D64FE1" w:rsidRDefault="00D64FE1" w:rsidP="007179E8">
      <w:pPr>
        <w:spacing w:line="240" w:lineRule="auto"/>
        <w:ind w:left="1710"/>
        <w:jc w:val="both"/>
        <w:rPr>
          <w:rFonts w:eastAsia="Times New Roman" w:cstheme="minorHAnsi"/>
        </w:rPr>
      </w:pPr>
    </w:p>
    <w:p w14:paraId="0C693E67" w14:textId="3EEAC4AA" w:rsidR="00D64FE1" w:rsidRPr="00D64FE1" w:rsidRDefault="00D64FE1" w:rsidP="007179E8">
      <w:pPr>
        <w:spacing w:line="240" w:lineRule="auto"/>
        <w:ind w:left="1350"/>
        <w:jc w:val="both"/>
        <w:rPr>
          <w:rFonts w:eastAsia="Times New Roman" w:cstheme="minorHAnsi"/>
          <w:b/>
          <w:bCs/>
        </w:rPr>
      </w:pPr>
      <w:r w:rsidRPr="00D64FE1">
        <w:rPr>
          <w:rFonts w:eastAsia="Times New Roman" w:cstheme="minorHAnsi"/>
        </w:rPr>
        <w:t xml:space="preserve">      </w:t>
      </w:r>
      <w:r w:rsidRPr="00D64FE1">
        <w:rPr>
          <w:rFonts w:eastAsia="Times New Roman" w:cstheme="minorHAnsi"/>
          <w:b/>
          <w:bCs/>
        </w:rPr>
        <w:t xml:space="preserve">Table </w:t>
      </w:r>
      <w:r w:rsidR="00074614" w:rsidRPr="00FA697F">
        <w:rPr>
          <w:rFonts w:eastAsia="Times New Roman" w:cstheme="minorHAnsi"/>
          <w:b/>
          <w:bCs/>
        </w:rPr>
        <w:t>2</w:t>
      </w:r>
      <w:r w:rsidRPr="00D64FE1">
        <w:rPr>
          <w:rFonts w:eastAsia="Times New Roman" w:cstheme="minorHAnsi"/>
          <w:b/>
          <w:bCs/>
        </w:rPr>
        <w:t xml:space="preserve"> </w:t>
      </w:r>
      <w:proofErr w:type="gramStart"/>
      <w:r w:rsidRPr="00D64FE1">
        <w:rPr>
          <w:rFonts w:eastAsia="Times New Roman" w:cstheme="minorHAnsi"/>
          <w:b/>
          <w:bCs/>
        </w:rPr>
        <w:t>–  Other</w:t>
      </w:r>
      <w:proofErr w:type="gramEnd"/>
      <w:r w:rsidRPr="00D64FE1">
        <w:rPr>
          <w:rFonts w:eastAsia="Times New Roman" w:cstheme="minorHAnsi"/>
          <w:b/>
          <w:bCs/>
        </w:rPr>
        <w:t xml:space="preserve"> Charges:</w:t>
      </w:r>
    </w:p>
    <w:tbl>
      <w:tblPr>
        <w:tblStyle w:val="TableGrid"/>
        <w:tblW w:w="7740" w:type="dxa"/>
        <w:tblInd w:w="1612" w:type="dxa"/>
        <w:tblLook w:val="04A0" w:firstRow="1" w:lastRow="0" w:firstColumn="1" w:lastColumn="0" w:noHBand="0" w:noVBand="1"/>
      </w:tblPr>
      <w:tblGrid>
        <w:gridCol w:w="4410"/>
        <w:gridCol w:w="3330"/>
      </w:tblGrid>
      <w:tr w:rsidR="00D64FE1" w:rsidRPr="00D64FE1" w14:paraId="004C73C9" w14:textId="77777777" w:rsidTr="007179E8">
        <w:tc>
          <w:tcPr>
            <w:tcW w:w="4410" w:type="dxa"/>
          </w:tcPr>
          <w:p w14:paraId="3C8BC01F" w14:textId="77777777" w:rsidR="00D64FE1" w:rsidRPr="00D64FE1" w:rsidRDefault="00D64FE1" w:rsidP="00D64FE1">
            <w:pPr>
              <w:spacing w:line="240" w:lineRule="auto"/>
              <w:jc w:val="both"/>
              <w:rPr>
                <w:rFonts w:asciiTheme="minorHAnsi" w:hAnsiTheme="minorHAnsi" w:cstheme="minorHAnsi"/>
                <w:sz w:val="24"/>
                <w:szCs w:val="24"/>
              </w:rPr>
            </w:pPr>
            <w:r w:rsidRPr="00D64FE1">
              <w:rPr>
                <w:rFonts w:asciiTheme="minorHAnsi" w:hAnsiTheme="minorHAnsi" w:cstheme="minorHAnsi"/>
                <w:sz w:val="24"/>
                <w:szCs w:val="24"/>
              </w:rPr>
              <w:t>Type of Charge:</w:t>
            </w:r>
          </w:p>
        </w:tc>
        <w:tc>
          <w:tcPr>
            <w:tcW w:w="3330" w:type="dxa"/>
          </w:tcPr>
          <w:p w14:paraId="585642C5" w14:textId="77777777" w:rsidR="00D64FE1" w:rsidRPr="00D64FE1" w:rsidRDefault="00D64FE1" w:rsidP="00D64FE1">
            <w:pPr>
              <w:spacing w:line="240" w:lineRule="auto"/>
              <w:jc w:val="both"/>
              <w:rPr>
                <w:rFonts w:asciiTheme="minorHAnsi" w:hAnsiTheme="minorHAnsi" w:cstheme="minorHAnsi"/>
                <w:sz w:val="24"/>
                <w:szCs w:val="24"/>
              </w:rPr>
            </w:pPr>
            <w:r w:rsidRPr="00D64FE1">
              <w:rPr>
                <w:rFonts w:asciiTheme="minorHAnsi" w:hAnsiTheme="minorHAnsi" w:cstheme="minorHAnsi"/>
                <w:sz w:val="24"/>
                <w:szCs w:val="24"/>
              </w:rPr>
              <w:t>Background Information Regarding Charge:</w:t>
            </w:r>
          </w:p>
        </w:tc>
      </w:tr>
      <w:tr w:rsidR="00D64FE1" w:rsidRPr="00D64FE1" w14:paraId="172A9060" w14:textId="77777777" w:rsidTr="007179E8">
        <w:tc>
          <w:tcPr>
            <w:tcW w:w="4410" w:type="dxa"/>
          </w:tcPr>
          <w:p w14:paraId="10028EEF" w14:textId="77777777" w:rsidR="00D64FE1" w:rsidRPr="00D64FE1" w:rsidRDefault="00D64FE1" w:rsidP="00D64FE1">
            <w:pPr>
              <w:spacing w:line="240" w:lineRule="auto"/>
              <w:jc w:val="both"/>
              <w:rPr>
                <w:rFonts w:asciiTheme="minorHAnsi" w:hAnsiTheme="minorHAnsi" w:cstheme="minorHAnsi"/>
                <w:sz w:val="24"/>
                <w:szCs w:val="24"/>
              </w:rPr>
            </w:pPr>
          </w:p>
        </w:tc>
        <w:tc>
          <w:tcPr>
            <w:tcW w:w="3330" w:type="dxa"/>
          </w:tcPr>
          <w:p w14:paraId="4D32210B" w14:textId="77777777" w:rsidR="00D64FE1" w:rsidRPr="00D64FE1" w:rsidRDefault="00D64FE1" w:rsidP="00D64FE1">
            <w:pPr>
              <w:spacing w:line="240" w:lineRule="auto"/>
              <w:jc w:val="both"/>
              <w:rPr>
                <w:rFonts w:asciiTheme="minorHAnsi" w:hAnsiTheme="minorHAnsi" w:cstheme="minorHAnsi"/>
                <w:sz w:val="24"/>
                <w:szCs w:val="24"/>
              </w:rPr>
            </w:pPr>
          </w:p>
        </w:tc>
      </w:tr>
      <w:tr w:rsidR="00D64FE1" w:rsidRPr="00D64FE1" w14:paraId="3F772720" w14:textId="77777777" w:rsidTr="007179E8">
        <w:tc>
          <w:tcPr>
            <w:tcW w:w="4410" w:type="dxa"/>
          </w:tcPr>
          <w:p w14:paraId="56F175B6" w14:textId="77777777" w:rsidR="00D64FE1" w:rsidRPr="00D64FE1" w:rsidRDefault="00D64FE1" w:rsidP="00D64FE1">
            <w:pPr>
              <w:spacing w:line="240" w:lineRule="auto"/>
              <w:jc w:val="both"/>
              <w:rPr>
                <w:rFonts w:asciiTheme="minorHAnsi" w:hAnsiTheme="minorHAnsi" w:cstheme="minorHAnsi"/>
                <w:sz w:val="24"/>
                <w:szCs w:val="24"/>
              </w:rPr>
            </w:pPr>
          </w:p>
        </w:tc>
        <w:tc>
          <w:tcPr>
            <w:tcW w:w="3330" w:type="dxa"/>
          </w:tcPr>
          <w:p w14:paraId="083DA1DC" w14:textId="77777777" w:rsidR="00D64FE1" w:rsidRPr="00D64FE1" w:rsidRDefault="00D64FE1" w:rsidP="00D64FE1">
            <w:pPr>
              <w:spacing w:line="240" w:lineRule="auto"/>
              <w:jc w:val="both"/>
              <w:rPr>
                <w:rFonts w:asciiTheme="minorHAnsi" w:hAnsiTheme="minorHAnsi" w:cstheme="minorHAnsi"/>
                <w:sz w:val="24"/>
                <w:szCs w:val="24"/>
              </w:rPr>
            </w:pPr>
          </w:p>
        </w:tc>
      </w:tr>
    </w:tbl>
    <w:p w14:paraId="2A902A81" w14:textId="77777777" w:rsidR="00761421" w:rsidRPr="00FA697F" w:rsidRDefault="00761421" w:rsidP="00761421">
      <w:pPr>
        <w:pStyle w:val="ListParagraph"/>
        <w:spacing w:line="240" w:lineRule="auto"/>
        <w:jc w:val="both"/>
        <w:rPr>
          <w:rFonts w:eastAsia="Times New Roman" w:cstheme="minorHAnsi"/>
          <w:b/>
          <w:bCs/>
          <w:u w:val="single"/>
        </w:rPr>
      </w:pPr>
    </w:p>
    <w:p w14:paraId="6EABFFC8" w14:textId="53931195" w:rsidR="00761421" w:rsidRPr="00FA697F" w:rsidRDefault="00576403" w:rsidP="00576403">
      <w:pPr>
        <w:pStyle w:val="ListParagraph"/>
        <w:spacing w:line="240" w:lineRule="auto"/>
        <w:ind w:left="2160" w:hanging="720"/>
        <w:jc w:val="both"/>
        <w:rPr>
          <w:rFonts w:eastAsia="Times New Roman" w:cstheme="minorHAnsi"/>
          <w:b/>
          <w:bCs/>
          <w:u w:val="single"/>
        </w:rPr>
      </w:pPr>
      <w:r>
        <w:rPr>
          <w:rFonts w:eastAsia="Times New Roman" w:cstheme="minorHAnsi"/>
          <w:b/>
          <w:bCs/>
          <w:u w:val="single"/>
        </w:rPr>
        <w:t>2.3.8</w:t>
      </w:r>
      <w:r w:rsidR="007179E8">
        <w:rPr>
          <w:rFonts w:eastAsia="Times New Roman" w:cstheme="minorHAnsi"/>
          <w:b/>
          <w:bCs/>
          <w:u w:val="single"/>
        </w:rPr>
        <w:t>)</w:t>
      </w:r>
      <w:r w:rsidR="007179E8">
        <w:rPr>
          <w:rFonts w:eastAsia="Times New Roman" w:cstheme="minorHAnsi"/>
          <w:b/>
          <w:bCs/>
          <w:u w:val="single"/>
        </w:rPr>
        <w:tab/>
      </w:r>
      <w:r w:rsidR="00761421" w:rsidRPr="00FA697F">
        <w:rPr>
          <w:rFonts w:eastAsia="Times New Roman" w:cstheme="minorHAnsi"/>
          <w:b/>
          <w:bCs/>
          <w:u w:val="single"/>
        </w:rPr>
        <w:t xml:space="preserve">Option </w:t>
      </w:r>
      <w:r w:rsidR="00761421" w:rsidRPr="00FA697F">
        <w:rPr>
          <w:rFonts w:eastAsia="Times New Roman" w:cstheme="minorHAnsi"/>
          <w:b/>
          <w:bCs/>
          <w:u w:val="single"/>
        </w:rPr>
        <w:t>2</w:t>
      </w:r>
      <w:r w:rsidR="00761421" w:rsidRPr="00FA697F">
        <w:rPr>
          <w:rFonts w:eastAsia="Times New Roman" w:cstheme="minorHAnsi"/>
          <w:b/>
          <w:bCs/>
          <w:u w:val="single"/>
        </w:rPr>
        <w:t xml:space="preserve">: Seller to provide data in tables </w:t>
      </w:r>
      <w:r w:rsidR="00761421" w:rsidRPr="00FA697F">
        <w:rPr>
          <w:rFonts w:eastAsia="Times New Roman" w:cstheme="minorHAnsi"/>
          <w:b/>
          <w:bCs/>
          <w:u w:val="single"/>
        </w:rPr>
        <w:t>3</w:t>
      </w:r>
      <w:r w:rsidR="00761421" w:rsidRPr="00FA697F">
        <w:rPr>
          <w:rFonts w:eastAsia="Times New Roman" w:cstheme="minorHAnsi"/>
          <w:b/>
          <w:bCs/>
          <w:u w:val="single"/>
        </w:rPr>
        <w:t xml:space="preserve">, and </w:t>
      </w:r>
      <w:r w:rsidR="00761421" w:rsidRPr="00FA697F">
        <w:rPr>
          <w:rFonts w:eastAsia="Times New Roman" w:cstheme="minorHAnsi"/>
          <w:b/>
          <w:bCs/>
          <w:u w:val="single"/>
        </w:rPr>
        <w:t>4</w:t>
      </w:r>
      <w:r w:rsidR="00761421" w:rsidRPr="00FA697F">
        <w:rPr>
          <w:rFonts w:eastAsia="Times New Roman" w:cstheme="minorHAnsi"/>
          <w:b/>
          <w:bCs/>
          <w:u w:val="single"/>
        </w:rPr>
        <w:t xml:space="preserve"> for the </w:t>
      </w:r>
      <w:proofErr w:type="gramStart"/>
      <w:r w:rsidR="00761421" w:rsidRPr="00FA697F">
        <w:rPr>
          <w:rFonts w:eastAsia="Times New Roman" w:cstheme="minorHAnsi"/>
          <w:b/>
          <w:bCs/>
          <w:u w:val="single"/>
        </w:rPr>
        <w:t>24</w:t>
      </w:r>
      <w:r w:rsidR="00761421" w:rsidRPr="00FA697F">
        <w:rPr>
          <w:rFonts w:eastAsia="Times New Roman" w:cstheme="minorHAnsi"/>
          <w:b/>
          <w:bCs/>
          <w:u w:val="single"/>
        </w:rPr>
        <w:t xml:space="preserve"> month</w:t>
      </w:r>
      <w:proofErr w:type="gramEnd"/>
      <w:r w:rsidR="00761421" w:rsidRPr="00FA697F">
        <w:rPr>
          <w:rFonts w:eastAsia="Times New Roman" w:cstheme="minorHAnsi"/>
          <w:b/>
          <w:bCs/>
          <w:u w:val="single"/>
        </w:rPr>
        <w:t xml:space="preserve"> basis.</w:t>
      </w:r>
    </w:p>
    <w:p w14:paraId="57807C2A" w14:textId="77777777" w:rsidR="00761421" w:rsidRPr="00D64FE1" w:rsidRDefault="00761421" w:rsidP="00761421">
      <w:pPr>
        <w:spacing w:line="240" w:lineRule="auto"/>
        <w:jc w:val="both"/>
        <w:rPr>
          <w:rFonts w:eastAsia="Times New Roman" w:cstheme="minorHAnsi"/>
        </w:rPr>
      </w:pPr>
    </w:p>
    <w:p w14:paraId="77282F4C" w14:textId="5B566641" w:rsidR="00761421" w:rsidRPr="00D64FE1" w:rsidRDefault="00761421" w:rsidP="00761421">
      <w:pPr>
        <w:spacing w:line="240" w:lineRule="auto"/>
        <w:ind w:left="1440"/>
        <w:rPr>
          <w:rFonts w:eastAsia="Times New Roman" w:cstheme="minorHAnsi"/>
          <w:b/>
          <w:u w:val="single"/>
        </w:rPr>
      </w:pPr>
      <w:r w:rsidRPr="00D64FE1">
        <w:rPr>
          <w:rFonts w:eastAsia="Times New Roman" w:cstheme="minorHAnsi"/>
          <w:b/>
        </w:rPr>
        <w:t xml:space="preserve">       </w:t>
      </w:r>
      <w:r w:rsidRPr="00D64FE1">
        <w:rPr>
          <w:rFonts w:eastAsia="Times New Roman" w:cstheme="minorHAnsi"/>
          <w:b/>
          <w:u w:val="single"/>
        </w:rPr>
        <w:t xml:space="preserve">Table </w:t>
      </w:r>
      <w:r w:rsidRPr="00FA697F">
        <w:rPr>
          <w:rFonts w:eastAsia="Times New Roman" w:cstheme="minorHAnsi"/>
          <w:b/>
          <w:u w:val="single"/>
        </w:rPr>
        <w:t>3</w:t>
      </w:r>
      <w:r w:rsidRPr="00D64FE1">
        <w:rPr>
          <w:rFonts w:eastAsia="Times New Roman" w:cstheme="minorHAnsi"/>
          <w:b/>
          <w:u w:val="single"/>
        </w:rPr>
        <w:t xml:space="preserve"> </w:t>
      </w:r>
      <w:proofErr w:type="gramStart"/>
      <w:r w:rsidRPr="00D64FE1">
        <w:rPr>
          <w:rFonts w:eastAsia="Times New Roman" w:cstheme="minorHAnsi"/>
          <w:b/>
          <w:u w:val="single"/>
        </w:rPr>
        <w:t>–  Rate</w:t>
      </w:r>
      <w:proofErr w:type="gramEnd"/>
      <w:r w:rsidRPr="00D64FE1">
        <w:rPr>
          <w:rFonts w:eastAsia="Times New Roman" w:cstheme="minorHAnsi"/>
          <w:b/>
          <w:u w:val="single"/>
        </w:rPr>
        <w:t xml:space="preserve"> Components:</w:t>
      </w:r>
    </w:p>
    <w:tbl>
      <w:tblPr>
        <w:tblW w:w="7645" w:type="dxa"/>
        <w:tblInd w:w="1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2245"/>
      </w:tblGrid>
      <w:tr w:rsidR="00761421" w:rsidRPr="00D64FE1" w14:paraId="64CAF3F6" w14:textId="77777777" w:rsidTr="007179E8">
        <w:tc>
          <w:tcPr>
            <w:tcW w:w="5400" w:type="dxa"/>
            <w:shd w:val="clear" w:color="auto" w:fill="auto"/>
            <w:vAlign w:val="center"/>
          </w:tcPr>
          <w:p w14:paraId="5BAB60DB" w14:textId="77777777" w:rsidR="00761421" w:rsidRPr="00D64FE1" w:rsidRDefault="00761421" w:rsidP="00365F26">
            <w:pPr>
              <w:spacing w:line="240" w:lineRule="auto"/>
              <w:jc w:val="center"/>
              <w:rPr>
                <w:rFonts w:eastAsia="Times New Roman" w:cstheme="minorHAnsi"/>
              </w:rPr>
            </w:pPr>
            <w:r w:rsidRPr="00D64FE1">
              <w:rPr>
                <w:rFonts w:eastAsia="Times New Roman" w:cstheme="minorHAnsi"/>
              </w:rPr>
              <w:t>Energy Charge</w:t>
            </w:r>
          </w:p>
        </w:tc>
        <w:tc>
          <w:tcPr>
            <w:tcW w:w="2245" w:type="dxa"/>
            <w:shd w:val="clear" w:color="auto" w:fill="auto"/>
            <w:vAlign w:val="center"/>
          </w:tcPr>
          <w:p w14:paraId="58AFA147" w14:textId="77777777" w:rsidR="00761421" w:rsidRPr="00D64FE1" w:rsidRDefault="00761421" w:rsidP="00365F26">
            <w:pPr>
              <w:spacing w:line="240" w:lineRule="auto"/>
              <w:jc w:val="center"/>
              <w:rPr>
                <w:rFonts w:eastAsia="Times New Roman" w:cstheme="minorHAnsi"/>
                <w:highlight w:val="yellow"/>
              </w:rPr>
            </w:pPr>
          </w:p>
        </w:tc>
      </w:tr>
      <w:tr w:rsidR="00761421" w:rsidRPr="00D64FE1" w14:paraId="67F0CEB7" w14:textId="77777777" w:rsidTr="007179E8">
        <w:tc>
          <w:tcPr>
            <w:tcW w:w="5400" w:type="dxa"/>
            <w:shd w:val="clear" w:color="auto" w:fill="auto"/>
            <w:vAlign w:val="center"/>
          </w:tcPr>
          <w:p w14:paraId="58FE1608" w14:textId="77777777" w:rsidR="00761421" w:rsidRPr="00D64FE1" w:rsidRDefault="00761421" w:rsidP="00365F26">
            <w:pPr>
              <w:spacing w:line="240" w:lineRule="auto"/>
              <w:jc w:val="center"/>
              <w:rPr>
                <w:rFonts w:eastAsia="Times New Roman" w:cstheme="minorHAnsi"/>
              </w:rPr>
            </w:pPr>
            <w:r w:rsidRPr="00D64FE1">
              <w:rPr>
                <w:rFonts w:eastAsia="Times New Roman" w:cstheme="minorHAnsi"/>
              </w:rPr>
              <w:t>Basis Charge</w:t>
            </w:r>
          </w:p>
        </w:tc>
        <w:tc>
          <w:tcPr>
            <w:tcW w:w="2245" w:type="dxa"/>
            <w:shd w:val="clear" w:color="auto" w:fill="auto"/>
            <w:vAlign w:val="center"/>
          </w:tcPr>
          <w:p w14:paraId="26A01FCD" w14:textId="77777777" w:rsidR="00761421" w:rsidRPr="00D64FE1" w:rsidRDefault="00761421" w:rsidP="00365F26">
            <w:pPr>
              <w:spacing w:line="240" w:lineRule="auto"/>
              <w:jc w:val="center"/>
              <w:rPr>
                <w:rFonts w:eastAsia="Times New Roman" w:cstheme="minorHAnsi"/>
                <w:highlight w:val="yellow"/>
              </w:rPr>
            </w:pPr>
          </w:p>
        </w:tc>
      </w:tr>
      <w:tr w:rsidR="00761421" w:rsidRPr="00D64FE1" w14:paraId="733C5451" w14:textId="77777777" w:rsidTr="007179E8">
        <w:tc>
          <w:tcPr>
            <w:tcW w:w="5400" w:type="dxa"/>
            <w:shd w:val="clear" w:color="auto" w:fill="auto"/>
            <w:vAlign w:val="center"/>
          </w:tcPr>
          <w:p w14:paraId="1C373B1E" w14:textId="77777777" w:rsidR="00761421" w:rsidRPr="00D64FE1" w:rsidRDefault="00761421" w:rsidP="00365F26">
            <w:pPr>
              <w:spacing w:line="240" w:lineRule="auto"/>
              <w:jc w:val="center"/>
              <w:rPr>
                <w:rFonts w:eastAsia="Times New Roman" w:cstheme="minorHAnsi"/>
              </w:rPr>
            </w:pPr>
            <w:r w:rsidRPr="00D64FE1">
              <w:rPr>
                <w:rFonts w:eastAsia="Times New Roman" w:cstheme="minorHAnsi"/>
              </w:rPr>
              <w:t>Ancillary &amp; Settlement Charges/Credits</w:t>
            </w:r>
          </w:p>
        </w:tc>
        <w:tc>
          <w:tcPr>
            <w:tcW w:w="2245" w:type="dxa"/>
            <w:shd w:val="clear" w:color="auto" w:fill="auto"/>
            <w:vAlign w:val="center"/>
          </w:tcPr>
          <w:p w14:paraId="0DE3B250" w14:textId="77777777" w:rsidR="00761421" w:rsidRPr="00D64FE1" w:rsidRDefault="00761421" w:rsidP="00365F26">
            <w:pPr>
              <w:spacing w:line="240" w:lineRule="auto"/>
              <w:jc w:val="center"/>
              <w:rPr>
                <w:rFonts w:eastAsia="Times New Roman" w:cstheme="minorHAnsi"/>
                <w:highlight w:val="yellow"/>
              </w:rPr>
            </w:pPr>
          </w:p>
        </w:tc>
      </w:tr>
      <w:tr w:rsidR="00761421" w:rsidRPr="00D64FE1" w14:paraId="4319AF69" w14:textId="77777777" w:rsidTr="007179E8">
        <w:tc>
          <w:tcPr>
            <w:tcW w:w="5400" w:type="dxa"/>
            <w:shd w:val="clear" w:color="auto" w:fill="auto"/>
            <w:vAlign w:val="center"/>
          </w:tcPr>
          <w:p w14:paraId="6C7B9C89" w14:textId="77777777" w:rsidR="00761421" w:rsidRPr="00D64FE1" w:rsidRDefault="00761421" w:rsidP="00365F26">
            <w:pPr>
              <w:spacing w:line="240" w:lineRule="auto"/>
              <w:jc w:val="center"/>
              <w:rPr>
                <w:rFonts w:eastAsia="Times New Roman" w:cstheme="minorHAnsi"/>
              </w:rPr>
            </w:pPr>
            <w:r w:rsidRPr="00D64FE1">
              <w:rPr>
                <w:rFonts w:eastAsia="Times New Roman" w:cstheme="minorHAnsi"/>
              </w:rPr>
              <w:t>California Resource Adequacy</w:t>
            </w:r>
          </w:p>
        </w:tc>
        <w:tc>
          <w:tcPr>
            <w:tcW w:w="2245" w:type="dxa"/>
            <w:shd w:val="clear" w:color="auto" w:fill="auto"/>
            <w:vAlign w:val="center"/>
          </w:tcPr>
          <w:p w14:paraId="5D313060" w14:textId="77777777" w:rsidR="00761421" w:rsidRPr="00D64FE1" w:rsidRDefault="00761421" w:rsidP="00365F26">
            <w:pPr>
              <w:spacing w:line="240" w:lineRule="auto"/>
              <w:jc w:val="center"/>
              <w:rPr>
                <w:rFonts w:eastAsia="Times New Roman" w:cstheme="minorHAnsi"/>
                <w:highlight w:val="yellow"/>
              </w:rPr>
            </w:pPr>
          </w:p>
        </w:tc>
      </w:tr>
      <w:tr w:rsidR="00761421" w:rsidRPr="00D64FE1" w14:paraId="1A2CDA7A" w14:textId="77777777" w:rsidTr="007179E8">
        <w:tc>
          <w:tcPr>
            <w:tcW w:w="5400" w:type="dxa"/>
            <w:shd w:val="clear" w:color="auto" w:fill="auto"/>
            <w:vAlign w:val="center"/>
          </w:tcPr>
          <w:p w14:paraId="4B6B357F" w14:textId="77777777" w:rsidR="00761421" w:rsidRPr="00D64FE1" w:rsidRDefault="00761421" w:rsidP="00365F26">
            <w:pPr>
              <w:spacing w:line="240" w:lineRule="auto"/>
              <w:jc w:val="center"/>
              <w:rPr>
                <w:rFonts w:eastAsia="Times New Roman" w:cstheme="minorHAnsi"/>
              </w:rPr>
            </w:pPr>
            <w:r w:rsidRPr="00D64FE1">
              <w:rPr>
                <w:rFonts w:eastAsia="Times New Roman" w:cstheme="minorHAnsi"/>
              </w:rPr>
              <w:t>CRR Hourly Settlements</w:t>
            </w:r>
          </w:p>
        </w:tc>
        <w:tc>
          <w:tcPr>
            <w:tcW w:w="2245" w:type="dxa"/>
            <w:shd w:val="clear" w:color="auto" w:fill="auto"/>
            <w:vAlign w:val="center"/>
          </w:tcPr>
          <w:p w14:paraId="6AF0279E" w14:textId="77777777" w:rsidR="00761421" w:rsidRPr="00D64FE1" w:rsidRDefault="00761421" w:rsidP="00365F26">
            <w:pPr>
              <w:spacing w:line="240" w:lineRule="auto"/>
              <w:jc w:val="center"/>
              <w:rPr>
                <w:rFonts w:eastAsia="Times New Roman" w:cstheme="minorHAnsi"/>
                <w:highlight w:val="yellow"/>
              </w:rPr>
            </w:pPr>
          </w:p>
        </w:tc>
      </w:tr>
      <w:tr w:rsidR="00761421" w:rsidRPr="00D64FE1" w14:paraId="73A79BAD" w14:textId="77777777" w:rsidTr="007179E8">
        <w:tc>
          <w:tcPr>
            <w:tcW w:w="5400" w:type="dxa"/>
            <w:shd w:val="clear" w:color="auto" w:fill="auto"/>
            <w:vAlign w:val="center"/>
          </w:tcPr>
          <w:p w14:paraId="45C63A62" w14:textId="77777777" w:rsidR="00761421" w:rsidRPr="00D64FE1" w:rsidRDefault="00761421" w:rsidP="00365F26">
            <w:pPr>
              <w:spacing w:line="240" w:lineRule="auto"/>
              <w:jc w:val="center"/>
              <w:rPr>
                <w:rFonts w:eastAsia="Times New Roman" w:cstheme="minorHAnsi"/>
              </w:rPr>
            </w:pPr>
            <w:r w:rsidRPr="00D64FE1">
              <w:rPr>
                <w:rFonts w:eastAsia="Times New Roman" w:cstheme="minorHAnsi"/>
              </w:rPr>
              <w:t>CAISO Monthly CPM Allocation</w:t>
            </w:r>
          </w:p>
        </w:tc>
        <w:tc>
          <w:tcPr>
            <w:tcW w:w="2245" w:type="dxa"/>
            <w:shd w:val="clear" w:color="auto" w:fill="auto"/>
            <w:vAlign w:val="center"/>
          </w:tcPr>
          <w:p w14:paraId="60BAA70E" w14:textId="77777777" w:rsidR="00761421" w:rsidRPr="00D64FE1" w:rsidRDefault="00761421" w:rsidP="00365F26">
            <w:pPr>
              <w:spacing w:line="240" w:lineRule="auto"/>
              <w:jc w:val="center"/>
              <w:rPr>
                <w:rFonts w:eastAsia="Times New Roman" w:cstheme="minorHAnsi"/>
                <w:highlight w:val="yellow"/>
              </w:rPr>
            </w:pPr>
          </w:p>
        </w:tc>
      </w:tr>
      <w:tr w:rsidR="00761421" w:rsidRPr="00D64FE1" w14:paraId="6F3A1325" w14:textId="77777777" w:rsidTr="007179E8">
        <w:tc>
          <w:tcPr>
            <w:tcW w:w="5400" w:type="dxa"/>
            <w:shd w:val="clear" w:color="auto" w:fill="auto"/>
            <w:vAlign w:val="center"/>
          </w:tcPr>
          <w:p w14:paraId="000C22A7" w14:textId="77777777" w:rsidR="00761421" w:rsidRPr="00D64FE1" w:rsidRDefault="00761421" w:rsidP="00365F26">
            <w:pPr>
              <w:spacing w:line="240" w:lineRule="auto"/>
              <w:jc w:val="center"/>
              <w:rPr>
                <w:rFonts w:eastAsia="Times New Roman" w:cstheme="minorHAnsi"/>
              </w:rPr>
            </w:pPr>
            <w:r w:rsidRPr="00D64FE1">
              <w:rPr>
                <w:rFonts w:eastAsia="Times New Roman" w:cstheme="minorHAnsi"/>
              </w:rPr>
              <w:t xml:space="preserve">Renewable Portfolio Standards Charge (“RPS”) </w:t>
            </w:r>
          </w:p>
        </w:tc>
        <w:tc>
          <w:tcPr>
            <w:tcW w:w="2245" w:type="dxa"/>
            <w:shd w:val="clear" w:color="auto" w:fill="auto"/>
            <w:vAlign w:val="center"/>
          </w:tcPr>
          <w:p w14:paraId="6C9A1C3C" w14:textId="77777777" w:rsidR="00761421" w:rsidRPr="00D64FE1" w:rsidRDefault="00761421" w:rsidP="00365F26">
            <w:pPr>
              <w:spacing w:line="240" w:lineRule="auto"/>
              <w:jc w:val="center"/>
              <w:rPr>
                <w:rFonts w:eastAsia="Times New Roman" w:cstheme="minorHAnsi"/>
              </w:rPr>
            </w:pPr>
          </w:p>
        </w:tc>
      </w:tr>
    </w:tbl>
    <w:p w14:paraId="21FD68E8" w14:textId="77777777" w:rsidR="00761421" w:rsidRPr="00D64FE1" w:rsidRDefault="00761421" w:rsidP="00761421">
      <w:pPr>
        <w:spacing w:line="240" w:lineRule="auto"/>
        <w:jc w:val="both"/>
        <w:rPr>
          <w:rFonts w:eastAsia="Times New Roman" w:cstheme="minorHAnsi"/>
        </w:rPr>
      </w:pPr>
    </w:p>
    <w:p w14:paraId="11AE4681" w14:textId="5DAF9DD8" w:rsidR="00761421" w:rsidRPr="00D64FE1" w:rsidRDefault="00761421" w:rsidP="007179E8">
      <w:pPr>
        <w:spacing w:line="240" w:lineRule="auto"/>
        <w:ind w:left="1710"/>
        <w:jc w:val="both"/>
        <w:rPr>
          <w:rFonts w:eastAsia="Times New Roman" w:cstheme="minorHAnsi"/>
        </w:rPr>
      </w:pPr>
      <w:r w:rsidRPr="00D64FE1">
        <w:rPr>
          <w:rFonts w:eastAsia="Times New Roman" w:cstheme="minorHAnsi"/>
          <w:b/>
          <w:bCs/>
        </w:rPr>
        <w:lastRenderedPageBreak/>
        <w:t xml:space="preserve">Other Charges:  </w:t>
      </w:r>
      <w:r w:rsidRPr="00D64FE1">
        <w:rPr>
          <w:rFonts w:eastAsia="Times New Roman" w:cstheme="minorHAnsi"/>
        </w:rPr>
        <w:t xml:space="preserve">Seller shall indicate below in Table </w:t>
      </w:r>
      <w:r w:rsidR="00AF27AF" w:rsidRPr="00FA697F">
        <w:rPr>
          <w:rFonts w:eastAsia="Times New Roman" w:cstheme="minorHAnsi"/>
        </w:rPr>
        <w:t>4</w:t>
      </w:r>
      <w:r w:rsidRPr="00D64FE1">
        <w:rPr>
          <w:rFonts w:eastAsia="Times New Roman" w:cstheme="minorHAnsi"/>
        </w:rPr>
        <w:t xml:space="preserve"> any Other Charges (“Other Charges”) </w:t>
      </w:r>
      <w:r w:rsidRPr="00FA697F">
        <w:rPr>
          <w:rFonts w:eastAsia="Times New Roman" w:cstheme="minorHAnsi"/>
        </w:rPr>
        <w:t xml:space="preserve">additional to Table </w:t>
      </w:r>
      <w:r w:rsidR="007C4A67" w:rsidRPr="00FA697F">
        <w:rPr>
          <w:rFonts w:eastAsia="Times New Roman" w:cstheme="minorHAnsi"/>
        </w:rPr>
        <w:t>3</w:t>
      </w:r>
      <w:r w:rsidRPr="00FA697F">
        <w:rPr>
          <w:rFonts w:eastAsia="Times New Roman" w:cstheme="minorHAnsi"/>
        </w:rPr>
        <w:t>.</w:t>
      </w:r>
      <w:r w:rsidRPr="00D64FE1">
        <w:rPr>
          <w:rFonts w:eastAsia="Times New Roman" w:cstheme="minorHAnsi"/>
        </w:rPr>
        <w:t xml:space="preserve">  </w:t>
      </w:r>
    </w:p>
    <w:p w14:paraId="65D37B82" w14:textId="77777777" w:rsidR="00761421" w:rsidRPr="00D64FE1" w:rsidRDefault="00761421" w:rsidP="00761421">
      <w:pPr>
        <w:spacing w:line="240" w:lineRule="auto"/>
        <w:ind w:left="360" w:hanging="360"/>
        <w:jc w:val="both"/>
        <w:rPr>
          <w:rFonts w:eastAsia="Times New Roman" w:cstheme="minorHAnsi"/>
        </w:rPr>
      </w:pPr>
    </w:p>
    <w:p w14:paraId="7D36105A" w14:textId="67CFBA14" w:rsidR="00761421" w:rsidRPr="00D64FE1" w:rsidRDefault="00761421" w:rsidP="007179E8">
      <w:pPr>
        <w:spacing w:line="240" w:lineRule="auto"/>
        <w:ind w:left="1350"/>
        <w:jc w:val="both"/>
        <w:rPr>
          <w:rFonts w:eastAsia="Times New Roman" w:cstheme="minorHAnsi"/>
          <w:b/>
          <w:bCs/>
        </w:rPr>
      </w:pPr>
      <w:r w:rsidRPr="00D64FE1">
        <w:rPr>
          <w:rFonts w:eastAsia="Times New Roman" w:cstheme="minorHAnsi"/>
        </w:rPr>
        <w:t xml:space="preserve">      </w:t>
      </w:r>
      <w:r w:rsidRPr="00D64FE1">
        <w:rPr>
          <w:rFonts w:eastAsia="Times New Roman" w:cstheme="minorHAnsi"/>
          <w:b/>
          <w:bCs/>
        </w:rPr>
        <w:t xml:space="preserve">Table </w:t>
      </w:r>
      <w:r w:rsidRPr="00FA697F">
        <w:rPr>
          <w:rFonts w:eastAsia="Times New Roman" w:cstheme="minorHAnsi"/>
          <w:b/>
          <w:bCs/>
        </w:rPr>
        <w:t>4</w:t>
      </w:r>
      <w:r w:rsidRPr="00D64FE1">
        <w:rPr>
          <w:rFonts w:eastAsia="Times New Roman" w:cstheme="minorHAnsi"/>
          <w:b/>
          <w:bCs/>
        </w:rPr>
        <w:t xml:space="preserve"> </w:t>
      </w:r>
      <w:proofErr w:type="gramStart"/>
      <w:r w:rsidRPr="00D64FE1">
        <w:rPr>
          <w:rFonts w:eastAsia="Times New Roman" w:cstheme="minorHAnsi"/>
          <w:b/>
          <w:bCs/>
        </w:rPr>
        <w:t>–  Other</w:t>
      </w:r>
      <w:proofErr w:type="gramEnd"/>
      <w:r w:rsidRPr="00D64FE1">
        <w:rPr>
          <w:rFonts w:eastAsia="Times New Roman" w:cstheme="minorHAnsi"/>
          <w:b/>
          <w:bCs/>
        </w:rPr>
        <w:t xml:space="preserve"> Charges:</w:t>
      </w:r>
    </w:p>
    <w:tbl>
      <w:tblPr>
        <w:tblStyle w:val="TableGrid"/>
        <w:tblW w:w="7740" w:type="dxa"/>
        <w:tblInd w:w="1612" w:type="dxa"/>
        <w:tblLook w:val="04A0" w:firstRow="1" w:lastRow="0" w:firstColumn="1" w:lastColumn="0" w:noHBand="0" w:noVBand="1"/>
      </w:tblPr>
      <w:tblGrid>
        <w:gridCol w:w="4410"/>
        <w:gridCol w:w="3330"/>
      </w:tblGrid>
      <w:tr w:rsidR="00761421" w:rsidRPr="00D64FE1" w14:paraId="3E54B8ED" w14:textId="77777777" w:rsidTr="007179E8">
        <w:tc>
          <w:tcPr>
            <w:tcW w:w="4410" w:type="dxa"/>
          </w:tcPr>
          <w:p w14:paraId="1E1E3CA4" w14:textId="77777777" w:rsidR="00761421" w:rsidRPr="00D64FE1" w:rsidRDefault="00761421" w:rsidP="00365F26">
            <w:pPr>
              <w:spacing w:line="240" w:lineRule="auto"/>
              <w:jc w:val="both"/>
              <w:rPr>
                <w:rFonts w:asciiTheme="minorHAnsi" w:hAnsiTheme="minorHAnsi" w:cstheme="minorHAnsi"/>
                <w:sz w:val="24"/>
                <w:szCs w:val="24"/>
              </w:rPr>
            </w:pPr>
            <w:r w:rsidRPr="00D64FE1">
              <w:rPr>
                <w:rFonts w:asciiTheme="minorHAnsi" w:hAnsiTheme="minorHAnsi" w:cstheme="minorHAnsi"/>
                <w:sz w:val="24"/>
                <w:szCs w:val="24"/>
              </w:rPr>
              <w:t>Type of Charge:</w:t>
            </w:r>
          </w:p>
        </w:tc>
        <w:tc>
          <w:tcPr>
            <w:tcW w:w="3330" w:type="dxa"/>
          </w:tcPr>
          <w:p w14:paraId="09092172" w14:textId="77777777" w:rsidR="00761421" w:rsidRPr="00D64FE1" w:rsidRDefault="00761421" w:rsidP="00365F26">
            <w:pPr>
              <w:spacing w:line="240" w:lineRule="auto"/>
              <w:jc w:val="both"/>
              <w:rPr>
                <w:rFonts w:asciiTheme="minorHAnsi" w:hAnsiTheme="minorHAnsi" w:cstheme="minorHAnsi"/>
                <w:sz w:val="24"/>
                <w:szCs w:val="24"/>
              </w:rPr>
            </w:pPr>
            <w:r w:rsidRPr="00D64FE1">
              <w:rPr>
                <w:rFonts w:asciiTheme="minorHAnsi" w:hAnsiTheme="minorHAnsi" w:cstheme="minorHAnsi"/>
                <w:sz w:val="24"/>
                <w:szCs w:val="24"/>
              </w:rPr>
              <w:t>Background Information Regarding Charge:</w:t>
            </w:r>
          </w:p>
        </w:tc>
      </w:tr>
      <w:tr w:rsidR="00761421" w:rsidRPr="00D64FE1" w14:paraId="58C905F9" w14:textId="77777777" w:rsidTr="007179E8">
        <w:tc>
          <w:tcPr>
            <w:tcW w:w="4410" w:type="dxa"/>
          </w:tcPr>
          <w:p w14:paraId="534743DF" w14:textId="77777777" w:rsidR="00761421" w:rsidRPr="00D64FE1" w:rsidRDefault="00761421" w:rsidP="00365F26">
            <w:pPr>
              <w:spacing w:line="240" w:lineRule="auto"/>
              <w:jc w:val="both"/>
              <w:rPr>
                <w:rFonts w:asciiTheme="minorHAnsi" w:hAnsiTheme="minorHAnsi" w:cstheme="minorHAnsi"/>
                <w:sz w:val="24"/>
                <w:szCs w:val="24"/>
              </w:rPr>
            </w:pPr>
          </w:p>
        </w:tc>
        <w:tc>
          <w:tcPr>
            <w:tcW w:w="3330" w:type="dxa"/>
          </w:tcPr>
          <w:p w14:paraId="7003B1CD" w14:textId="77777777" w:rsidR="00761421" w:rsidRPr="00D64FE1" w:rsidRDefault="00761421" w:rsidP="00365F26">
            <w:pPr>
              <w:spacing w:line="240" w:lineRule="auto"/>
              <w:jc w:val="both"/>
              <w:rPr>
                <w:rFonts w:asciiTheme="minorHAnsi" w:hAnsiTheme="minorHAnsi" w:cstheme="minorHAnsi"/>
                <w:sz w:val="24"/>
                <w:szCs w:val="24"/>
              </w:rPr>
            </w:pPr>
          </w:p>
        </w:tc>
      </w:tr>
      <w:tr w:rsidR="00761421" w:rsidRPr="00D64FE1" w14:paraId="63982AAE" w14:textId="77777777" w:rsidTr="007179E8">
        <w:tc>
          <w:tcPr>
            <w:tcW w:w="4410" w:type="dxa"/>
          </w:tcPr>
          <w:p w14:paraId="32F70F14" w14:textId="77777777" w:rsidR="00761421" w:rsidRPr="00D64FE1" w:rsidRDefault="00761421" w:rsidP="00365F26">
            <w:pPr>
              <w:spacing w:line="240" w:lineRule="auto"/>
              <w:jc w:val="both"/>
              <w:rPr>
                <w:rFonts w:asciiTheme="minorHAnsi" w:hAnsiTheme="minorHAnsi" w:cstheme="minorHAnsi"/>
                <w:sz w:val="24"/>
                <w:szCs w:val="24"/>
              </w:rPr>
            </w:pPr>
          </w:p>
        </w:tc>
        <w:tc>
          <w:tcPr>
            <w:tcW w:w="3330" w:type="dxa"/>
          </w:tcPr>
          <w:p w14:paraId="4B0A4224" w14:textId="77777777" w:rsidR="00761421" w:rsidRPr="00D64FE1" w:rsidRDefault="00761421" w:rsidP="00365F26">
            <w:pPr>
              <w:spacing w:line="240" w:lineRule="auto"/>
              <w:jc w:val="both"/>
              <w:rPr>
                <w:rFonts w:asciiTheme="minorHAnsi" w:hAnsiTheme="minorHAnsi" w:cstheme="minorHAnsi"/>
                <w:sz w:val="24"/>
                <w:szCs w:val="24"/>
              </w:rPr>
            </w:pPr>
          </w:p>
        </w:tc>
      </w:tr>
    </w:tbl>
    <w:p w14:paraId="12496879" w14:textId="77777777" w:rsidR="00761421" w:rsidRPr="00FA697F" w:rsidRDefault="00761421" w:rsidP="00761421">
      <w:pPr>
        <w:pStyle w:val="ListParagraph"/>
        <w:spacing w:line="240" w:lineRule="auto"/>
        <w:jc w:val="both"/>
        <w:rPr>
          <w:rFonts w:eastAsia="Times New Roman" w:cstheme="minorHAnsi"/>
          <w:b/>
          <w:bCs/>
          <w:u w:val="single"/>
        </w:rPr>
      </w:pPr>
    </w:p>
    <w:p w14:paraId="77BB4EFB" w14:textId="64A2E84B" w:rsidR="00761421" w:rsidRPr="00FA697F" w:rsidRDefault="00576403" w:rsidP="0063423D">
      <w:pPr>
        <w:pStyle w:val="ListParagraph"/>
        <w:spacing w:line="240" w:lineRule="auto"/>
        <w:ind w:left="2160" w:hanging="720"/>
        <w:jc w:val="both"/>
        <w:rPr>
          <w:rFonts w:eastAsia="Times New Roman" w:cstheme="minorHAnsi"/>
          <w:b/>
          <w:bCs/>
          <w:u w:val="single"/>
        </w:rPr>
      </w:pPr>
      <w:r>
        <w:rPr>
          <w:rFonts w:eastAsia="Times New Roman" w:cstheme="minorHAnsi"/>
          <w:b/>
          <w:bCs/>
          <w:u w:val="single"/>
        </w:rPr>
        <w:t>2.3.9</w:t>
      </w:r>
      <w:r w:rsidR="0063423D">
        <w:rPr>
          <w:rFonts w:eastAsia="Times New Roman" w:cstheme="minorHAnsi"/>
          <w:b/>
          <w:bCs/>
          <w:u w:val="single"/>
        </w:rPr>
        <w:tab/>
      </w:r>
      <w:r w:rsidR="00761421" w:rsidRPr="00FA697F">
        <w:rPr>
          <w:rFonts w:eastAsia="Times New Roman" w:cstheme="minorHAnsi"/>
          <w:b/>
          <w:bCs/>
          <w:u w:val="single"/>
        </w:rPr>
        <w:t xml:space="preserve">Option </w:t>
      </w:r>
      <w:r w:rsidR="00761421" w:rsidRPr="00FA697F">
        <w:rPr>
          <w:rFonts w:eastAsia="Times New Roman" w:cstheme="minorHAnsi"/>
          <w:b/>
          <w:bCs/>
          <w:u w:val="single"/>
        </w:rPr>
        <w:t>3</w:t>
      </w:r>
      <w:r w:rsidR="00761421" w:rsidRPr="00FA697F">
        <w:rPr>
          <w:rFonts w:eastAsia="Times New Roman" w:cstheme="minorHAnsi"/>
          <w:b/>
          <w:bCs/>
          <w:u w:val="single"/>
        </w:rPr>
        <w:t xml:space="preserve">: Seller to provide data in tables 1, and 2 for the </w:t>
      </w:r>
      <w:proofErr w:type="gramStart"/>
      <w:r w:rsidR="00761421" w:rsidRPr="00FA697F">
        <w:rPr>
          <w:rFonts w:eastAsia="Times New Roman" w:cstheme="minorHAnsi"/>
          <w:b/>
          <w:bCs/>
          <w:u w:val="single"/>
        </w:rPr>
        <w:t>36</w:t>
      </w:r>
      <w:r w:rsidR="00761421" w:rsidRPr="00FA697F">
        <w:rPr>
          <w:rFonts w:eastAsia="Times New Roman" w:cstheme="minorHAnsi"/>
          <w:b/>
          <w:bCs/>
          <w:u w:val="single"/>
        </w:rPr>
        <w:t xml:space="preserve"> month</w:t>
      </w:r>
      <w:proofErr w:type="gramEnd"/>
      <w:r w:rsidR="00761421" w:rsidRPr="00FA697F">
        <w:rPr>
          <w:rFonts w:eastAsia="Times New Roman" w:cstheme="minorHAnsi"/>
          <w:b/>
          <w:bCs/>
          <w:u w:val="single"/>
        </w:rPr>
        <w:t xml:space="preserve"> basis.</w:t>
      </w:r>
    </w:p>
    <w:p w14:paraId="67D1F542" w14:textId="77777777" w:rsidR="00761421" w:rsidRPr="00D64FE1" w:rsidRDefault="00761421" w:rsidP="00761421">
      <w:pPr>
        <w:spacing w:line="240" w:lineRule="auto"/>
        <w:jc w:val="both"/>
        <w:rPr>
          <w:rFonts w:eastAsia="Times New Roman" w:cstheme="minorHAnsi"/>
        </w:rPr>
      </w:pPr>
    </w:p>
    <w:p w14:paraId="7CBACB66" w14:textId="01EDC5AE" w:rsidR="00761421" w:rsidRPr="00D64FE1" w:rsidRDefault="00761421" w:rsidP="00761421">
      <w:pPr>
        <w:spacing w:line="240" w:lineRule="auto"/>
        <w:ind w:left="1440"/>
        <w:rPr>
          <w:rFonts w:eastAsia="Times New Roman" w:cstheme="minorHAnsi"/>
          <w:b/>
          <w:u w:val="single"/>
        </w:rPr>
      </w:pPr>
      <w:r w:rsidRPr="00D64FE1">
        <w:rPr>
          <w:rFonts w:eastAsia="Times New Roman" w:cstheme="minorHAnsi"/>
          <w:b/>
        </w:rPr>
        <w:t xml:space="preserve">    </w:t>
      </w:r>
      <w:r w:rsidRPr="00D64FE1">
        <w:rPr>
          <w:rFonts w:eastAsia="Times New Roman" w:cstheme="minorHAnsi"/>
          <w:b/>
          <w:u w:val="single"/>
        </w:rPr>
        <w:t xml:space="preserve">Table </w:t>
      </w:r>
      <w:r w:rsidR="007C4A67" w:rsidRPr="00FA697F">
        <w:rPr>
          <w:rFonts w:eastAsia="Times New Roman" w:cstheme="minorHAnsi"/>
          <w:b/>
          <w:u w:val="single"/>
        </w:rPr>
        <w:t>5</w:t>
      </w:r>
      <w:r w:rsidRPr="00D64FE1">
        <w:rPr>
          <w:rFonts w:eastAsia="Times New Roman" w:cstheme="minorHAnsi"/>
          <w:b/>
          <w:u w:val="single"/>
        </w:rPr>
        <w:t xml:space="preserve"> </w:t>
      </w:r>
      <w:proofErr w:type="gramStart"/>
      <w:r w:rsidRPr="00D64FE1">
        <w:rPr>
          <w:rFonts w:eastAsia="Times New Roman" w:cstheme="minorHAnsi"/>
          <w:b/>
          <w:u w:val="single"/>
        </w:rPr>
        <w:t>–  Rate</w:t>
      </w:r>
      <w:proofErr w:type="gramEnd"/>
      <w:r w:rsidRPr="00D64FE1">
        <w:rPr>
          <w:rFonts w:eastAsia="Times New Roman" w:cstheme="minorHAnsi"/>
          <w:b/>
          <w:u w:val="single"/>
        </w:rPr>
        <w:t xml:space="preserve"> Components:</w:t>
      </w:r>
    </w:p>
    <w:tbl>
      <w:tblPr>
        <w:tblW w:w="7738" w:type="dxa"/>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3"/>
        <w:gridCol w:w="2245"/>
      </w:tblGrid>
      <w:tr w:rsidR="00761421" w:rsidRPr="00D64FE1" w14:paraId="67439F7C" w14:textId="77777777" w:rsidTr="0063423D">
        <w:tc>
          <w:tcPr>
            <w:tcW w:w="5493" w:type="dxa"/>
            <w:shd w:val="clear" w:color="auto" w:fill="auto"/>
            <w:vAlign w:val="center"/>
          </w:tcPr>
          <w:p w14:paraId="251A13DF" w14:textId="77777777" w:rsidR="00761421" w:rsidRPr="00D64FE1" w:rsidRDefault="00761421" w:rsidP="00365F26">
            <w:pPr>
              <w:spacing w:line="240" w:lineRule="auto"/>
              <w:jc w:val="center"/>
              <w:rPr>
                <w:rFonts w:eastAsia="Times New Roman" w:cstheme="minorHAnsi"/>
              </w:rPr>
            </w:pPr>
            <w:r w:rsidRPr="00D64FE1">
              <w:rPr>
                <w:rFonts w:eastAsia="Times New Roman" w:cstheme="minorHAnsi"/>
              </w:rPr>
              <w:t>Energy Charge</w:t>
            </w:r>
          </w:p>
        </w:tc>
        <w:tc>
          <w:tcPr>
            <w:tcW w:w="2245" w:type="dxa"/>
            <w:shd w:val="clear" w:color="auto" w:fill="auto"/>
            <w:vAlign w:val="center"/>
          </w:tcPr>
          <w:p w14:paraId="747929C0" w14:textId="77777777" w:rsidR="00761421" w:rsidRPr="00D64FE1" w:rsidRDefault="00761421" w:rsidP="00365F26">
            <w:pPr>
              <w:spacing w:line="240" w:lineRule="auto"/>
              <w:jc w:val="center"/>
              <w:rPr>
                <w:rFonts w:eastAsia="Times New Roman" w:cstheme="minorHAnsi"/>
                <w:highlight w:val="yellow"/>
              </w:rPr>
            </w:pPr>
          </w:p>
        </w:tc>
      </w:tr>
      <w:tr w:rsidR="00761421" w:rsidRPr="00D64FE1" w14:paraId="731B171F" w14:textId="77777777" w:rsidTr="0063423D">
        <w:tc>
          <w:tcPr>
            <w:tcW w:w="5493" w:type="dxa"/>
            <w:shd w:val="clear" w:color="auto" w:fill="auto"/>
            <w:vAlign w:val="center"/>
          </w:tcPr>
          <w:p w14:paraId="284A5840" w14:textId="77777777" w:rsidR="00761421" w:rsidRPr="00D64FE1" w:rsidRDefault="00761421" w:rsidP="00365F26">
            <w:pPr>
              <w:spacing w:line="240" w:lineRule="auto"/>
              <w:jc w:val="center"/>
              <w:rPr>
                <w:rFonts w:eastAsia="Times New Roman" w:cstheme="minorHAnsi"/>
              </w:rPr>
            </w:pPr>
            <w:r w:rsidRPr="00D64FE1">
              <w:rPr>
                <w:rFonts w:eastAsia="Times New Roman" w:cstheme="minorHAnsi"/>
              </w:rPr>
              <w:t>Basis Charge</w:t>
            </w:r>
          </w:p>
        </w:tc>
        <w:tc>
          <w:tcPr>
            <w:tcW w:w="2245" w:type="dxa"/>
            <w:shd w:val="clear" w:color="auto" w:fill="auto"/>
            <w:vAlign w:val="center"/>
          </w:tcPr>
          <w:p w14:paraId="472860EC" w14:textId="77777777" w:rsidR="00761421" w:rsidRPr="00D64FE1" w:rsidRDefault="00761421" w:rsidP="00365F26">
            <w:pPr>
              <w:spacing w:line="240" w:lineRule="auto"/>
              <w:jc w:val="center"/>
              <w:rPr>
                <w:rFonts w:eastAsia="Times New Roman" w:cstheme="minorHAnsi"/>
                <w:highlight w:val="yellow"/>
              </w:rPr>
            </w:pPr>
          </w:p>
        </w:tc>
      </w:tr>
      <w:tr w:rsidR="00761421" w:rsidRPr="00D64FE1" w14:paraId="7E7EA853" w14:textId="77777777" w:rsidTr="0063423D">
        <w:tc>
          <w:tcPr>
            <w:tcW w:w="5493" w:type="dxa"/>
            <w:shd w:val="clear" w:color="auto" w:fill="auto"/>
            <w:vAlign w:val="center"/>
          </w:tcPr>
          <w:p w14:paraId="7152F4D9" w14:textId="77777777" w:rsidR="00761421" w:rsidRPr="00D64FE1" w:rsidRDefault="00761421" w:rsidP="00365F26">
            <w:pPr>
              <w:spacing w:line="240" w:lineRule="auto"/>
              <w:jc w:val="center"/>
              <w:rPr>
                <w:rFonts w:eastAsia="Times New Roman" w:cstheme="minorHAnsi"/>
              </w:rPr>
            </w:pPr>
            <w:r w:rsidRPr="00D64FE1">
              <w:rPr>
                <w:rFonts w:eastAsia="Times New Roman" w:cstheme="minorHAnsi"/>
              </w:rPr>
              <w:t>Ancillary &amp; Settlement Charges/Credits</w:t>
            </w:r>
          </w:p>
        </w:tc>
        <w:tc>
          <w:tcPr>
            <w:tcW w:w="2245" w:type="dxa"/>
            <w:shd w:val="clear" w:color="auto" w:fill="auto"/>
            <w:vAlign w:val="center"/>
          </w:tcPr>
          <w:p w14:paraId="16881AF3" w14:textId="77777777" w:rsidR="00761421" w:rsidRPr="00D64FE1" w:rsidRDefault="00761421" w:rsidP="00365F26">
            <w:pPr>
              <w:spacing w:line="240" w:lineRule="auto"/>
              <w:jc w:val="center"/>
              <w:rPr>
                <w:rFonts w:eastAsia="Times New Roman" w:cstheme="minorHAnsi"/>
                <w:highlight w:val="yellow"/>
              </w:rPr>
            </w:pPr>
          </w:p>
        </w:tc>
      </w:tr>
      <w:tr w:rsidR="00761421" w:rsidRPr="00D64FE1" w14:paraId="70D4549E" w14:textId="77777777" w:rsidTr="0063423D">
        <w:tc>
          <w:tcPr>
            <w:tcW w:w="5493" w:type="dxa"/>
            <w:shd w:val="clear" w:color="auto" w:fill="auto"/>
            <w:vAlign w:val="center"/>
          </w:tcPr>
          <w:p w14:paraId="5C0C865D" w14:textId="77777777" w:rsidR="00761421" w:rsidRPr="00D64FE1" w:rsidRDefault="00761421" w:rsidP="00365F26">
            <w:pPr>
              <w:spacing w:line="240" w:lineRule="auto"/>
              <w:jc w:val="center"/>
              <w:rPr>
                <w:rFonts w:eastAsia="Times New Roman" w:cstheme="minorHAnsi"/>
              </w:rPr>
            </w:pPr>
            <w:r w:rsidRPr="00D64FE1">
              <w:rPr>
                <w:rFonts w:eastAsia="Times New Roman" w:cstheme="minorHAnsi"/>
              </w:rPr>
              <w:t>California Resource Adequacy</w:t>
            </w:r>
          </w:p>
        </w:tc>
        <w:tc>
          <w:tcPr>
            <w:tcW w:w="2245" w:type="dxa"/>
            <w:shd w:val="clear" w:color="auto" w:fill="auto"/>
            <w:vAlign w:val="center"/>
          </w:tcPr>
          <w:p w14:paraId="678B94B2" w14:textId="77777777" w:rsidR="00761421" w:rsidRPr="00D64FE1" w:rsidRDefault="00761421" w:rsidP="00365F26">
            <w:pPr>
              <w:spacing w:line="240" w:lineRule="auto"/>
              <w:jc w:val="center"/>
              <w:rPr>
                <w:rFonts w:eastAsia="Times New Roman" w:cstheme="minorHAnsi"/>
                <w:highlight w:val="yellow"/>
              </w:rPr>
            </w:pPr>
          </w:p>
        </w:tc>
      </w:tr>
      <w:tr w:rsidR="00761421" w:rsidRPr="00D64FE1" w14:paraId="161BA35E" w14:textId="77777777" w:rsidTr="0063423D">
        <w:tc>
          <w:tcPr>
            <w:tcW w:w="5493" w:type="dxa"/>
            <w:shd w:val="clear" w:color="auto" w:fill="auto"/>
            <w:vAlign w:val="center"/>
          </w:tcPr>
          <w:p w14:paraId="1CBF1714" w14:textId="77777777" w:rsidR="00761421" w:rsidRPr="00D64FE1" w:rsidRDefault="00761421" w:rsidP="00365F26">
            <w:pPr>
              <w:spacing w:line="240" w:lineRule="auto"/>
              <w:jc w:val="center"/>
              <w:rPr>
                <w:rFonts w:eastAsia="Times New Roman" w:cstheme="minorHAnsi"/>
              </w:rPr>
            </w:pPr>
            <w:r w:rsidRPr="00D64FE1">
              <w:rPr>
                <w:rFonts w:eastAsia="Times New Roman" w:cstheme="minorHAnsi"/>
              </w:rPr>
              <w:t>CRR Hourly Settlements</w:t>
            </w:r>
          </w:p>
        </w:tc>
        <w:tc>
          <w:tcPr>
            <w:tcW w:w="2245" w:type="dxa"/>
            <w:shd w:val="clear" w:color="auto" w:fill="auto"/>
            <w:vAlign w:val="center"/>
          </w:tcPr>
          <w:p w14:paraId="69E52079" w14:textId="77777777" w:rsidR="00761421" w:rsidRPr="00D64FE1" w:rsidRDefault="00761421" w:rsidP="00365F26">
            <w:pPr>
              <w:spacing w:line="240" w:lineRule="auto"/>
              <w:jc w:val="center"/>
              <w:rPr>
                <w:rFonts w:eastAsia="Times New Roman" w:cstheme="minorHAnsi"/>
                <w:highlight w:val="yellow"/>
              </w:rPr>
            </w:pPr>
          </w:p>
        </w:tc>
      </w:tr>
      <w:tr w:rsidR="00761421" w:rsidRPr="00D64FE1" w14:paraId="1CAE4B11" w14:textId="77777777" w:rsidTr="0063423D">
        <w:tc>
          <w:tcPr>
            <w:tcW w:w="5493" w:type="dxa"/>
            <w:shd w:val="clear" w:color="auto" w:fill="auto"/>
            <w:vAlign w:val="center"/>
          </w:tcPr>
          <w:p w14:paraId="3D5705B8" w14:textId="77777777" w:rsidR="00761421" w:rsidRPr="00D64FE1" w:rsidRDefault="00761421" w:rsidP="00365F26">
            <w:pPr>
              <w:spacing w:line="240" w:lineRule="auto"/>
              <w:jc w:val="center"/>
              <w:rPr>
                <w:rFonts w:eastAsia="Times New Roman" w:cstheme="minorHAnsi"/>
              </w:rPr>
            </w:pPr>
            <w:r w:rsidRPr="00D64FE1">
              <w:rPr>
                <w:rFonts w:eastAsia="Times New Roman" w:cstheme="minorHAnsi"/>
              </w:rPr>
              <w:t>CAISO Monthly CPM Allocation</w:t>
            </w:r>
          </w:p>
        </w:tc>
        <w:tc>
          <w:tcPr>
            <w:tcW w:w="2245" w:type="dxa"/>
            <w:shd w:val="clear" w:color="auto" w:fill="auto"/>
            <w:vAlign w:val="center"/>
          </w:tcPr>
          <w:p w14:paraId="4E834301" w14:textId="77777777" w:rsidR="00761421" w:rsidRPr="00D64FE1" w:rsidRDefault="00761421" w:rsidP="00365F26">
            <w:pPr>
              <w:spacing w:line="240" w:lineRule="auto"/>
              <w:jc w:val="center"/>
              <w:rPr>
                <w:rFonts w:eastAsia="Times New Roman" w:cstheme="minorHAnsi"/>
                <w:highlight w:val="yellow"/>
              </w:rPr>
            </w:pPr>
          </w:p>
        </w:tc>
      </w:tr>
      <w:tr w:rsidR="00761421" w:rsidRPr="00D64FE1" w14:paraId="5346CEC4" w14:textId="77777777" w:rsidTr="0063423D">
        <w:tc>
          <w:tcPr>
            <w:tcW w:w="5493" w:type="dxa"/>
            <w:shd w:val="clear" w:color="auto" w:fill="auto"/>
            <w:vAlign w:val="center"/>
          </w:tcPr>
          <w:p w14:paraId="65828C83" w14:textId="77777777" w:rsidR="00761421" w:rsidRPr="00D64FE1" w:rsidRDefault="00761421" w:rsidP="00365F26">
            <w:pPr>
              <w:spacing w:line="240" w:lineRule="auto"/>
              <w:jc w:val="center"/>
              <w:rPr>
                <w:rFonts w:eastAsia="Times New Roman" w:cstheme="minorHAnsi"/>
              </w:rPr>
            </w:pPr>
            <w:r w:rsidRPr="00D64FE1">
              <w:rPr>
                <w:rFonts w:eastAsia="Times New Roman" w:cstheme="minorHAnsi"/>
              </w:rPr>
              <w:t xml:space="preserve">Renewable Portfolio Standards Charge (“RPS”) </w:t>
            </w:r>
          </w:p>
        </w:tc>
        <w:tc>
          <w:tcPr>
            <w:tcW w:w="2245" w:type="dxa"/>
            <w:shd w:val="clear" w:color="auto" w:fill="auto"/>
            <w:vAlign w:val="center"/>
          </w:tcPr>
          <w:p w14:paraId="5C55666A" w14:textId="77777777" w:rsidR="00761421" w:rsidRPr="00D64FE1" w:rsidRDefault="00761421" w:rsidP="00365F26">
            <w:pPr>
              <w:spacing w:line="240" w:lineRule="auto"/>
              <w:jc w:val="center"/>
              <w:rPr>
                <w:rFonts w:eastAsia="Times New Roman" w:cstheme="minorHAnsi"/>
              </w:rPr>
            </w:pPr>
          </w:p>
        </w:tc>
      </w:tr>
    </w:tbl>
    <w:p w14:paraId="5E77225F" w14:textId="77777777" w:rsidR="00761421" w:rsidRPr="00D64FE1" w:rsidRDefault="00761421" w:rsidP="00761421">
      <w:pPr>
        <w:spacing w:line="240" w:lineRule="auto"/>
        <w:jc w:val="both"/>
        <w:rPr>
          <w:rFonts w:eastAsia="Times New Roman" w:cstheme="minorHAnsi"/>
        </w:rPr>
      </w:pPr>
    </w:p>
    <w:p w14:paraId="1B6E894E" w14:textId="6271AD1D" w:rsidR="00761421" w:rsidRPr="00D64FE1" w:rsidRDefault="00761421" w:rsidP="0063423D">
      <w:pPr>
        <w:spacing w:line="240" w:lineRule="auto"/>
        <w:ind w:left="1710"/>
        <w:jc w:val="both"/>
        <w:rPr>
          <w:rFonts w:eastAsia="Times New Roman" w:cstheme="minorHAnsi"/>
        </w:rPr>
      </w:pPr>
      <w:r w:rsidRPr="00D64FE1">
        <w:rPr>
          <w:rFonts w:eastAsia="Times New Roman" w:cstheme="minorHAnsi"/>
          <w:b/>
          <w:bCs/>
        </w:rPr>
        <w:t xml:space="preserve">Other Charges:  </w:t>
      </w:r>
      <w:r w:rsidRPr="00D64FE1">
        <w:rPr>
          <w:rFonts w:eastAsia="Times New Roman" w:cstheme="minorHAnsi"/>
        </w:rPr>
        <w:t xml:space="preserve">Seller shall indicate below in Table </w:t>
      </w:r>
      <w:r w:rsidR="003D646C" w:rsidRPr="00FA697F">
        <w:rPr>
          <w:rFonts w:eastAsia="Times New Roman" w:cstheme="minorHAnsi"/>
        </w:rPr>
        <w:t>6</w:t>
      </w:r>
      <w:r w:rsidRPr="00D64FE1">
        <w:rPr>
          <w:rFonts w:eastAsia="Times New Roman" w:cstheme="minorHAnsi"/>
        </w:rPr>
        <w:t xml:space="preserve"> any Other Charges (“Other Charges”) </w:t>
      </w:r>
      <w:r w:rsidRPr="00FA697F">
        <w:rPr>
          <w:rFonts w:eastAsia="Times New Roman" w:cstheme="minorHAnsi"/>
        </w:rPr>
        <w:t xml:space="preserve">additional to Table </w:t>
      </w:r>
      <w:r w:rsidR="003D646C" w:rsidRPr="00FA697F">
        <w:rPr>
          <w:rFonts w:eastAsia="Times New Roman" w:cstheme="minorHAnsi"/>
        </w:rPr>
        <w:t>5</w:t>
      </w:r>
      <w:r w:rsidRPr="00FA697F">
        <w:rPr>
          <w:rFonts w:eastAsia="Times New Roman" w:cstheme="minorHAnsi"/>
        </w:rPr>
        <w:t>.</w:t>
      </w:r>
      <w:r w:rsidRPr="00D64FE1">
        <w:rPr>
          <w:rFonts w:eastAsia="Times New Roman" w:cstheme="minorHAnsi"/>
        </w:rPr>
        <w:t xml:space="preserve">  </w:t>
      </w:r>
    </w:p>
    <w:p w14:paraId="7A96334C" w14:textId="77777777" w:rsidR="00761421" w:rsidRPr="00D64FE1" w:rsidRDefault="00761421" w:rsidP="00761421">
      <w:pPr>
        <w:spacing w:line="240" w:lineRule="auto"/>
        <w:ind w:left="360" w:hanging="360"/>
        <w:jc w:val="both"/>
        <w:rPr>
          <w:rFonts w:eastAsia="Times New Roman" w:cstheme="minorHAnsi"/>
        </w:rPr>
      </w:pPr>
    </w:p>
    <w:p w14:paraId="6F3AF320" w14:textId="0D573639" w:rsidR="00761421" w:rsidRPr="00D64FE1" w:rsidRDefault="00761421" w:rsidP="0063423D">
      <w:pPr>
        <w:spacing w:line="240" w:lineRule="auto"/>
        <w:ind w:left="1260"/>
        <w:jc w:val="both"/>
        <w:rPr>
          <w:rFonts w:eastAsia="Times New Roman" w:cstheme="minorHAnsi"/>
          <w:b/>
          <w:bCs/>
        </w:rPr>
      </w:pPr>
      <w:r w:rsidRPr="00D64FE1">
        <w:rPr>
          <w:rFonts w:eastAsia="Times New Roman" w:cstheme="minorHAnsi"/>
        </w:rPr>
        <w:t xml:space="preserve">      </w:t>
      </w:r>
      <w:r w:rsidRPr="00D64FE1">
        <w:rPr>
          <w:rFonts w:eastAsia="Times New Roman" w:cstheme="minorHAnsi"/>
          <w:b/>
          <w:bCs/>
        </w:rPr>
        <w:t xml:space="preserve">Table </w:t>
      </w:r>
      <w:r w:rsidR="005F2499" w:rsidRPr="00FA697F">
        <w:rPr>
          <w:rFonts w:eastAsia="Times New Roman" w:cstheme="minorHAnsi"/>
          <w:b/>
          <w:bCs/>
        </w:rPr>
        <w:t>6</w:t>
      </w:r>
      <w:r w:rsidRPr="00D64FE1">
        <w:rPr>
          <w:rFonts w:eastAsia="Times New Roman" w:cstheme="minorHAnsi"/>
          <w:b/>
          <w:bCs/>
        </w:rPr>
        <w:t xml:space="preserve"> </w:t>
      </w:r>
      <w:proofErr w:type="gramStart"/>
      <w:r w:rsidRPr="00D64FE1">
        <w:rPr>
          <w:rFonts w:eastAsia="Times New Roman" w:cstheme="minorHAnsi"/>
          <w:b/>
          <w:bCs/>
        </w:rPr>
        <w:t>–  Other</w:t>
      </w:r>
      <w:proofErr w:type="gramEnd"/>
      <w:r w:rsidRPr="00D64FE1">
        <w:rPr>
          <w:rFonts w:eastAsia="Times New Roman" w:cstheme="minorHAnsi"/>
          <w:b/>
          <w:bCs/>
        </w:rPr>
        <w:t xml:space="preserve"> Charges:</w:t>
      </w:r>
    </w:p>
    <w:tbl>
      <w:tblPr>
        <w:tblStyle w:val="TableGrid"/>
        <w:tblW w:w="7740" w:type="dxa"/>
        <w:tblInd w:w="1612" w:type="dxa"/>
        <w:tblLook w:val="04A0" w:firstRow="1" w:lastRow="0" w:firstColumn="1" w:lastColumn="0" w:noHBand="0" w:noVBand="1"/>
      </w:tblPr>
      <w:tblGrid>
        <w:gridCol w:w="4410"/>
        <w:gridCol w:w="3330"/>
      </w:tblGrid>
      <w:tr w:rsidR="00761421" w:rsidRPr="00D64FE1" w14:paraId="1DDCCBD3" w14:textId="77777777" w:rsidTr="0063423D">
        <w:tc>
          <w:tcPr>
            <w:tcW w:w="4410" w:type="dxa"/>
          </w:tcPr>
          <w:p w14:paraId="438E1107" w14:textId="77777777" w:rsidR="00761421" w:rsidRPr="00D64FE1" w:rsidRDefault="00761421" w:rsidP="00365F26">
            <w:pPr>
              <w:spacing w:line="240" w:lineRule="auto"/>
              <w:jc w:val="both"/>
              <w:rPr>
                <w:rFonts w:asciiTheme="minorHAnsi" w:hAnsiTheme="minorHAnsi" w:cstheme="minorHAnsi"/>
                <w:sz w:val="24"/>
                <w:szCs w:val="24"/>
              </w:rPr>
            </w:pPr>
            <w:r w:rsidRPr="00D64FE1">
              <w:rPr>
                <w:rFonts w:asciiTheme="minorHAnsi" w:hAnsiTheme="minorHAnsi" w:cstheme="minorHAnsi"/>
                <w:sz w:val="24"/>
                <w:szCs w:val="24"/>
              </w:rPr>
              <w:t>Type of Charge:</w:t>
            </w:r>
          </w:p>
        </w:tc>
        <w:tc>
          <w:tcPr>
            <w:tcW w:w="3330" w:type="dxa"/>
          </w:tcPr>
          <w:p w14:paraId="3C3023DE" w14:textId="226196E1" w:rsidR="00761421" w:rsidRPr="00D64FE1" w:rsidRDefault="00761421" w:rsidP="00365F26">
            <w:pPr>
              <w:spacing w:line="240" w:lineRule="auto"/>
              <w:jc w:val="both"/>
              <w:rPr>
                <w:rFonts w:asciiTheme="minorHAnsi" w:hAnsiTheme="minorHAnsi" w:cstheme="minorHAnsi"/>
                <w:sz w:val="24"/>
                <w:szCs w:val="24"/>
              </w:rPr>
            </w:pPr>
            <w:r w:rsidRPr="00D64FE1">
              <w:rPr>
                <w:rFonts w:asciiTheme="minorHAnsi" w:hAnsiTheme="minorHAnsi" w:cstheme="minorHAnsi"/>
                <w:sz w:val="24"/>
                <w:szCs w:val="24"/>
              </w:rPr>
              <w:t>Background</w:t>
            </w:r>
            <w:r w:rsidR="0063423D">
              <w:rPr>
                <w:rFonts w:asciiTheme="minorHAnsi" w:hAnsiTheme="minorHAnsi" w:cstheme="minorHAnsi"/>
                <w:sz w:val="24"/>
                <w:szCs w:val="24"/>
              </w:rPr>
              <w:t xml:space="preserve"> </w:t>
            </w:r>
            <w:r w:rsidRPr="00D64FE1">
              <w:rPr>
                <w:rFonts w:asciiTheme="minorHAnsi" w:hAnsiTheme="minorHAnsi" w:cstheme="minorHAnsi"/>
                <w:sz w:val="24"/>
                <w:szCs w:val="24"/>
              </w:rPr>
              <w:t>Information Regarding Charge:</w:t>
            </w:r>
          </w:p>
        </w:tc>
      </w:tr>
      <w:tr w:rsidR="00761421" w:rsidRPr="00D64FE1" w14:paraId="1AD9A4E3" w14:textId="77777777" w:rsidTr="0063423D">
        <w:tc>
          <w:tcPr>
            <w:tcW w:w="4410" w:type="dxa"/>
          </w:tcPr>
          <w:p w14:paraId="3A841EC4" w14:textId="77777777" w:rsidR="00761421" w:rsidRPr="00D64FE1" w:rsidRDefault="00761421" w:rsidP="00365F26">
            <w:pPr>
              <w:spacing w:line="240" w:lineRule="auto"/>
              <w:jc w:val="both"/>
              <w:rPr>
                <w:rFonts w:asciiTheme="minorHAnsi" w:hAnsiTheme="minorHAnsi" w:cstheme="minorHAnsi"/>
                <w:sz w:val="24"/>
                <w:szCs w:val="24"/>
              </w:rPr>
            </w:pPr>
          </w:p>
        </w:tc>
        <w:tc>
          <w:tcPr>
            <w:tcW w:w="3330" w:type="dxa"/>
          </w:tcPr>
          <w:p w14:paraId="799D191F" w14:textId="77777777" w:rsidR="00761421" w:rsidRPr="00D64FE1" w:rsidRDefault="00761421" w:rsidP="00365F26">
            <w:pPr>
              <w:spacing w:line="240" w:lineRule="auto"/>
              <w:jc w:val="both"/>
              <w:rPr>
                <w:rFonts w:asciiTheme="minorHAnsi" w:hAnsiTheme="minorHAnsi" w:cstheme="minorHAnsi"/>
                <w:sz w:val="24"/>
                <w:szCs w:val="24"/>
              </w:rPr>
            </w:pPr>
          </w:p>
        </w:tc>
      </w:tr>
      <w:tr w:rsidR="00761421" w:rsidRPr="00D64FE1" w14:paraId="729C076A" w14:textId="77777777" w:rsidTr="0063423D">
        <w:tc>
          <w:tcPr>
            <w:tcW w:w="4410" w:type="dxa"/>
          </w:tcPr>
          <w:p w14:paraId="2A975E3A" w14:textId="77777777" w:rsidR="00761421" w:rsidRPr="00D64FE1" w:rsidRDefault="00761421" w:rsidP="00365F26">
            <w:pPr>
              <w:spacing w:line="240" w:lineRule="auto"/>
              <w:jc w:val="both"/>
              <w:rPr>
                <w:rFonts w:asciiTheme="minorHAnsi" w:hAnsiTheme="minorHAnsi" w:cstheme="minorHAnsi"/>
                <w:sz w:val="24"/>
                <w:szCs w:val="24"/>
              </w:rPr>
            </w:pPr>
          </w:p>
        </w:tc>
        <w:tc>
          <w:tcPr>
            <w:tcW w:w="3330" w:type="dxa"/>
          </w:tcPr>
          <w:p w14:paraId="0C068EAC" w14:textId="77777777" w:rsidR="00761421" w:rsidRPr="00D64FE1" w:rsidRDefault="00761421" w:rsidP="00365F26">
            <w:pPr>
              <w:spacing w:line="240" w:lineRule="auto"/>
              <w:jc w:val="both"/>
              <w:rPr>
                <w:rFonts w:asciiTheme="minorHAnsi" w:hAnsiTheme="minorHAnsi" w:cstheme="minorHAnsi"/>
                <w:sz w:val="24"/>
                <w:szCs w:val="24"/>
              </w:rPr>
            </w:pPr>
          </w:p>
        </w:tc>
      </w:tr>
    </w:tbl>
    <w:p w14:paraId="385F5A18" w14:textId="77777777" w:rsidR="00761421" w:rsidRPr="00FA697F" w:rsidRDefault="00761421" w:rsidP="00761421">
      <w:pPr>
        <w:pStyle w:val="ListParagraph"/>
        <w:spacing w:line="240" w:lineRule="auto"/>
        <w:jc w:val="both"/>
        <w:rPr>
          <w:rFonts w:eastAsia="Times New Roman" w:cstheme="minorHAnsi"/>
          <w:b/>
          <w:bCs/>
          <w:u w:val="single"/>
        </w:rPr>
      </w:pPr>
    </w:p>
    <w:p w14:paraId="43FD2199" w14:textId="4B83A77E" w:rsidR="00761421" w:rsidRPr="00FA697F" w:rsidRDefault="0063423D" w:rsidP="0063423D">
      <w:pPr>
        <w:pStyle w:val="ListParagraph"/>
        <w:spacing w:line="240" w:lineRule="auto"/>
        <w:ind w:left="2160" w:hanging="720"/>
        <w:jc w:val="both"/>
        <w:rPr>
          <w:rFonts w:eastAsia="Times New Roman" w:cstheme="minorHAnsi"/>
          <w:b/>
          <w:bCs/>
          <w:u w:val="single"/>
        </w:rPr>
      </w:pPr>
      <w:r>
        <w:rPr>
          <w:rFonts w:eastAsia="Times New Roman" w:cstheme="minorHAnsi"/>
          <w:b/>
          <w:bCs/>
          <w:u w:val="single"/>
        </w:rPr>
        <w:t>2.3.10</w:t>
      </w:r>
      <w:r>
        <w:rPr>
          <w:rFonts w:eastAsia="Times New Roman" w:cstheme="minorHAnsi"/>
          <w:b/>
          <w:bCs/>
          <w:u w:val="single"/>
        </w:rPr>
        <w:tab/>
      </w:r>
      <w:r w:rsidR="00761421" w:rsidRPr="00FA697F">
        <w:rPr>
          <w:rFonts w:eastAsia="Times New Roman" w:cstheme="minorHAnsi"/>
          <w:b/>
          <w:bCs/>
          <w:u w:val="single"/>
        </w:rPr>
        <w:t xml:space="preserve">Option </w:t>
      </w:r>
      <w:r w:rsidR="00761421" w:rsidRPr="00FA697F">
        <w:rPr>
          <w:rFonts w:eastAsia="Times New Roman" w:cstheme="minorHAnsi"/>
          <w:b/>
          <w:bCs/>
          <w:u w:val="single"/>
        </w:rPr>
        <w:t>4</w:t>
      </w:r>
      <w:r w:rsidR="00761421" w:rsidRPr="00FA697F">
        <w:rPr>
          <w:rFonts w:eastAsia="Times New Roman" w:cstheme="minorHAnsi"/>
          <w:b/>
          <w:bCs/>
          <w:u w:val="single"/>
        </w:rPr>
        <w:t xml:space="preserve">: Seller to provide data in tables 1, and 2 for the </w:t>
      </w:r>
      <w:proofErr w:type="gramStart"/>
      <w:r w:rsidR="00761421" w:rsidRPr="00FA697F">
        <w:rPr>
          <w:rFonts w:eastAsia="Times New Roman" w:cstheme="minorHAnsi"/>
          <w:b/>
          <w:bCs/>
          <w:u w:val="single"/>
        </w:rPr>
        <w:t xml:space="preserve">60 </w:t>
      </w:r>
      <w:r w:rsidR="00761421" w:rsidRPr="00FA697F">
        <w:rPr>
          <w:rFonts w:eastAsia="Times New Roman" w:cstheme="minorHAnsi"/>
          <w:b/>
          <w:bCs/>
          <w:u w:val="single"/>
        </w:rPr>
        <w:t>month</w:t>
      </w:r>
      <w:proofErr w:type="gramEnd"/>
      <w:r w:rsidR="00761421" w:rsidRPr="00FA697F">
        <w:rPr>
          <w:rFonts w:eastAsia="Times New Roman" w:cstheme="minorHAnsi"/>
          <w:b/>
          <w:bCs/>
          <w:u w:val="single"/>
        </w:rPr>
        <w:t xml:space="preserve"> basis.</w:t>
      </w:r>
    </w:p>
    <w:p w14:paraId="60FEB608" w14:textId="77777777" w:rsidR="00761421" w:rsidRPr="00D64FE1" w:rsidRDefault="00761421" w:rsidP="00761421">
      <w:pPr>
        <w:spacing w:line="240" w:lineRule="auto"/>
        <w:jc w:val="both"/>
        <w:rPr>
          <w:rFonts w:eastAsia="Times New Roman" w:cstheme="minorHAnsi"/>
        </w:rPr>
      </w:pPr>
    </w:p>
    <w:p w14:paraId="269A4DBD" w14:textId="654353D9" w:rsidR="00761421" w:rsidRPr="00D64FE1" w:rsidRDefault="00761421" w:rsidP="0063423D">
      <w:pPr>
        <w:spacing w:line="240" w:lineRule="auto"/>
        <w:ind w:left="1170"/>
        <w:rPr>
          <w:rFonts w:eastAsia="Times New Roman" w:cstheme="minorHAnsi"/>
          <w:b/>
          <w:u w:val="single"/>
        </w:rPr>
      </w:pPr>
      <w:r w:rsidRPr="00D64FE1">
        <w:rPr>
          <w:rFonts w:eastAsia="Times New Roman" w:cstheme="minorHAnsi"/>
          <w:b/>
        </w:rPr>
        <w:t xml:space="preserve">       </w:t>
      </w:r>
      <w:r w:rsidRPr="00D64FE1">
        <w:rPr>
          <w:rFonts w:eastAsia="Times New Roman" w:cstheme="minorHAnsi"/>
          <w:b/>
          <w:u w:val="single"/>
        </w:rPr>
        <w:t xml:space="preserve">Table </w:t>
      </w:r>
      <w:r w:rsidR="003D646C" w:rsidRPr="00FA697F">
        <w:rPr>
          <w:rFonts w:eastAsia="Times New Roman" w:cstheme="minorHAnsi"/>
          <w:b/>
          <w:u w:val="single"/>
        </w:rPr>
        <w:t>7</w:t>
      </w:r>
      <w:r w:rsidRPr="00D64FE1">
        <w:rPr>
          <w:rFonts w:eastAsia="Times New Roman" w:cstheme="minorHAnsi"/>
          <w:b/>
          <w:u w:val="single"/>
        </w:rPr>
        <w:t xml:space="preserve"> </w:t>
      </w:r>
      <w:proofErr w:type="gramStart"/>
      <w:r w:rsidRPr="00D64FE1">
        <w:rPr>
          <w:rFonts w:eastAsia="Times New Roman" w:cstheme="minorHAnsi"/>
          <w:b/>
          <w:u w:val="single"/>
        </w:rPr>
        <w:t>–  Rate</w:t>
      </w:r>
      <w:proofErr w:type="gramEnd"/>
      <w:r w:rsidRPr="00D64FE1">
        <w:rPr>
          <w:rFonts w:eastAsia="Times New Roman" w:cstheme="minorHAnsi"/>
          <w:b/>
          <w:u w:val="single"/>
        </w:rPr>
        <w:t xml:space="preserve"> Components:</w:t>
      </w:r>
    </w:p>
    <w:tbl>
      <w:tblPr>
        <w:tblW w:w="7738" w:type="dxa"/>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3"/>
        <w:gridCol w:w="2245"/>
      </w:tblGrid>
      <w:tr w:rsidR="00761421" w:rsidRPr="00D64FE1" w14:paraId="3C389806" w14:textId="77777777" w:rsidTr="0063423D">
        <w:tc>
          <w:tcPr>
            <w:tcW w:w="5493" w:type="dxa"/>
            <w:shd w:val="clear" w:color="auto" w:fill="auto"/>
            <w:vAlign w:val="center"/>
          </w:tcPr>
          <w:p w14:paraId="08A516AB" w14:textId="77777777" w:rsidR="00761421" w:rsidRPr="00D64FE1" w:rsidRDefault="00761421" w:rsidP="00365F26">
            <w:pPr>
              <w:spacing w:line="240" w:lineRule="auto"/>
              <w:jc w:val="center"/>
              <w:rPr>
                <w:rFonts w:eastAsia="Times New Roman" w:cstheme="minorHAnsi"/>
              </w:rPr>
            </w:pPr>
            <w:r w:rsidRPr="00D64FE1">
              <w:rPr>
                <w:rFonts w:eastAsia="Times New Roman" w:cstheme="minorHAnsi"/>
              </w:rPr>
              <w:t>Energy Charge</w:t>
            </w:r>
          </w:p>
        </w:tc>
        <w:tc>
          <w:tcPr>
            <w:tcW w:w="2245" w:type="dxa"/>
            <w:shd w:val="clear" w:color="auto" w:fill="auto"/>
            <w:vAlign w:val="center"/>
          </w:tcPr>
          <w:p w14:paraId="40634AC7" w14:textId="77777777" w:rsidR="00761421" w:rsidRPr="00D64FE1" w:rsidRDefault="00761421" w:rsidP="00365F26">
            <w:pPr>
              <w:spacing w:line="240" w:lineRule="auto"/>
              <w:jc w:val="center"/>
              <w:rPr>
                <w:rFonts w:eastAsia="Times New Roman" w:cstheme="minorHAnsi"/>
                <w:highlight w:val="yellow"/>
              </w:rPr>
            </w:pPr>
          </w:p>
        </w:tc>
      </w:tr>
      <w:tr w:rsidR="00761421" w:rsidRPr="00D64FE1" w14:paraId="23B1ED08" w14:textId="77777777" w:rsidTr="0063423D">
        <w:tc>
          <w:tcPr>
            <w:tcW w:w="5493" w:type="dxa"/>
            <w:shd w:val="clear" w:color="auto" w:fill="auto"/>
            <w:vAlign w:val="center"/>
          </w:tcPr>
          <w:p w14:paraId="622CEEF3" w14:textId="77777777" w:rsidR="00761421" w:rsidRPr="00D64FE1" w:rsidRDefault="00761421" w:rsidP="00365F26">
            <w:pPr>
              <w:spacing w:line="240" w:lineRule="auto"/>
              <w:jc w:val="center"/>
              <w:rPr>
                <w:rFonts w:eastAsia="Times New Roman" w:cstheme="minorHAnsi"/>
              </w:rPr>
            </w:pPr>
            <w:r w:rsidRPr="00D64FE1">
              <w:rPr>
                <w:rFonts w:eastAsia="Times New Roman" w:cstheme="minorHAnsi"/>
              </w:rPr>
              <w:t>Basis Charge</w:t>
            </w:r>
          </w:p>
        </w:tc>
        <w:tc>
          <w:tcPr>
            <w:tcW w:w="2245" w:type="dxa"/>
            <w:shd w:val="clear" w:color="auto" w:fill="auto"/>
            <w:vAlign w:val="center"/>
          </w:tcPr>
          <w:p w14:paraId="70D7D922" w14:textId="77777777" w:rsidR="00761421" w:rsidRPr="00D64FE1" w:rsidRDefault="00761421" w:rsidP="00365F26">
            <w:pPr>
              <w:spacing w:line="240" w:lineRule="auto"/>
              <w:jc w:val="center"/>
              <w:rPr>
                <w:rFonts w:eastAsia="Times New Roman" w:cstheme="minorHAnsi"/>
                <w:highlight w:val="yellow"/>
              </w:rPr>
            </w:pPr>
          </w:p>
        </w:tc>
      </w:tr>
      <w:tr w:rsidR="00761421" w:rsidRPr="00D64FE1" w14:paraId="67319E1A" w14:textId="77777777" w:rsidTr="0063423D">
        <w:tc>
          <w:tcPr>
            <w:tcW w:w="5493" w:type="dxa"/>
            <w:shd w:val="clear" w:color="auto" w:fill="auto"/>
            <w:vAlign w:val="center"/>
          </w:tcPr>
          <w:p w14:paraId="7BDF1329" w14:textId="77777777" w:rsidR="00761421" w:rsidRPr="00D64FE1" w:rsidRDefault="00761421" w:rsidP="00365F26">
            <w:pPr>
              <w:spacing w:line="240" w:lineRule="auto"/>
              <w:jc w:val="center"/>
              <w:rPr>
                <w:rFonts w:eastAsia="Times New Roman" w:cstheme="minorHAnsi"/>
              </w:rPr>
            </w:pPr>
            <w:r w:rsidRPr="00D64FE1">
              <w:rPr>
                <w:rFonts w:eastAsia="Times New Roman" w:cstheme="minorHAnsi"/>
              </w:rPr>
              <w:t>Ancillary &amp; Settlement Charges/Credits</w:t>
            </w:r>
          </w:p>
        </w:tc>
        <w:tc>
          <w:tcPr>
            <w:tcW w:w="2245" w:type="dxa"/>
            <w:shd w:val="clear" w:color="auto" w:fill="auto"/>
            <w:vAlign w:val="center"/>
          </w:tcPr>
          <w:p w14:paraId="37EF0222" w14:textId="77777777" w:rsidR="00761421" w:rsidRPr="00D64FE1" w:rsidRDefault="00761421" w:rsidP="00365F26">
            <w:pPr>
              <w:spacing w:line="240" w:lineRule="auto"/>
              <w:jc w:val="center"/>
              <w:rPr>
                <w:rFonts w:eastAsia="Times New Roman" w:cstheme="minorHAnsi"/>
                <w:highlight w:val="yellow"/>
              </w:rPr>
            </w:pPr>
          </w:p>
        </w:tc>
      </w:tr>
      <w:tr w:rsidR="00761421" w:rsidRPr="00D64FE1" w14:paraId="7503FA82" w14:textId="77777777" w:rsidTr="0063423D">
        <w:tc>
          <w:tcPr>
            <w:tcW w:w="5493" w:type="dxa"/>
            <w:shd w:val="clear" w:color="auto" w:fill="auto"/>
            <w:vAlign w:val="center"/>
          </w:tcPr>
          <w:p w14:paraId="758B3DC8" w14:textId="77777777" w:rsidR="00761421" w:rsidRPr="00D64FE1" w:rsidRDefault="00761421" w:rsidP="00365F26">
            <w:pPr>
              <w:spacing w:line="240" w:lineRule="auto"/>
              <w:jc w:val="center"/>
              <w:rPr>
                <w:rFonts w:eastAsia="Times New Roman" w:cstheme="minorHAnsi"/>
              </w:rPr>
            </w:pPr>
            <w:r w:rsidRPr="00D64FE1">
              <w:rPr>
                <w:rFonts w:eastAsia="Times New Roman" w:cstheme="minorHAnsi"/>
              </w:rPr>
              <w:t>California Resource Adequacy</w:t>
            </w:r>
          </w:p>
        </w:tc>
        <w:tc>
          <w:tcPr>
            <w:tcW w:w="2245" w:type="dxa"/>
            <w:shd w:val="clear" w:color="auto" w:fill="auto"/>
            <w:vAlign w:val="center"/>
          </w:tcPr>
          <w:p w14:paraId="79CE28E6" w14:textId="77777777" w:rsidR="00761421" w:rsidRPr="00D64FE1" w:rsidRDefault="00761421" w:rsidP="00365F26">
            <w:pPr>
              <w:spacing w:line="240" w:lineRule="auto"/>
              <w:jc w:val="center"/>
              <w:rPr>
                <w:rFonts w:eastAsia="Times New Roman" w:cstheme="minorHAnsi"/>
                <w:highlight w:val="yellow"/>
              </w:rPr>
            </w:pPr>
          </w:p>
        </w:tc>
      </w:tr>
      <w:tr w:rsidR="00761421" w:rsidRPr="00D64FE1" w14:paraId="2B6225F5" w14:textId="77777777" w:rsidTr="0063423D">
        <w:tc>
          <w:tcPr>
            <w:tcW w:w="5493" w:type="dxa"/>
            <w:shd w:val="clear" w:color="auto" w:fill="auto"/>
            <w:vAlign w:val="center"/>
          </w:tcPr>
          <w:p w14:paraId="34AE5047" w14:textId="77777777" w:rsidR="00761421" w:rsidRPr="00D64FE1" w:rsidRDefault="00761421" w:rsidP="00365F26">
            <w:pPr>
              <w:spacing w:line="240" w:lineRule="auto"/>
              <w:jc w:val="center"/>
              <w:rPr>
                <w:rFonts w:eastAsia="Times New Roman" w:cstheme="minorHAnsi"/>
              </w:rPr>
            </w:pPr>
            <w:r w:rsidRPr="00D64FE1">
              <w:rPr>
                <w:rFonts w:eastAsia="Times New Roman" w:cstheme="minorHAnsi"/>
              </w:rPr>
              <w:t>CRR Hourly Settlements</w:t>
            </w:r>
          </w:p>
        </w:tc>
        <w:tc>
          <w:tcPr>
            <w:tcW w:w="2245" w:type="dxa"/>
            <w:shd w:val="clear" w:color="auto" w:fill="auto"/>
            <w:vAlign w:val="center"/>
          </w:tcPr>
          <w:p w14:paraId="1E4A81CC" w14:textId="77777777" w:rsidR="00761421" w:rsidRPr="00D64FE1" w:rsidRDefault="00761421" w:rsidP="00365F26">
            <w:pPr>
              <w:spacing w:line="240" w:lineRule="auto"/>
              <w:jc w:val="center"/>
              <w:rPr>
                <w:rFonts w:eastAsia="Times New Roman" w:cstheme="minorHAnsi"/>
                <w:highlight w:val="yellow"/>
              </w:rPr>
            </w:pPr>
          </w:p>
        </w:tc>
      </w:tr>
      <w:tr w:rsidR="00761421" w:rsidRPr="00D64FE1" w14:paraId="782931CD" w14:textId="77777777" w:rsidTr="0063423D">
        <w:tc>
          <w:tcPr>
            <w:tcW w:w="5493" w:type="dxa"/>
            <w:shd w:val="clear" w:color="auto" w:fill="auto"/>
            <w:vAlign w:val="center"/>
          </w:tcPr>
          <w:p w14:paraId="6F570058" w14:textId="77777777" w:rsidR="00761421" w:rsidRPr="00D64FE1" w:rsidRDefault="00761421" w:rsidP="00365F26">
            <w:pPr>
              <w:spacing w:line="240" w:lineRule="auto"/>
              <w:jc w:val="center"/>
              <w:rPr>
                <w:rFonts w:eastAsia="Times New Roman" w:cstheme="minorHAnsi"/>
              </w:rPr>
            </w:pPr>
            <w:r w:rsidRPr="00D64FE1">
              <w:rPr>
                <w:rFonts w:eastAsia="Times New Roman" w:cstheme="minorHAnsi"/>
              </w:rPr>
              <w:t>CAISO Monthly CPM Allocation</w:t>
            </w:r>
          </w:p>
        </w:tc>
        <w:tc>
          <w:tcPr>
            <w:tcW w:w="2245" w:type="dxa"/>
            <w:shd w:val="clear" w:color="auto" w:fill="auto"/>
            <w:vAlign w:val="center"/>
          </w:tcPr>
          <w:p w14:paraId="77B50FB9" w14:textId="77777777" w:rsidR="00761421" w:rsidRPr="00D64FE1" w:rsidRDefault="00761421" w:rsidP="00365F26">
            <w:pPr>
              <w:spacing w:line="240" w:lineRule="auto"/>
              <w:jc w:val="center"/>
              <w:rPr>
                <w:rFonts w:eastAsia="Times New Roman" w:cstheme="minorHAnsi"/>
                <w:highlight w:val="yellow"/>
              </w:rPr>
            </w:pPr>
          </w:p>
        </w:tc>
      </w:tr>
      <w:tr w:rsidR="00761421" w:rsidRPr="00D64FE1" w14:paraId="3BF7FA03" w14:textId="77777777" w:rsidTr="0063423D">
        <w:tc>
          <w:tcPr>
            <w:tcW w:w="5493" w:type="dxa"/>
            <w:shd w:val="clear" w:color="auto" w:fill="auto"/>
            <w:vAlign w:val="center"/>
          </w:tcPr>
          <w:p w14:paraId="5F688094" w14:textId="77777777" w:rsidR="00761421" w:rsidRPr="00D64FE1" w:rsidRDefault="00761421" w:rsidP="00365F26">
            <w:pPr>
              <w:spacing w:line="240" w:lineRule="auto"/>
              <w:jc w:val="center"/>
              <w:rPr>
                <w:rFonts w:eastAsia="Times New Roman" w:cstheme="minorHAnsi"/>
              </w:rPr>
            </w:pPr>
            <w:r w:rsidRPr="00D64FE1">
              <w:rPr>
                <w:rFonts w:eastAsia="Times New Roman" w:cstheme="minorHAnsi"/>
              </w:rPr>
              <w:t xml:space="preserve">Renewable Portfolio Standards Charge (“RPS”) </w:t>
            </w:r>
          </w:p>
        </w:tc>
        <w:tc>
          <w:tcPr>
            <w:tcW w:w="2245" w:type="dxa"/>
            <w:shd w:val="clear" w:color="auto" w:fill="auto"/>
            <w:vAlign w:val="center"/>
          </w:tcPr>
          <w:p w14:paraId="47199863" w14:textId="77777777" w:rsidR="00761421" w:rsidRPr="00D64FE1" w:rsidRDefault="00761421" w:rsidP="00365F26">
            <w:pPr>
              <w:spacing w:line="240" w:lineRule="auto"/>
              <w:jc w:val="center"/>
              <w:rPr>
                <w:rFonts w:eastAsia="Times New Roman" w:cstheme="minorHAnsi"/>
              </w:rPr>
            </w:pPr>
          </w:p>
        </w:tc>
      </w:tr>
    </w:tbl>
    <w:p w14:paraId="333F1C15" w14:textId="77777777" w:rsidR="00761421" w:rsidRPr="00D64FE1" w:rsidRDefault="00761421" w:rsidP="00761421">
      <w:pPr>
        <w:spacing w:line="240" w:lineRule="auto"/>
        <w:jc w:val="both"/>
        <w:rPr>
          <w:rFonts w:eastAsia="Times New Roman" w:cstheme="minorHAnsi"/>
        </w:rPr>
      </w:pPr>
    </w:p>
    <w:p w14:paraId="1725270D" w14:textId="0642BED5" w:rsidR="00761421" w:rsidRPr="00D64FE1" w:rsidRDefault="00761421" w:rsidP="0063423D">
      <w:pPr>
        <w:spacing w:line="240" w:lineRule="auto"/>
        <w:ind w:left="1710"/>
        <w:jc w:val="both"/>
        <w:rPr>
          <w:rFonts w:eastAsia="Times New Roman" w:cstheme="minorHAnsi"/>
        </w:rPr>
      </w:pPr>
      <w:r w:rsidRPr="00D64FE1">
        <w:rPr>
          <w:rFonts w:eastAsia="Times New Roman" w:cstheme="minorHAnsi"/>
          <w:b/>
          <w:bCs/>
        </w:rPr>
        <w:t xml:space="preserve">Other Charges:  </w:t>
      </w:r>
      <w:r w:rsidRPr="00D64FE1">
        <w:rPr>
          <w:rFonts w:eastAsia="Times New Roman" w:cstheme="minorHAnsi"/>
        </w:rPr>
        <w:t xml:space="preserve">Seller shall indicate below in Table </w:t>
      </w:r>
      <w:r w:rsidR="003D646C" w:rsidRPr="00FA697F">
        <w:rPr>
          <w:rFonts w:eastAsia="Times New Roman" w:cstheme="minorHAnsi"/>
        </w:rPr>
        <w:t>8</w:t>
      </w:r>
      <w:r w:rsidRPr="00D64FE1">
        <w:rPr>
          <w:rFonts w:eastAsia="Times New Roman" w:cstheme="minorHAnsi"/>
        </w:rPr>
        <w:t xml:space="preserve"> any Other Charges (“Other Charges”) </w:t>
      </w:r>
      <w:r w:rsidRPr="00FA697F">
        <w:rPr>
          <w:rFonts w:eastAsia="Times New Roman" w:cstheme="minorHAnsi"/>
        </w:rPr>
        <w:t xml:space="preserve">additional to Table </w:t>
      </w:r>
      <w:r w:rsidR="003D646C" w:rsidRPr="00FA697F">
        <w:rPr>
          <w:rFonts w:eastAsia="Times New Roman" w:cstheme="minorHAnsi"/>
        </w:rPr>
        <w:t>7</w:t>
      </w:r>
      <w:r w:rsidRPr="00FA697F">
        <w:rPr>
          <w:rFonts w:eastAsia="Times New Roman" w:cstheme="minorHAnsi"/>
        </w:rPr>
        <w:t>.</w:t>
      </w:r>
      <w:r w:rsidRPr="00D64FE1">
        <w:rPr>
          <w:rFonts w:eastAsia="Times New Roman" w:cstheme="minorHAnsi"/>
        </w:rPr>
        <w:t xml:space="preserve">  </w:t>
      </w:r>
    </w:p>
    <w:p w14:paraId="0757D3E6" w14:textId="77777777" w:rsidR="00761421" w:rsidRPr="00D64FE1" w:rsidRDefault="00761421" w:rsidP="00761421">
      <w:pPr>
        <w:spacing w:line="240" w:lineRule="auto"/>
        <w:ind w:left="360" w:hanging="360"/>
        <w:jc w:val="both"/>
        <w:rPr>
          <w:rFonts w:eastAsia="Times New Roman" w:cstheme="minorHAnsi"/>
        </w:rPr>
      </w:pPr>
    </w:p>
    <w:p w14:paraId="4F68DE8B" w14:textId="5CA44788" w:rsidR="00761421" w:rsidRPr="00D64FE1" w:rsidRDefault="00761421" w:rsidP="0063423D">
      <w:pPr>
        <w:spacing w:line="240" w:lineRule="auto"/>
        <w:ind w:left="810"/>
        <w:jc w:val="both"/>
        <w:rPr>
          <w:rFonts w:eastAsia="Times New Roman" w:cstheme="minorHAnsi"/>
          <w:b/>
          <w:bCs/>
        </w:rPr>
      </w:pPr>
      <w:r w:rsidRPr="00D64FE1">
        <w:rPr>
          <w:rFonts w:eastAsia="Times New Roman" w:cstheme="minorHAnsi"/>
        </w:rPr>
        <w:t xml:space="preserve">      </w:t>
      </w:r>
      <w:r w:rsidRPr="00D64FE1">
        <w:rPr>
          <w:rFonts w:eastAsia="Times New Roman" w:cstheme="minorHAnsi"/>
          <w:b/>
          <w:bCs/>
        </w:rPr>
        <w:t xml:space="preserve">Table </w:t>
      </w:r>
      <w:r w:rsidR="003D646C" w:rsidRPr="00FA697F">
        <w:rPr>
          <w:rFonts w:eastAsia="Times New Roman" w:cstheme="minorHAnsi"/>
          <w:b/>
          <w:bCs/>
        </w:rPr>
        <w:t>8</w:t>
      </w:r>
      <w:r w:rsidRPr="00D64FE1">
        <w:rPr>
          <w:rFonts w:eastAsia="Times New Roman" w:cstheme="minorHAnsi"/>
          <w:b/>
          <w:bCs/>
        </w:rPr>
        <w:t xml:space="preserve"> </w:t>
      </w:r>
      <w:proofErr w:type="gramStart"/>
      <w:r w:rsidRPr="00D64FE1">
        <w:rPr>
          <w:rFonts w:eastAsia="Times New Roman" w:cstheme="minorHAnsi"/>
          <w:b/>
          <w:bCs/>
        </w:rPr>
        <w:t>–  Other</w:t>
      </w:r>
      <w:proofErr w:type="gramEnd"/>
      <w:r w:rsidRPr="00D64FE1">
        <w:rPr>
          <w:rFonts w:eastAsia="Times New Roman" w:cstheme="minorHAnsi"/>
          <w:b/>
          <w:bCs/>
        </w:rPr>
        <w:t xml:space="preserve"> Charges:</w:t>
      </w:r>
    </w:p>
    <w:tbl>
      <w:tblPr>
        <w:tblStyle w:val="TableGrid"/>
        <w:tblW w:w="7920" w:type="dxa"/>
        <w:tblInd w:w="1165" w:type="dxa"/>
        <w:tblLook w:val="04A0" w:firstRow="1" w:lastRow="0" w:firstColumn="1" w:lastColumn="0" w:noHBand="0" w:noVBand="1"/>
      </w:tblPr>
      <w:tblGrid>
        <w:gridCol w:w="4857"/>
        <w:gridCol w:w="3063"/>
      </w:tblGrid>
      <w:tr w:rsidR="00761421" w:rsidRPr="00D64FE1" w14:paraId="6AAFE79E" w14:textId="77777777" w:rsidTr="0063423D">
        <w:tc>
          <w:tcPr>
            <w:tcW w:w="4857" w:type="dxa"/>
          </w:tcPr>
          <w:p w14:paraId="052E58FC" w14:textId="77777777" w:rsidR="00761421" w:rsidRPr="00D64FE1" w:rsidRDefault="00761421" w:rsidP="00365F26">
            <w:pPr>
              <w:spacing w:line="240" w:lineRule="auto"/>
              <w:jc w:val="both"/>
              <w:rPr>
                <w:rFonts w:asciiTheme="minorHAnsi" w:hAnsiTheme="minorHAnsi" w:cstheme="minorHAnsi"/>
                <w:sz w:val="24"/>
                <w:szCs w:val="24"/>
              </w:rPr>
            </w:pPr>
            <w:r w:rsidRPr="00D64FE1">
              <w:rPr>
                <w:rFonts w:asciiTheme="minorHAnsi" w:hAnsiTheme="minorHAnsi" w:cstheme="minorHAnsi"/>
                <w:sz w:val="24"/>
                <w:szCs w:val="24"/>
              </w:rPr>
              <w:t>Type of Charge:</w:t>
            </w:r>
          </w:p>
        </w:tc>
        <w:tc>
          <w:tcPr>
            <w:tcW w:w="3063" w:type="dxa"/>
          </w:tcPr>
          <w:p w14:paraId="5E1870E5" w14:textId="77777777" w:rsidR="00761421" w:rsidRPr="00D64FE1" w:rsidRDefault="00761421" w:rsidP="00365F26">
            <w:pPr>
              <w:spacing w:line="240" w:lineRule="auto"/>
              <w:jc w:val="both"/>
              <w:rPr>
                <w:rFonts w:asciiTheme="minorHAnsi" w:hAnsiTheme="minorHAnsi" w:cstheme="minorHAnsi"/>
                <w:sz w:val="24"/>
                <w:szCs w:val="24"/>
              </w:rPr>
            </w:pPr>
            <w:r w:rsidRPr="00D64FE1">
              <w:rPr>
                <w:rFonts w:asciiTheme="minorHAnsi" w:hAnsiTheme="minorHAnsi" w:cstheme="minorHAnsi"/>
                <w:sz w:val="24"/>
                <w:szCs w:val="24"/>
              </w:rPr>
              <w:t>Background Information Regarding Charge:</w:t>
            </w:r>
          </w:p>
        </w:tc>
      </w:tr>
      <w:tr w:rsidR="00761421" w:rsidRPr="00D64FE1" w14:paraId="606764E5" w14:textId="77777777" w:rsidTr="0063423D">
        <w:tc>
          <w:tcPr>
            <w:tcW w:w="4857" w:type="dxa"/>
          </w:tcPr>
          <w:p w14:paraId="79557DD9" w14:textId="77777777" w:rsidR="00761421" w:rsidRPr="00D64FE1" w:rsidRDefault="00761421" w:rsidP="00365F26">
            <w:pPr>
              <w:spacing w:line="240" w:lineRule="auto"/>
              <w:jc w:val="both"/>
              <w:rPr>
                <w:rFonts w:asciiTheme="minorHAnsi" w:hAnsiTheme="minorHAnsi" w:cstheme="minorHAnsi"/>
                <w:sz w:val="24"/>
                <w:szCs w:val="24"/>
              </w:rPr>
            </w:pPr>
          </w:p>
        </w:tc>
        <w:tc>
          <w:tcPr>
            <w:tcW w:w="3063" w:type="dxa"/>
          </w:tcPr>
          <w:p w14:paraId="5FC9EBC9" w14:textId="77777777" w:rsidR="00761421" w:rsidRPr="00D64FE1" w:rsidRDefault="00761421" w:rsidP="00365F26">
            <w:pPr>
              <w:spacing w:line="240" w:lineRule="auto"/>
              <w:jc w:val="both"/>
              <w:rPr>
                <w:rFonts w:asciiTheme="minorHAnsi" w:hAnsiTheme="minorHAnsi" w:cstheme="minorHAnsi"/>
                <w:sz w:val="24"/>
                <w:szCs w:val="24"/>
              </w:rPr>
            </w:pPr>
          </w:p>
        </w:tc>
      </w:tr>
      <w:tr w:rsidR="00761421" w:rsidRPr="00D64FE1" w14:paraId="6D085640" w14:textId="77777777" w:rsidTr="0063423D">
        <w:tc>
          <w:tcPr>
            <w:tcW w:w="4857" w:type="dxa"/>
          </w:tcPr>
          <w:p w14:paraId="79968E16" w14:textId="77777777" w:rsidR="00761421" w:rsidRPr="00D64FE1" w:rsidRDefault="00761421" w:rsidP="00365F26">
            <w:pPr>
              <w:spacing w:line="240" w:lineRule="auto"/>
              <w:jc w:val="both"/>
              <w:rPr>
                <w:rFonts w:asciiTheme="minorHAnsi" w:hAnsiTheme="minorHAnsi" w:cstheme="minorHAnsi"/>
                <w:sz w:val="24"/>
                <w:szCs w:val="24"/>
              </w:rPr>
            </w:pPr>
          </w:p>
        </w:tc>
        <w:tc>
          <w:tcPr>
            <w:tcW w:w="3063" w:type="dxa"/>
          </w:tcPr>
          <w:p w14:paraId="1FD5ED96" w14:textId="77777777" w:rsidR="00761421" w:rsidRPr="00D64FE1" w:rsidRDefault="00761421" w:rsidP="00365F26">
            <w:pPr>
              <w:spacing w:line="240" w:lineRule="auto"/>
              <w:jc w:val="both"/>
              <w:rPr>
                <w:rFonts w:asciiTheme="minorHAnsi" w:hAnsiTheme="minorHAnsi" w:cstheme="minorHAnsi"/>
                <w:sz w:val="24"/>
                <w:szCs w:val="24"/>
              </w:rPr>
            </w:pPr>
          </w:p>
        </w:tc>
      </w:tr>
    </w:tbl>
    <w:p w14:paraId="2F9D945B" w14:textId="4E37C76E" w:rsidR="00EE267A" w:rsidRPr="00FA697F" w:rsidRDefault="00D20A6C" w:rsidP="005B6E76">
      <w:pPr>
        <w:spacing w:before="100" w:beforeAutospacing="1" w:after="100" w:afterAutospacing="1" w:line="240" w:lineRule="auto"/>
        <w:ind w:left="1080" w:hanging="540"/>
        <w:jc w:val="both"/>
        <w:rPr>
          <w:rFonts w:eastAsia="Times New Roman" w:cstheme="minorHAnsi"/>
          <w:color w:val="000000"/>
        </w:rPr>
      </w:pPr>
      <w:r w:rsidRPr="005B6E76">
        <w:rPr>
          <w:rFonts w:eastAsia="Times New Roman" w:cstheme="minorHAnsi"/>
          <w:b/>
          <w:bCs/>
          <w:color w:val="000000"/>
        </w:rPr>
        <w:t>2.</w:t>
      </w:r>
      <w:r w:rsidR="005B6E76" w:rsidRPr="005B6E76">
        <w:rPr>
          <w:rFonts w:eastAsia="Times New Roman" w:cstheme="minorHAnsi"/>
          <w:b/>
          <w:bCs/>
          <w:color w:val="000000"/>
        </w:rPr>
        <w:t>4</w:t>
      </w:r>
      <w:r w:rsidR="00DE7E69" w:rsidRPr="00FA697F">
        <w:rPr>
          <w:rFonts w:eastAsia="Times New Roman" w:cstheme="minorHAnsi"/>
          <w:color w:val="000000"/>
        </w:rPr>
        <w:tab/>
      </w:r>
      <w:r w:rsidR="00EE267A" w:rsidRPr="00FA697F">
        <w:rPr>
          <w:rFonts w:eastAsia="Times New Roman" w:cstheme="minorHAnsi"/>
          <w:color w:val="000000"/>
        </w:rPr>
        <w:t>If</w:t>
      </w:r>
      <w:r w:rsidR="00682B2D" w:rsidRPr="00FA697F">
        <w:rPr>
          <w:rFonts w:eastAsia="Times New Roman" w:cstheme="minorHAnsi"/>
          <w:color w:val="000000"/>
        </w:rPr>
        <w:t xml:space="preserve"> </w:t>
      </w:r>
      <w:r w:rsidR="0078074A" w:rsidRPr="00FA697F">
        <w:rPr>
          <w:rFonts w:eastAsia="Times New Roman" w:cstheme="minorHAnsi"/>
          <w:color w:val="000000"/>
        </w:rPr>
        <w:t>C</w:t>
      </w:r>
      <w:r w:rsidR="00EE267A" w:rsidRPr="00FA697F">
        <w:rPr>
          <w:rFonts w:eastAsia="Times New Roman" w:cstheme="minorHAnsi"/>
          <w:color w:val="000000"/>
        </w:rPr>
        <w:t xml:space="preserve">onsolidated </w:t>
      </w:r>
      <w:r w:rsidR="0078074A" w:rsidRPr="00FA697F">
        <w:rPr>
          <w:rFonts w:eastAsia="Times New Roman" w:cstheme="minorHAnsi"/>
          <w:color w:val="000000"/>
        </w:rPr>
        <w:t>B</w:t>
      </w:r>
      <w:r w:rsidR="00EE267A" w:rsidRPr="00FA697F">
        <w:rPr>
          <w:rFonts w:eastAsia="Times New Roman" w:cstheme="minorHAnsi"/>
          <w:color w:val="000000"/>
        </w:rPr>
        <w:t>illing is used for this transaction, will the ESP perform the billing function itself, or does it intend to use a third-party billing provider?</w:t>
      </w:r>
    </w:p>
    <w:p w14:paraId="02D55B8A" w14:textId="71192F02" w:rsidR="00EE267A" w:rsidRPr="00FA697F" w:rsidRDefault="005B6E76" w:rsidP="005B6E76">
      <w:pPr>
        <w:spacing w:before="100" w:beforeAutospacing="1" w:after="100" w:afterAutospacing="1" w:line="240" w:lineRule="auto"/>
        <w:ind w:left="1080" w:hanging="540"/>
        <w:jc w:val="both"/>
        <w:rPr>
          <w:rFonts w:eastAsia="Times New Roman" w:cstheme="minorHAnsi"/>
          <w:color w:val="000000"/>
        </w:rPr>
      </w:pPr>
      <w:r w:rsidRPr="005B6E76">
        <w:rPr>
          <w:rFonts w:eastAsia="Times New Roman" w:cstheme="minorHAnsi"/>
          <w:b/>
          <w:bCs/>
          <w:color w:val="000000"/>
        </w:rPr>
        <w:t>2.5</w:t>
      </w:r>
      <w:r w:rsidR="00DE7E69" w:rsidRPr="00FA697F">
        <w:rPr>
          <w:rFonts w:eastAsia="Times New Roman" w:cstheme="minorHAnsi"/>
          <w:color w:val="000000"/>
        </w:rPr>
        <w:tab/>
      </w:r>
      <w:r w:rsidR="00EE267A" w:rsidRPr="00FA697F">
        <w:rPr>
          <w:rFonts w:eastAsia="Times New Roman" w:cstheme="minorHAnsi"/>
          <w:color w:val="000000"/>
        </w:rPr>
        <w:t>Does the ESP or its third-party billing provider also handle consolidation with electric of other commodities or utility services, such as natural gas, telephone, water, etc.?</w:t>
      </w:r>
    </w:p>
    <w:p w14:paraId="0C135139" w14:textId="5CE6025B" w:rsidR="00EE267A" w:rsidRPr="00FA697F" w:rsidRDefault="005B6E76" w:rsidP="005B6E76">
      <w:pPr>
        <w:spacing w:before="100" w:beforeAutospacing="1" w:after="100" w:afterAutospacing="1" w:line="240" w:lineRule="auto"/>
        <w:ind w:left="1080" w:hanging="540"/>
        <w:jc w:val="both"/>
        <w:rPr>
          <w:rFonts w:eastAsia="Times New Roman" w:cstheme="minorHAnsi"/>
          <w:color w:val="000000"/>
        </w:rPr>
      </w:pPr>
      <w:r w:rsidRPr="005B6E76">
        <w:rPr>
          <w:rFonts w:eastAsia="Times New Roman" w:cstheme="minorHAnsi"/>
          <w:b/>
          <w:bCs/>
          <w:color w:val="000000"/>
        </w:rPr>
        <w:t>2.6</w:t>
      </w:r>
      <w:r>
        <w:rPr>
          <w:rFonts w:eastAsia="Times New Roman" w:cstheme="minorHAnsi"/>
          <w:color w:val="000000"/>
        </w:rPr>
        <w:tab/>
      </w:r>
      <w:r w:rsidR="00EE267A" w:rsidRPr="00FA697F">
        <w:rPr>
          <w:rFonts w:eastAsia="Times New Roman" w:cstheme="minorHAnsi"/>
          <w:color w:val="000000"/>
        </w:rPr>
        <w:t>Provide a copy of the billing form that will be used for this transaction.</w:t>
      </w:r>
    </w:p>
    <w:p w14:paraId="6EA9C531" w14:textId="512FFC9F" w:rsidR="007B67A0" w:rsidRPr="00FA697F" w:rsidRDefault="00471604" w:rsidP="001B15BF">
      <w:pPr>
        <w:spacing w:before="100" w:beforeAutospacing="1" w:after="100" w:afterAutospacing="1" w:line="240" w:lineRule="auto"/>
        <w:ind w:left="1080" w:hanging="540"/>
        <w:jc w:val="both"/>
        <w:rPr>
          <w:rFonts w:eastAsia="Times New Roman" w:cstheme="minorHAnsi"/>
          <w:color w:val="000000"/>
        </w:rPr>
      </w:pPr>
      <w:r w:rsidRPr="005B6E76">
        <w:rPr>
          <w:rFonts w:eastAsia="Times New Roman" w:cstheme="minorHAnsi"/>
          <w:b/>
          <w:bCs/>
          <w:color w:val="000000"/>
        </w:rPr>
        <w:t>2.</w:t>
      </w:r>
      <w:r w:rsidR="005B6E76" w:rsidRPr="005B6E76">
        <w:rPr>
          <w:rFonts w:eastAsia="Times New Roman" w:cstheme="minorHAnsi"/>
          <w:b/>
          <w:bCs/>
          <w:color w:val="000000"/>
        </w:rPr>
        <w:t>7</w:t>
      </w:r>
      <w:r w:rsidR="00DE7E69" w:rsidRPr="00FA697F">
        <w:rPr>
          <w:rFonts w:eastAsia="Times New Roman" w:cstheme="minorHAnsi"/>
          <w:color w:val="000000"/>
        </w:rPr>
        <w:tab/>
      </w:r>
      <w:r w:rsidR="00EE267A" w:rsidRPr="00FA697F">
        <w:rPr>
          <w:rFonts w:eastAsia="Times New Roman" w:cstheme="minorHAnsi"/>
          <w:color w:val="000000"/>
        </w:rPr>
        <w:t>Describe the customer credit standards used by the ESP. If required, what form(s) of customer security does the ESP normally accept?</w:t>
      </w:r>
    </w:p>
    <w:p w14:paraId="7995DC99" w14:textId="5D834180" w:rsidR="001F79CD" w:rsidRPr="00FA697F" w:rsidRDefault="001F79CD" w:rsidP="001F79CD">
      <w:pPr>
        <w:spacing w:line="240" w:lineRule="auto"/>
        <w:jc w:val="center"/>
        <w:rPr>
          <w:rFonts w:eastAsia="Calibri" w:cstheme="minorHAnsi"/>
          <w:b/>
          <w:bCs/>
        </w:rPr>
      </w:pPr>
    </w:p>
    <w:p w14:paraId="58069769" w14:textId="686EB154" w:rsidR="00520780" w:rsidRPr="00FA697F" w:rsidRDefault="00520780" w:rsidP="001B15BF">
      <w:pPr>
        <w:spacing w:line="240" w:lineRule="auto"/>
        <w:jc w:val="center"/>
        <w:rPr>
          <w:rFonts w:cstheme="minorHAnsi"/>
          <w:b/>
          <w:bCs/>
        </w:rPr>
      </w:pPr>
      <w:r w:rsidRPr="00FA697F">
        <w:rPr>
          <w:rFonts w:cstheme="minorHAnsi"/>
          <w:b/>
          <w:bCs/>
        </w:rPr>
        <w:t>END OF ATTACHMENT C</w:t>
      </w:r>
    </w:p>
    <w:sectPr w:rsidR="00520780" w:rsidRPr="00FA697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6065D" w14:textId="77777777" w:rsidR="00A014F5" w:rsidRDefault="00A014F5" w:rsidP="008F1CD9">
      <w:pPr>
        <w:spacing w:line="240" w:lineRule="auto"/>
      </w:pPr>
      <w:r>
        <w:separator/>
      </w:r>
    </w:p>
  </w:endnote>
  <w:endnote w:type="continuationSeparator" w:id="0">
    <w:p w14:paraId="086AF4A3" w14:textId="77777777" w:rsidR="00A014F5" w:rsidRDefault="00A014F5" w:rsidP="008F1CD9">
      <w:pPr>
        <w:spacing w:line="240" w:lineRule="auto"/>
      </w:pPr>
      <w:r>
        <w:continuationSeparator/>
      </w:r>
    </w:p>
  </w:endnote>
  <w:endnote w:type="continuationNotice" w:id="1">
    <w:p w14:paraId="1B478C08" w14:textId="77777777" w:rsidR="00A014F5" w:rsidRDefault="00A014F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608F3" w14:textId="77777777" w:rsidR="00A014F5" w:rsidRDefault="00A014F5" w:rsidP="008F1CD9">
      <w:pPr>
        <w:spacing w:line="240" w:lineRule="auto"/>
      </w:pPr>
      <w:r>
        <w:separator/>
      </w:r>
    </w:p>
  </w:footnote>
  <w:footnote w:type="continuationSeparator" w:id="0">
    <w:p w14:paraId="450672E8" w14:textId="77777777" w:rsidR="00A014F5" w:rsidRDefault="00A014F5" w:rsidP="008F1CD9">
      <w:pPr>
        <w:spacing w:line="240" w:lineRule="auto"/>
      </w:pPr>
      <w:r>
        <w:continuationSeparator/>
      </w:r>
    </w:p>
  </w:footnote>
  <w:footnote w:type="continuationNotice" w:id="1">
    <w:p w14:paraId="107E2E41" w14:textId="77777777" w:rsidR="00A014F5" w:rsidRDefault="00A014F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2002B" w14:textId="77777777" w:rsidR="001656DA" w:rsidRPr="001656DA" w:rsidRDefault="001656DA" w:rsidP="001656DA">
    <w:pPr>
      <w:pStyle w:val="Header"/>
      <w:rPr>
        <w:rFonts w:ascii="Times New Roman" w:eastAsia="Times New Roman" w:hAnsi="Times New Roman"/>
        <w:sz w:val="22"/>
        <w:szCs w:val="22"/>
      </w:rPr>
    </w:pPr>
    <w:r w:rsidRPr="001656DA">
      <w:rPr>
        <w:rFonts w:ascii="Times New Roman" w:eastAsia="Times New Roman" w:hAnsi="Times New Roman"/>
        <w:sz w:val="22"/>
        <w:szCs w:val="22"/>
      </w:rPr>
      <w:t xml:space="preserve">Request </w:t>
    </w:r>
    <w:proofErr w:type="gramStart"/>
    <w:r w:rsidRPr="001656DA">
      <w:rPr>
        <w:rFonts w:ascii="Times New Roman" w:eastAsia="Times New Roman" w:hAnsi="Times New Roman"/>
        <w:sz w:val="22"/>
        <w:szCs w:val="22"/>
      </w:rPr>
      <w:t>For</w:t>
    </w:r>
    <w:proofErr w:type="gramEnd"/>
    <w:r w:rsidRPr="001656DA">
      <w:rPr>
        <w:rFonts w:ascii="Times New Roman" w:eastAsia="Times New Roman" w:hAnsi="Times New Roman"/>
        <w:sz w:val="22"/>
        <w:szCs w:val="22"/>
      </w:rPr>
      <w:t xml:space="preserve"> Qualifications</w:t>
    </w:r>
  </w:p>
  <w:p w14:paraId="0F0D434C" w14:textId="77777777" w:rsidR="001656DA" w:rsidRPr="001656DA" w:rsidRDefault="001656DA" w:rsidP="001656DA">
    <w:pPr>
      <w:pStyle w:val="Header"/>
      <w:rPr>
        <w:rFonts w:ascii="Times New Roman" w:eastAsia="Times New Roman" w:hAnsi="Times New Roman"/>
        <w:sz w:val="22"/>
        <w:szCs w:val="22"/>
      </w:rPr>
    </w:pPr>
    <w:r w:rsidRPr="001656DA">
      <w:rPr>
        <w:rFonts w:ascii="Times New Roman" w:eastAsia="Times New Roman" w:hAnsi="Times New Roman"/>
        <w:sz w:val="22"/>
        <w:szCs w:val="22"/>
      </w:rPr>
      <w:t xml:space="preserve">RFQ Name: Master Retail Electricity Sales Agreement </w:t>
    </w:r>
  </w:p>
  <w:p w14:paraId="18A260D3" w14:textId="0ADB6DA4" w:rsidR="002E6AF0" w:rsidRDefault="001656DA" w:rsidP="001656DA">
    <w:pPr>
      <w:pStyle w:val="Header"/>
      <w:rPr>
        <w:rFonts w:ascii="Times New Roman" w:eastAsia="Times New Roman" w:hAnsi="Times New Roman"/>
        <w:sz w:val="22"/>
        <w:szCs w:val="22"/>
      </w:rPr>
    </w:pPr>
    <w:r w:rsidRPr="001656DA">
      <w:rPr>
        <w:rFonts w:ascii="Times New Roman" w:eastAsia="Times New Roman" w:hAnsi="Times New Roman"/>
        <w:sz w:val="22"/>
        <w:szCs w:val="22"/>
      </w:rPr>
      <w:t>RFQ Number: RFQ-FS-2021-06-BD</w:t>
    </w:r>
  </w:p>
  <w:p w14:paraId="5BA42777" w14:textId="77777777" w:rsidR="001656DA" w:rsidRDefault="001656DA" w:rsidP="001656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A6009"/>
    <w:multiLevelType w:val="multilevel"/>
    <w:tmpl w:val="01B6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157F4"/>
    <w:multiLevelType w:val="hybridMultilevel"/>
    <w:tmpl w:val="1EA85962"/>
    <w:lvl w:ilvl="0" w:tplc="5C1C2424">
      <w:start w:val="1"/>
      <w:numFmt w:val="decimal"/>
      <w:lvlText w:val="%1."/>
      <w:lvlJc w:val="left"/>
      <w:pPr>
        <w:ind w:left="360" w:hanging="360"/>
      </w:pPr>
      <w:rPr>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6A322FF"/>
    <w:multiLevelType w:val="multilevel"/>
    <w:tmpl w:val="72CA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4300C9"/>
    <w:multiLevelType w:val="multilevel"/>
    <w:tmpl w:val="7930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D76122"/>
    <w:multiLevelType w:val="multilevel"/>
    <w:tmpl w:val="B4021F0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E633921"/>
    <w:multiLevelType w:val="hybridMultilevel"/>
    <w:tmpl w:val="26E68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221A0D"/>
    <w:multiLevelType w:val="multilevel"/>
    <w:tmpl w:val="2406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E10A2F"/>
    <w:multiLevelType w:val="multilevel"/>
    <w:tmpl w:val="BC2EB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A01C7E"/>
    <w:multiLevelType w:val="hybridMultilevel"/>
    <w:tmpl w:val="475E74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BD7558D"/>
    <w:multiLevelType w:val="hybridMultilevel"/>
    <w:tmpl w:val="AF4A3F5E"/>
    <w:lvl w:ilvl="0" w:tplc="F1969BF6">
      <w:start w:val="1"/>
      <w:numFmt w:val="bullet"/>
      <w:lvlText w:val=""/>
      <w:lvlJc w:val="left"/>
      <w:pPr>
        <w:tabs>
          <w:tab w:val="num" w:pos="720"/>
        </w:tabs>
        <w:ind w:left="720" w:hanging="360"/>
      </w:pPr>
      <w:rPr>
        <w:rFonts w:ascii="Symbol" w:hAnsi="Symbol" w:hint="default"/>
        <w:sz w:val="20"/>
      </w:rPr>
    </w:lvl>
    <w:lvl w:ilvl="1" w:tplc="9D6484B2" w:tentative="1">
      <w:start w:val="1"/>
      <w:numFmt w:val="bullet"/>
      <w:lvlText w:val="o"/>
      <w:lvlJc w:val="left"/>
      <w:pPr>
        <w:tabs>
          <w:tab w:val="num" w:pos="1440"/>
        </w:tabs>
        <w:ind w:left="1440" w:hanging="360"/>
      </w:pPr>
      <w:rPr>
        <w:rFonts w:ascii="Courier New" w:hAnsi="Courier New" w:hint="default"/>
        <w:sz w:val="20"/>
      </w:rPr>
    </w:lvl>
    <w:lvl w:ilvl="2" w:tplc="241811F0" w:tentative="1">
      <w:start w:val="1"/>
      <w:numFmt w:val="bullet"/>
      <w:lvlText w:val=""/>
      <w:lvlJc w:val="left"/>
      <w:pPr>
        <w:tabs>
          <w:tab w:val="num" w:pos="2160"/>
        </w:tabs>
        <w:ind w:left="2160" w:hanging="360"/>
      </w:pPr>
      <w:rPr>
        <w:rFonts w:ascii="Wingdings" w:hAnsi="Wingdings" w:hint="default"/>
        <w:sz w:val="20"/>
      </w:rPr>
    </w:lvl>
    <w:lvl w:ilvl="3" w:tplc="9F6C97F2" w:tentative="1">
      <w:start w:val="1"/>
      <w:numFmt w:val="bullet"/>
      <w:lvlText w:val=""/>
      <w:lvlJc w:val="left"/>
      <w:pPr>
        <w:tabs>
          <w:tab w:val="num" w:pos="2880"/>
        </w:tabs>
        <w:ind w:left="2880" w:hanging="360"/>
      </w:pPr>
      <w:rPr>
        <w:rFonts w:ascii="Wingdings" w:hAnsi="Wingdings" w:hint="default"/>
        <w:sz w:val="20"/>
      </w:rPr>
    </w:lvl>
    <w:lvl w:ilvl="4" w:tplc="900CB950" w:tentative="1">
      <w:start w:val="1"/>
      <w:numFmt w:val="bullet"/>
      <w:lvlText w:val=""/>
      <w:lvlJc w:val="left"/>
      <w:pPr>
        <w:tabs>
          <w:tab w:val="num" w:pos="3600"/>
        </w:tabs>
        <w:ind w:left="3600" w:hanging="360"/>
      </w:pPr>
      <w:rPr>
        <w:rFonts w:ascii="Wingdings" w:hAnsi="Wingdings" w:hint="default"/>
        <w:sz w:val="20"/>
      </w:rPr>
    </w:lvl>
    <w:lvl w:ilvl="5" w:tplc="D5BE99C8" w:tentative="1">
      <w:start w:val="1"/>
      <w:numFmt w:val="bullet"/>
      <w:lvlText w:val=""/>
      <w:lvlJc w:val="left"/>
      <w:pPr>
        <w:tabs>
          <w:tab w:val="num" w:pos="4320"/>
        </w:tabs>
        <w:ind w:left="4320" w:hanging="360"/>
      </w:pPr>
      <w:rPr>
        <w:rFonts w:ascii="Wingdings" w:hAnsi="Wingdings" w:hint="default"/>
        <w:sz w:val="20"/>
      </w:rPr>
    </w:lvl>
    <w:lvl w:ilvl="6" w:tplc="2044365C" w:tentative="1">
      <w:start w:val="1"/>
      <w:numFmt w:val="bullet"/>
      <w:lvlText w:val=""/>
      <w:lvlJc w:val="left"/>
      <w:pPr>
        <w:tabs>
          <w:tab w:val="num" w:pos="5040"/>
        </w:tabs>
        <w:ind w:left="5040" w:hanging="360"/>
      </w:pPr>
      <w:rPr>
        <w:rFonts w:ascii="Wingdings" w:hAnsi="Wingdings" w:hint="default"/>
        <w:sz w:val="20"/>
      </w:rPr>
    </w:lvl>
    <w:lvl w:ilvl="7" w:tplc="ECBA3722" w:tentative="1">
      <w:start w:val="1"/>
      <w:numFmt w:val="bullet"/>
      <w:lvlText w:val=""/>
      <w:lvlJc w:val="left"/>
      <w:pPr>
        <w:tabs>
          <w:tab w:val="num" w:pos="5760"/>
        </w:tabs>
        <w:ind w:left="5760" w:hanging="360"/>
      </w:pPr>
      <w:rPr>
        <w:rFonts w:ascii="Wingdings" w:hAnsi="Wingdings" w:hint="default"/>
        <w:sz w:val="20"/>
      </w:rPr>
    </w:lvl>
    <w:lvl w:ilvl="8" w:tplc="918E6D0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9"/>
  </w:num>
  <w:num w:numId="4">
    <w:abstractNumId w:val="7"/>
  </w:num>
  <w:num w:numId="5">
    <w:abstractNumId w:val="3"/>
  </w:num>
  <w:num w:numId="6">
    <w:abstractNumId w:val="2"/>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8"/>
  <w:proofState w:spelling="clean" w:grammar="clean"/>
  <w:defaultTabStop w:val="720"/>
  <w:characterSpacingControl w:val="doNotCompress"/>
  <w:footnotePr>
    <w:footnote w:id="-1"/>
    <w:footnote w:id="0"/>
    <w:footnote w:id="1"/>
  </w:footnotePr>
  <w:endnotePr>
    <w:endnote w:id="-1"/>
    <w:endnote w:id="0"/>
    <w:endnote w:id="1"/>
  </w:endnotePr>
  <w:compat>
    <w:noExtraLineSpacing/>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051"/>
    <w:rsid w:val="00002B11"/>
    <w:rsid w:val="00002E1E"/>
    <w:rsid w:val="00021523"/>
    <w:rsid w:val="00026669"/>
    <w:rsid w:val="000335FE"/>
    <w:rsid w:val="000348C3"/>
    <w:rsid w:val="00036923"/>
    <w:rsid w:val="00036C8C"/>
    <w:rsid w:val="00037015"/>
    <w:rsid w:val="000373AA"/>
    <w:rsid w:val="000413D0"/>
    <w:rsid w:val="00045D63"/>
    <w:rsid w:val="00045F2A"/>
    <w:rsid w:val="000536C4"/>
    <w:rsid w:val="00073331"/>
    <w:rsid w:val="00074614"/>
    <w:rsid w:val="00087183"/>
    <w:rsid w:val="000C54A6"/>
    <w:rsid w:val="000C72DF"/>
    <w:rsid w:val="000D0FB0"/>
    <w:rsid w:val="000D2D72"/>
    <w:rsid w:val="000D3BED"/>
    <w:rsid w:val="000F2F2C"/>
    <w:rsid w:val="001078C3"/>
    <w:rsid w:val="001102D7"/>
    <w:rsid w:val="0011030C"/>
    <w:rsid w:val="00113669"/>
    <w:rsid w:val="0011401A"/>
    <w:rsid w:val="00114D2B"/>
    <w:rsid w:val="00130F87"/>
    <w:rsid w:val="0013191F"/>
    <w:rsid w:val="00136757"/>
    <w:rsid w:val="00142BF8"/>
    <w:rsid w:val="0014601C"/>
    <w:rsid w:val="00146276"/>
    <w:rsid w:val="001505C2"/>
    <w:rsid w:val="00161634"/>
    <w:rsid w:val="00161CE9"/>
    <w:rsid w:val="001656DA"/>
    <w:rsid w:val="00173CCE"/>
    <w:rsid w:val="00173D66"/>
    <w:rsid w:val="00173E3C"/>
    <w:rsid w:val="00186C56"/>
    <w:rsid w:val="001A132A"/>
    <w:rsid w:val="001A6C2D"/>
    <w:rsid w:val="001B15BF"/>
    <w:rsid w:val="001B3E50"/>
    <w:rsid w:val="001C0DE7"/>
    <w:rsid w:val="001C2852"/>
    <w:rsid w:val="001C2D6B"/>
    <w:rsid w:val="001D7DB8"/>
    <w:rsid w:val="001E15E9"/>
    <w:rsid w:val="001E35A6"/>
    <w:rsid w:val="001E5924"/>
    <w:rsid w:val="001E5F64"/>
    <w:rsid w:val="001F2B93"/>
    <w:rsid w:val="001F35EA"/>
    <w:rsid w:val="001F6092"/>
    <w:rsid w:val="001F79CD"/>
    <w:rsid w:val="00201F74"/>
    <w:rsid w:val="00207A3F"/>
    <w:rsid w:val="002132C2"/>
    <w:rsid w:val="00216C35"/>
    <w:rsid w:val="002173F8"/>
    <w:rsid w:val="0022197D"/>
    <w:rsid w:val="00223B2D"/>
    <w:rsid w:val="00246A60"/>
    <w:rsid w:val="00254E2E"/>
    <w:rsid w:val="002612FF"/>
    <w:rsid w:val="00271D2D"/>
    <w:rsid w:val="002764D9"/>
    <w:rsid w:val="00277AB6"/>
    <w:rsid w:val="00283AFE"/>
    <w:rsid w:val="00287950"/>
    <w:rsid w:val="0029216D"/>
    <w:rsid w:val="00295F42"/>
    <w:rsid w:val="002A058B"/>
    <w:rsid w:val="002A0E12"/>
    <w:rsid w:val="002C0A0F"/>
    <w:rsid w:val="002C240D"/>
    <w:rsid w:val="002C48E3"/>
    <w:rsid w:val="002C62E3"/>
    <w:rsid w:val="002C6479"/>
    <w:rsid w:val="002C6690"/>
    <w:rsid w:val="002D5AA3"/>
    <w:rsid w:val="002D5B6E"/>
    <w:rsid w:val="002D78BA"/>
    <w:rsid w:val="002E05B0"/>
    <w:rsid w:val="002E0AAD"/>
    <w:rsid w:val="002E6AF0"/>
    <w:rsid w:val="002F4F61"/>
    <w:rsid w:val="002F4FE0"/>
    <w:rsid w:val="00300A8A"/>
    <w:rsid w:val="00303615"/>
    <w:rsid w:val="00310446"/>
    <w:rsid w:val="00315041"/>
    <w:rsid w:val="003208B7"/>
    <w:rsid w:val="00324AE0"/>
    <w:rsid w:val="00337C81"/>
    <w:rsid w:val="00351709"/>
    <w:rsid w:val="003704DE"/>
    <w:rsid w:val="00377564"/>
    <w:rsid w:val="00390F7A"/>
    <w:rsid w:val="00395501"/>
    <w:rsid w:val="003C6C9F"/>
    <w:rsid w:val="003D646C"/>
    <w:rsid w:val="003E1C72"/>
    <w:rsid w:val="003E324F"/>
    <w:rsid w:val="003F29C7"/>
    <w:rsid w:val="003F4CC2"/>
    <w:rsid w:val="003F5428"/>
    <w:rsid w:val="003F6D9B"/>
    <w:rsid w:val="004000C4"/>
    <w:rsid w:val="00407547"/>
    <w:rsid w:val="00407639"/>
    <w:rsid w:val="00412637"/>
    <w:rsid w:val="004127D3"/>
    <w:rsid w:val="00417EE7"/>
    <w:rsid w:val="0042566B"/>
    <w:rsid w:val="00434EA9"/>
    <w:rsid w:val="004359E9"/>
    <w:rsid w:val="00436A65"/>
    <w:rsid w:val="0044211E"/>
    <w:rsid w:val="00443A3D"/>
    <w:rsid w:val="00447894"/>
    <w:rsid w:val="00451FB7"/>
    <w:rsid w:val="004619DA"/>
    <w:rsid w:val="00471604"/>
    <w:rsid w:val="00473874"/>
    <w:rsid w:val="00476949"/>
    <w:rsid w:val="00481C90"/>
    <w:rsid w:val="00495927"/>
    <w:rsid w:val="004A2FDF"/>
    <w:rsid w:val="004A354A"/>
    <w:rsid w:val="004B2AC1"/>
    <w:rsid w:val="004B3326"/>
    <w:rsid w:val="004C0066"/>
    <w:rsid w:val="004D4B38"/>
    <w:rsid w:val="004D7F76"/>
    <w:rsid w:val="004E06A7"/>
    <w:rsid w:val="004E19A6"/>
    <w:rsid w:val="004E5328"/>
    <w:rsid w:val="004F13BE"/>
    <w:rsid w:val="004F52BA"/>
    <w:rsid w:val="00500DA9"/>
    <w:rsid w:val="005043AA"/>
    <w:rsid w:val="00507917"/>
    <w:rsid w:val="00512A95"/>
    <w:rsid w:val="00520780"/>
    <w:rsid w:val="00526906"/>
    <w:rsid w:val="005372BF"/>
    <w:rsid w:val="00540689"/>
    <w:rsid w:val="005450D5"/>
    <w:rsid w:val="00546C65"/>
    <w:rsid w:val="00551198"/>
    <w:rsid w:val="005523EC"/>
    <w:rsid w:val="0056395A"/>
    <w:rsid w:val="00572619"/>
    <w:rsid w:val="00574424"/>
    <w:rsid w:val="00574569"/>
    <w:rsid w:val="00576403"/>
    <w:rsid w:val="00592F2E"/>
    <w:rsid w:val="00596451"/>
    <w:rsid w:val="005A1291"/>
    <w:rsid w:val="005A6016"/>
    <w:rsid w:val="005B0BC7"/>
    <w:rsid w:val="005B6E76"/>
    <w:rsid w:val="005C61E0"/>
    <w:rsid w:val="005D199F"/>
    <w:rsid w:val="005D7E03"/>
    <w:rsid w:val="005E4D9C"/>
    <w:rsid w:val="005F2499"/>
    <w:rsid w:val="005F2A9A"/>
    <w:rsid w:val="00602124"/>
    <w:rsid w:val="006162BA"/>
    <w:rsid w:val="00625FBB"/>
    <w:rsid w:val="00631CBA"/>
    <w:rsid w:val="0063423D"/>
    <w:rsid w:val="00642E68"/>
    <w:rsid w:val="0065776E"/>
    <w:rsid w:val="006616EE"/>
    <w:rsid w:val="006713E5"/>
    <w:rsid w:val="00680F94"/>
    <w:rsid w:val="00681CE0"/>
    <w:rsid w:val="0068267F"/>
    <w:rsid w:val="00682B2D"/>
    <w:rsid w:val="006870A5"/>
    <w:rsid w:val="006959BF"/>
    <w:rsid w:val="006A4AED"/>
    <w:rsid w:val="006B3691"/>
    <w:rsid w:val="006B7272"/>
    <w:rsid w:val="006B72E0"/>
    <w:rsid w:val="006C1FD7"/>
    <w:rsid w:val="006D1AAC"/>
    <w:rsid w:val="006D2235"/>
    <w:rsid w:val="006F59B2"/>
    <w:rsid w:val="006F77FD"/>
    <w:rsid w:val="007001D3"/>
    <w:rsid w:val="00706CCF"/>
    <w:rsid w:val="00713667"/>
    <w:rsid w:val="00715DD7"/>
    <w:rsid w:val="007179E8"/>
    <w:rsid w:val="007205C2"/>
    <w:rsid w:val="00721FEE"/>
    <w:rsid w:val="007250E4"/>
    <w:rsid w:val="007308C6"/>
    <w:rsid w:val="007328E2"/>
    <w:rsid w:val="00736769"/>
    <w:rsid w:val="00743BFE"/>
    <w:rsid w:val="00746759"/>
    <w:rsid w:val="007518DF"/>
    <w:rsid w:val="00761421"/>
    <w:rsid w:val="00764006"/>
    <w:rsid w:val="007730BD"/>
    <w:rsid w:val="0078074A"/>
    <w:rsid w:val="007814C9"/>
    <w:rsid w:val="00783F0F"/>
    <w:rsid w:val="00794503"/>
    <w:rsid w:val="00796947"/>
    <w:rsid w:val="007A699D"/>
    <w:rsid w:val="007B09B6"/>
    <w:rsid w:val="007B2E89"/>
    <w:rsid w:val="007B67A0"/>
    <w:rsid w:val="007B72A3"/>
    <w:rsid w:val="007C1800"/>
    <w:rsid w:val="007C21B2"/>
    <w:rsid w:val="007C4A67"/>
    <w:rsid w:val="007D4CA2"/>
    <w:rsid w:val="007D670B"/>
    <w:rsid w:val="007D73DB"/>
    <w:rsid w:val="007E2DD4"/>
    <w:rsid w:val="008060E6"/>
    <w:rsid w:val="00811FF1"/>
    <w:rsid w:val="00822A8B"/>
    <w:rsid w:val="00824363"/>
    <w:rsid w:val="00840AC6"/>
    <w:rsid w:val="00856BB0"/>
    <w:rsid w:val="008730EA"/>
    <w:rsid w:val="00875CA1"/>
    <w:rsid w:val="00880F52"/>
    <w:rsid w:val="00887760"/>
    <w:rsid w:val="00892F8C"/>
    <w:rsid w:val="0089684E"/>
    <w:rsid w:val="008A7134"/>
    <w:rsid w:val="008B4878"/>
    <w:rsid w:val="008B7338"/>
    <w:rsid w:val="008D070F"/>
    <w:rsid w:val="008D240A"/>
    <w:rsid w:val="008D45DB"/>
    <w:rsid w:val="008E5773"/>
    <w:rsid w:val="008E5F67"/>
    <w:rsid w:val="008F1CD9"/>
    <w:rsid w:val="008F4C8C"/>
    <w:rsid w:val="008F5ECF"/>
    <w:rsid w:val="00900E96"/>
    <w:rsid w:val="00903790"/>
    <w:rsid w:val="009113D2"/>
    <w:rsid w:val="0092594D"/>
    <w:rsid w:val="00925E9B"/>
    <w:rsid w:val="00931D45"/>
    <w:rsid w:val="009331B2"/>
    <w:rsid w:val="00934718"/>
    <w:rsid w:val="0095017F"/>
    <w:rsid w:val="00970C87"/>
    <w:rsid w:val="00980EFF"/>
    <w:rsid w:val="00993412"/>
    <w:rsid w:val="009A3D66"/>
    <w:rsid w:val="009A4564"/>
    <w:rsid w:val="009A5294"/>
    <w:rsid w:val="009A6842"/>
    <w:rsid w:val="009B1279"/>
    <w:rsid w:val="009B1DD1"/>
    <w:rsid w:val="009B411D"/>
    <w:rsid w:val="009B7D53"/>
    <w:rsid w:val="009C19B6"/>
    <w:rsid w:val="009C7FDF"/>
    <w:rsid w:val="009D421A"/>
    <w:rsid w:val="009D781D"/>
    <w:rsid w:val="009F450F"/>
    <w:rsid w:val="00A014F5"/>
    <w:rsid w:val="00A05343"/>
    <w:rsid w:val="00A0649C"/>
    <w:rsid w:val="00A108DB"/>
    <w:rsid w:val="00A2481F"/>
    <w:rsid w:val="00A36D84"/>
    <w:rsid w:val="00A418DE"/>
    <w:rsid w:val="00A45C9F"/>
    <w:rsid w:val="00A52F73"/>
    <w:rsid w:val="00A57BAA"/>
    <w:rsid w:val="00A7476A"/>
    <w:rsid w:val="00A7690C"/>
    <w:rsid w:val="00A817FF"/>
    <w:rsid w:val="00A8502A"/>
    <w:rsid w:val="00A913F2"/>
    <w:rsid w:val="00A9189E"/>
    <w:rsid w:val="00A923CD"/>
    <w:rsid w:val="00A9598E"/>
    <w:rsid w:val="00AA1775"/>
    <w:rsid w:val="00AC3648"/>
    <w:rsid w:val="00AC3CF2"/>
    <w:rsid w:val="00AC51EB"/>
    <w:rsid w:val="00AD4E23"/>
    <w:rsid w:val="00AD50FB"/>
    <w:rsid w:val="00AE1083"/>
    <w:rsid w:val="00AE4160"/>
    <w:rsid w:val="00AE4453"/>
    <w:rsid w:val="00AE4BEF"/>
    <w:rsid w:val="00AF27AF"/>
    <w:rsid w:val="00B0659D"/>
    <w:rsid w:val="00B06CDC"/>
    <w:rsid w:val="00B16989"/>
    <w:rsid w:val="00B179D3"/>
    <w:rsid w:val="00B21043"/>
    <w:rsid w:val="00B57BFE"/>
    <w:rsid w:val="00B627EE"/>
    <w:rsid w:val="00B71794"/>
    <w:rsid w:val="00B74917"/>
    <w:rsid w:val="00B76462"/>
    <w:rsid w:val="00B81B6C"/>
    <w:rsid w:val="00B8273E"/>
    <w:rsid w:val="00B83C4A"/>
    <w:rsid w:val="00B84EEC"/>
    <w:rsid w:val="00B8607E"/>
    <w:rsid w:val="00B95203"/>
    <w:rsid w:val="00B97C3A"/>
    <w:rsid w:val="00BA11D6"/>
    <w:rsid w:val="00BA3B23"/>
    <w:rsid w:val="00BA4DFA"/>
    <w:rsid w:val="00BB21AC"/>
    <w:rsid w:val="00BD03C4"/>
    <w:rsid w:val="00BD306A"/>
    <w:rsid w:val="00BE6E87"/>
    <w:rsid w:val="00C002D1"/>
    <w:rsid w:val="00C03AE6"/>
    <w:rsid w:val="00C13DB5"/>
    <w:rsid w:val="00C2337D"/>
    <w:rsid w:val="00C40405"/>
    <w:rsid w:val="00C41D01"/>
    <w:rsid w:val="00C4605B"/>
    <w:rsid w:val="00C47805"/>
    <w:rsid w:val="00C50EF5"/>
    <w:rsid w:val="00C55394"/>
    <w:rsid w:val="00C615B9"/>
    <w:rsid w:val="00C65AA4"/>
    <w:rsid w:val="00C65CBF"/>
    <w:rsid w:val="00C66707"/>
    <w:rsid w:val="00C70B0F"/>
    <w:rsid w:val="00C70F8A"/>
    <w:rsid w:val="00C7101C"/>
    <w:rsid w:val="00C80E5B"/>
    <w:rsid w:val="00C80F85"/>
    <w:rsid w:val="00C9668C"/>
    <w:rsid w:val="00CA09DE"/>
    <w:rsid w:val="00CA1B59"/>
    <w:rsid w:val="00CA5A09"/>
    <w:rsid w:val="00CB58FB"/>
    <w:rsid w:val="00CC0AA0"/>
    <w:rsid w:val="00CC10DE"/>
    <w:rsid w:val="00CC529C"/>
    <w:rsid w:val="00CD09BD"/>
    <w:rsid w:val="00CF6072"/>
    <w:rsid w:val="00CF624E"/>
    <w:rsid w:val="00CF74DC"/>
    <w:rsid w:val="00D07F5D"/>
    <w:rsid w:val="00D20A6C"/>
    <w:rsid w:val="00D2416C"/>
    <w:rsid w:val="00D32F14"/>
    <w:rsid w:val="00D34944"/>
    <w:rsid w:val="00D35495"/>
    <w:rsid w:val="00D40A1B"/>
    <w:rsid w:val="00D45AB7"/>
    <w:rsid w:val="00D50076"/>
    <w:rsid w:val="00D51124"/>
    <w:rsid w:val="00D63788"/>
    <w:rsid w:val="00D64FE1"/>
    <w:rsid w:val="00D65D46"/>
    <w:rsid w:val="00D87D42"/>
    <w:rsid w:val="00DE7E69"/>
    <w:rsid w:val="00DF5051"/>
    <w:rsid w:val="00DF6A25"/>
    <w:rsid w:val="00E15ABF"/>
    <w:rsid w:val="00E16CE3"/>
    <w:rsid w:val="00E3546C"/>
    <w:rsid w:val="00E362BD"/>
    <w:rsid w:val="00E558A5"/>
    <w:rsid w:val="00E70F5A"/>
    <w:rsid w:val="00E70FCB"/>
    <w:rsid w:val="00E76DDC"/>
    <w:rsid w:val="00E90451"/>
    <w:rsid w:val="00E90940"/>
    <w:rsid w:val="00E95539"/>
    <w:rsid w:val="00EA1513"/>
    <w:rsid w:val="00EA46B1"/>
    <w:rsid w:val="00EA5398"/>
    <w:rsid w:val="00EB0907"/>
    <w:rsid w:val="00EB45FD"/>
    <w:rsid w:val="00EC5B09"/>
    <w:rsid w:val="00EC6978"/>
    <w:rsid w:val="00EC75B0"/>
    <w:rsid w:val="00EE267A"/>
    <w:rsid w:val="00EF637F"/>
    <w:rsid w:val="00F071E4"/>
    <w:rsid w:val="00F0780C"/>
    <w:rsid w:val="00F1220E"/>
    <w:rsid w:val="00F20430"/>
    <w:rsid w:val="00F21E19"/>
    <w:rsid w:val="00F304CF"/>
    <w:rsid w:val="00F311AA"/>
    <w:rsid w:val="00F31E04"/>
    <w:rsid w:val="00F346B8"/>
    <w:rsid w:val="00F4443C"/>
    <w:rsid w:val="00F60660"/>
    <w:rsid w:val="00F651F4"/>
    <w:rsid w:val="00F739BB"/>
    <w:rsid w:val="00F94444"/>
    <w:rsid w:val="00FA697F"/>
    <w:rsid w:val="00FB0FC5"/>
    <w:rsid w:val="00FB583D"/>
    <w:rsid w:val="00FB6FE4"/>
    <w:rsid w:val="00FC27F0"/>
    <w:rsid w:val="00FC62AF"/>
    <w:rsid w:val="00FD541B"/>
    <w:rsid w:val="00FE2FEA"/>
    <w:rsid w:val="00FE4FF8"/>
    <w:rsid w:val="00FF5F23"/>
    <w:rsid w:val="05C53F66"/>
    <w:rsid w:val="07699950"/>
    <w:rsid w:val="0AECA361"/>
    <w:rsid w:val="0F93AE7A"/>
    <w:rsid w:val="11C0960C"/>
    <w:rsid w:val="1441F986"/>
    <w:rsid w:val="15E1A845"/>
    <w:rsid w:val="19194907"/>
    <w:rsid w:val="1D4DEA9D"/>
    <w:rsid w:val="1DD60958"/>
    <w:rsid w:val="2517F7EC"/>
    <w:rsid w:val="297B3185"/>
    <w:rsid w:val="2AE2F59C"/>
    <w:rsid w:val="2B0796F8"/>
    <w:rsid w:val="2B2CDFBB"/>
    <w:rsid w:val="2CD43295"/>
    <w:rsid w:val="2DBFFD03"/>
    <w:rsid w:val="2DD304C5"/>
    <w:rsid w:val="31705DCA"/>
    <w:rsid w:val="353B42F0"/>
    <w:rsid w:val="38631530"/>
    <w:rsid w:val="3AE40ECD"/>
    <w:rsid w:val="4E1FB140"/>
    <w:rsid w:val="4EF1BC8C"/>
    <w:rsid w:val="5199B90F"/>
    <w:rsid w:val="53B54598"/>
    <w:rsid w:val="59509171"/>
    <w:rsid w:val="601CE016"/>
    <w:rsid w:val="607AA043"/>
    <w:rsid w:val="6528E7BF"/>
    <w:rsid w:val="69DC8DC5"/>
    <w:rsid w:val="6D055D41"/>
    <w:rsid w:val="6F38BBAB"/>
    <w:rsid w:val="6FEB6FA7"/>
    <w:rsid w:val="72B31915"/>
    <w:rsid w:val="73BE7364"/>
    <w:rsid w:val="78C35017"/>
    <w:rsid w:val="7FBCA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7BC0"/>
  <w15:chartTrackingRefBased/>
  <w15:docId w15:val="{A8F50340-63D0-4FA3-8DB6-A07029475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051"/>
    <w:pPr>
      <w:spacing w:line="300" w:lineRule="atLeast"/>
    </w:pPr>
  </w:style>
  <w:style w:type="paragraph" w:styleId="Heading1">
    <w:name w:val="heading 1"/>
    <w:basedOn w:val="Normal"/>
    <w:next w:val="Normal"/>
    <w:link w:val="Heading1Char"/>
    <w:uiPriority w:val="9"/>
    <w:qFormat/>
    <w:rsid w:val="002C647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2C647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2C6479"/>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2C6479"/>
    <w:pPr>
      <w:spacing w:before="240" w:after="60"/>
      <w:outlineLvl w:val="5"/>
    </w:pPr>
    <w:rPr>
      <w:b/>
      <w:bCs/>
    </w:rPr>
  </w:style>
  <w:style w:type="paragraph" w:styleId="Heading7">
    <w:name w:val="heading 7"/>
    <w:basedOn w:val="Normal"/>
    <w:next w:val="Normal"/>
    <w:link w:val="Heading7Char"/>
    <w:uiPriority w:val="9"/>
    <w:semiHidden/>
    <w:unhideWhenUsed/>
    <w:qFormat/>
    <w:rsid w:val="002C6479"/>
    <w:pPr>
      <w:spacing w:before="240" w:after="60"/>
      <w:outlineLvl w:val="6"/>
    </w:pPr>
  </w:style>
  <w:style w:type="paragraph" w:styleId="Heading8">
    <w:name w:val="heading 8"/>
    <w:basedOn w:val="Normal"/>
    <w:next w:val="Normal"/>
    <w:link w:val="Heading8Char"/>
    <w:uiPriority w:val="9"/>
    <w:semiHidden/>
    <w:unhideWhenUsed/>
    <w:qFormat/>
    <w:rsid w:val="002C6479"/>
    <w:pPr>
      <w:spacing w:before="240" w:after="60"/>
      <w:outlineLvl w:val="7"/>
    </w:pPr>
    <w:rPr>
      <w:i/>
      <w:iCs/>
    </w:rPr>
  </w:style>
  <w:style w:type="paragraph" w:styleId="Heading9">
    <w:name w:val="heading 9"/>
    <w:basedOn w:val="Normal"/>
    <w:next w:val="Normal"/>
    <w:link w:val="Heading9Char"/>
    <w:uiPriority w:val="9"/>
    <w:semiHidden/>
    <w:unhideWhenUsed/>
    <w:qFormat/>
    <w:rsid w:val="002C647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47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C647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C6479"/>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2C6479"/>
    <w:rPr>
      <w:b/>
      <w:bCs/>
    </w:rPr>
  </w:style>
  <w:style w:type="character" w:customStyle="1" w:styleId="Heading7Char">
    <w:name w:val="Heading 7 Char"/>
    <w:basedOn w:val="DefaultParagraphFont"/>
    <w:link w:val="Heading7"/>
    <w:uiPriority w:val="9"/>
    <w:semiHidden/>
    <w:rsid w:val="002C6479"/>
  </w:style>
  <w:style w:type="character" w:customStyle="1" w:styleId="Heading8Char">
    <w:name w:val="Heading 8 Char"/>
    <w:basedOn w:val="DefaultParagraphFont"/>
    <w:link w:val="Heading8"/>
    <w:uiPriority w:val="9"/>
    <w:semiHidden/>
    <w:rsid w:val="002C6479"/>
    <w:rPr>
      <w:i/>
      <w:iCs/>
    </w:rPr>
  </w:style>
  <w:style w:type="character" w:customStyle="1" w:styleId="Heading9Char">
    <w:name w:val="Heading 9 Char"/>
    <w:basedOn w:val="DefaultParagraphFont"/>
    <w:link w:val="Heading9"/>
    <w:uiPriority w:val="9"/>
    <w:semiHidden/>
    <w:rsid w:val="002C6479"/>
    <w:rPr>
      <w:rFonts w:asciiTheme="majorHAnsi" w:eastAsiaTheme="majorEastAsia" w:hAnsiTheme="majorHAnsi"/>
    </w:rPr>
  </w:style>
  <w:style w:type="paragraph" w:styleId="Title">
    <w:name w:val="Title"/>
    <w:basedOn w:val="Normal"/>
    <w:next w:val="Normal"/>
    <w:link w:val="TitleChar"/>
    <w:uiPriority w:val="10"/>
    <w:qFormat/>
    <w:rsid w:val="002C647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C647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C647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C6479"/>
    <w:rPr>
      <w:rFonts w:asciiTheme="majorHAnsi" w:eastAsiaTheme="majorEastAsia" w:hAnsiTheme="majorHAnsi"/>
    </w:rPr>
  </w:style>
  <w:style w:type="paragraph" w:styleId="TOCHeading">
    <w:name w:val="TOC Heading"/>
    <w:basedOn w:val="Heading1"/>
    <w:next w:val="Normal"/>
    <w:uiPriority w:val="39"/>
    <w:semiHidden/>
    <w:unhideWhenUsed/>
    <w:qFormat/>
    <w:rsid w:val="002C6479"/>
    <w:pPr>
      <w:outlineLvl w:val="9"/>
    </w:pPr>
  </w:style>
  <w:style w:type="paragraph" w:styleId="BalloonText">
    <w:name w:val="Balloon Text"/>
    <w:basedOn w:val="Normal"/>
    <w:link w:val="BalloonTextChar"/>
    <w:uiPriority w:val="99"/>
    <w:semiHidden/>
    <w:unhideWhenUsed/>
    <w:rsid w:val="00DF505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051"/>
    <w:rPr>
      <w:rFonts w:ascii="Segoe UI" w:hAnsi="Segoe UI" w:cs="Segoe UI"/>
      <w:sz w:val="18"/>
      <w:szCs w:val="18"/>
    </w:rPr>
  </w:style>
  <w:style w:type="paragraph" w:styleId="Header">
    <w:name w:val="header"/>
    <w:basedOn w:val="Normal"/>
    <w:link w:val="HeaderChar"/>
    <w:uiPriority w:val="99"/>
    <w:unhideWhenUsed/>
    <w:rsid w:val="008F1CD9"/>
    <w:pPr>
      <w:tabs>
        <w:tab w:val="center" w:pos="4680"/>
        <w:tab w:val="right" w:pos="9360"/>
      </w:tabs>
      <w:spacing w:line="240" w:lineRule="auto"/>
    </w:pPr>
  </w:style>
  <w:style w:type="character" w:customStyle="1" w:styleId="HeaderChar">
    <w:name w:val="Header Char"/>
    <w:basedOn w:val="DefaultParagraphFont"/>
    <w:link w:val="Header"/>
    <w:uiPriority w:val="99"/>
    <w:rsid w:val="008F1CD9"/>
  </w:style>
  <w:style w:type="paragraph" w:styleId="Footer">
    <w:name w:val="footer"/>
    <w:basedOn w:val="Normal"/>
    <w:link w:val="FooterChar"/>
    <w:uiPriority w:val="99"/>
    <w:unhideWhenUsed/>
    <w:rsid w:val="008F1CD9"/>
    <w:pPr>
      <w:tabs>
        <w:tab w:val="center" w:pos="4680"/>
        <w:tab w:val="right" w:pos="9360"/>
      </w:tabs>
      <w:spacing w:line="240" w:lineRule="auto"/>
    </w:pPr>
  </w:style>
  <w:style w:type="character" w:customStyle="1" w:styleId="FooterChar">
    <w:name w:val="Footer Char"/>
    <w:basedOn w:val="DefaultParagraphFont"/>
    <w:link w:val="Footer"/>
    <w:uiPriority w:val="99"/>
    <w:rsid w:val="008F1CD9"/>
  </w:style>
  <w:style w:type="character" w:styleId="CommentReference">
    <w:name w:val="annotation reference"/>
    <w:basedOn w:val="DefaultParagraphFont"/>
    <w:uiPriority w:val="99"/>
    <w:unhideWhenUsed/>
    <w:rsid w:val="00EC75B0"/>
    <w:rPr>
      <w:sz w:val="16"/>
      <w:szCs w:val="16"/>
    </w:rPr>
  </w:style>
  <w:style w:type="paragraph" w:styleId="CommentText">
    <w:name w:val="annotation text"/>
    <w:basedOn w:val="Normal"/>
    <w:link w:val="CommentTextChar"/>
    <w:uiPriority w:val="99"/>
    <w:unhideWhenUsed/>
    <w:rsid w:val="00EC75B0"/>
    <w:pPr>
      <w:spacing w:line="240" w:lineRule="auto"/>
    </w:pPr>
    <w:rPr>
      <w:sz w:val="20"/>
      <w:szCs w:val="20"/>
    </w:rPr>
  </w:style>
  <w:style w:type="character" w:customStyle="1" w:styleId="CommentTextChar">
    <w:name w:val="Comment Text Char"/>
    <w:basedOn w:val="DefaultParagraphFont"/>
    <w:link w:val="CommentText"/>
    <w:uiPriority w:val="99"/>
    <w:rsid w:val="00EC75B0"/>
    <w:rPr>
      <w:sz w:val="20"/>
      <w:szCs w:val="20"/>
    </w:rPr>
  </w:style>
  <w:style w:type="paragraph" w:styleId="CommentSubject">
    <w:name w:val="annotation subject"/>
    <w:basedOn w:val="CommentText"/>
    <w:next w:val="CommentText"/>
    <w:link w:val="CommentSubjectChar"/>
    <w:uiPriority w:val="99"/>
    <w:semiHidden/>
    <w:unhideWhenUsed/>
    <w:rsid w:val="00EC75B0"/>
    <w:rPr>
      <w:b/>
      <w:bCs/>
    </w:rPr>
  </w:style>
  <w:style w:type="character" w:customStyle="1" w:styleId="CommentSubjectChar">
    <w:name w:val="Comment Subject Char"/>
    <w:basedOn w:val="CommentTextChar"/>
    <w:link w:val="CommentSubject"/>
    <w:uiPriority w:val="99"/>
    <w:semiHidden/>
    <w:rsid w:val="00EC75B0"/>
    <w:rPr>
      <w:b/>
      <w:bCs/>
      <w:sz w:val="20"/>
      <w:szCs w:val="20"/>
    </w:rPr>
  </w:style>
  <w:style w:type="paragraph" w:styleId="ListParagraph">
    <w:name w:val="List Paragraph"/>
    <w:basedOn w:val="Normal"/>
    <w:uiPriority w:val="34"/>
    <w:qFormat/>
    <w:rsid w:val="00EE267A"/>
    <w:pPr>
      <w:ind w:left="720"/>
      <w:contextualSpacing/>
    </w:pPr>
  </w:style>
  <w:style w:type="paragraph" w:styleId="Revision">
    <w:name w:val="Revision"/>
    <w:hidden/>
    <w:uiPriority w:val="99"/>
    <w:semiHidden/>
    <w:rsid w:val="007B67A0"/>
    <w:pPr>
      <w:spacing w:line="240" w:lineRule="auto"/>
    </w:pPr>
  </w:style>
  <w:style w:type="paragraph" w:customStyle="1" w:styleId="JCCAddress2ndline">
    <w:name w:val="JCC Address 2nd line"/>
    <w:basedOn w:val="Normal"/>
    <w:rsid w:val="002E6AF0"/>
    <w:pPr>
      <w:spacing w:line="280" w:lineRule="exact"/>
      <w:jc w:val="center"/>
    </w:pPr>
    <w:rPr>
      <w:rFonts w:ascii="Goudy Old Style" w:eastAsia="Times New Roman" w:hAnsi="Goudy Old Style"/>
      <w:sz w:val="17"/>
      <w:szCs w:val="20"/>
    </w:rPr>
  </w:style>
  <w:style w:type="character" w:styleId="UnresolvedMention">
    <w:name w:val="Unresolved Mention"/>
    <w:basedOn w:val="DefaultParagraphFont"/>
    <w:uiPriority w:val="99"/>
    <w:unhideWhenUsed/>
    <w:rsid w:val="00303615"/>
    <w:rPr>
      <w:color w:val="605E5C"/>
      <w:shd w:val="clear" w:color="auto" w:fill="E1DFDD"/>
    </w:rPr>
  </w:style>
  <w:style w:type="character" w:styleId="Mention">
    <w:name w:val="Mention"/>
    <w:basedOn w:val="DefaultParagraphFont"/>
    <w:uiPriority w:val="99"/>
    <w:unhideWhenUsed/>
    <w:rsid w:val="00303615"/>
    <w:rPr>
      <w:color w:val="2B579A"/>
      <w:shd w:val="clear" w:color="auto" w:fill="E1DFDD"/>
    </w:rPr>
  </w:style>
  <w:style w:type="table" w:styleId="TableGrid">
    <w:name w:val="Table Grid"/>
    <w:basedOn w:val="TableNormal"/>
    <w:uiPriority w:val="59"/>
    <w:rsid w:val="00D64FE1"/>
    <w:pPr>
      <w:spacing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476015">
      <w:bodyDiv w:val="1"/>
      <w:marLeft w:val="0"/>
      <w:marRight w:val="0"/>
      <w:marTop w:val="0"/>
      <w:marBottom w:val="0"/>
      <w:divBdr>
        <w:top w:val="none" w:sz="0" w:space="0" w:color="auto"/>
        <w:left w:val="none" w:sz="0" w:space="0" w:color="auto"/>
        <w:bottom w:val="none" w:sz="0" w:space="0" w:color="auto"/>
        <w:right w:val="none" w:sz="0" w:space="0" w:color="auto"/>
      </w:divBdr>
    </w:div>
    <w:div w:id="204697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1220</Words>
  <Characters>6955</Characters>
  <Application>Microsoft Office Word</Application>
  <DocSecurity>0</DocSecurity>
  <Lines>57</Lines>
  <Paragraphs>16</Paragraphs>
  <ScaleCrop>false</ScaleCrop>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Darlington, Brianna</dc:creator>
  <cp:keywords/>
  <dc:description/>
  <cp:lastModifiedBy>Darlington, Brianna</cp:lastModifiedBy>
  <cp:revision>289</cp:revision>
  <dcterms:created xsi:type="dcterms:W3CDTF">2020-10-29T18:41:00Z</dcterms:created>
  <dcterms:modified xsi:type="dcterms:W3CDTF">2021-10-20T23:44:00Z</dcterms:modified>
</cp:coreProperties>
</file>