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8370"/>
      </w:tblGrid>
      <w:tr w:rsidR="008B50E8" w:rsidRPr="009E10B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8B50E8" w:rsidP="00651E8D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B50E8" w:rsidRPr="008B50E8" w:rsidRDefault="008B50E8" w:rsidP="00651E8D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</w:p>
          <w:p w:rsidR="008B50E8" w:rsidRPr="009E10B7" w:rsidRDefault="008B50E8" w:rsidP="00651E8D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651E8D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50E8" w:rsidRPr="00540897" w:rsidRDefault="00735393" w:rsidP="008B50E8">
            <w:pPr>
              <w:pStyle w:val="JCCReportCoverSubhead"/>
              <w:rPr>
                <w:rFonts w:ascii="Arial" w:hAnsi="Arial" w:cs="Arial"/>
                <w:b/>
                <w:i/>
                <w:color w:val="000000" w:themeColor="text1"/>
                <w:szCs w:val="28"/>
              </w:rPr>
            </w:pPr>
            <w:r w:rsidRPr="00540897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>San Luis Obispo</w:t>
            </w:r>
          </w:p>
          <w:p w:rsidR="008B50E8" w:rsidRPr="00540897" w:rsidRDefault="008B50E8" w:rsidP="00651E8D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3D4237" w:rsidRPr="00540897" w:rsidRDefault="008B50E8" w:rsidP="00651E8D">
            <w:pPr>
              <w:pStyle w:val="JCCReportCoverSubhead"/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</w:pPr>
            <w:r w:rsidRPr="00540897">
              <w:rPr>
                <w:rFonts w:ascii="Arial" w:hAnsi="Arial" w:cs="Arial"/>
                <w:b/>
                <w:color w:val="000000" w:themeColor="text1"/>
                <w:szCs w:val="28"/>
              </w:rPr>
              <w:t>Regarding:</w:t>
            </w:r>
            <w:r w:rsidRPr="00540897">
              <w:rPr>
                <w:rFonts w:ascii="Arial" w:hAnsi="Arial" w:cs="Arial"/>
                <w:b/>
                <w:color w:val="000000" w:themeColor="text1"/>
                <w:szCs w:val="28"/>
              </w:rPr>
              <w:br/>
            </w:r>
            <w:r w:rsidR="00802362">
              <w:rPr>
                <w:i/>
                <w:color w:val="000000" w:themeColor="text1"/>
                <w:sz w:val="22"/>
                <w:szCs w:val="22"/>
              </w:rPr>
              <w:t xml:space="preserve">Addendum </w:t>
            </w:r>
            <w:r w:rsidR="008466B3">
              <w:rPr>
                <w:i/>
                <w:color w:val="000000" w:themeColor="text1"/>
                <w:sz w:val="22"/>
                <w:szCs w:val="22"/>
              </w:rPr>
              <w:t>#</w:t>
            </w:r>
            <w:r w:rsidR="00F7678E">
              <w:rPr>
                <w:i/>
                <w:color w:val="000000" w:themeColor="text1"/>
                <w:sz w:val="22"/>
                <w:szCs w:val="22"/>
              </w:rPr>
              <w:t>2</w:t>
            </w:r>
            <w:r w:rsidR="00802362">
              <w:rPr>
                <w:i/>
                <w:color w:val="000000" w:themeColor="text1"/>
                <w:sz w:val="22"/>
                <w:szCs w:val="22"/>
              </w:rPr>
              <w:t xml:space="preserve"> to RFP </w:t>
            </w:r>
            <w:r w:rsidR="008466B3">
              <w:rPr>
                <w:i/>
                <w:color w:val="000000" w:themeColor="text1"/>
                <w:sz w:val="22"/>
                <w:szCs w:val="22"/>
              </w:rPr>
              <w:t>#</w:t>
            </w:r>
            <w:r w:rsidR="00802362">
              <w:rPr>
                <w:i/>
                <w:color w:val="000000" w:themeColor="text1"/>
                <w:sz w:val="22"/>
                <w:szCs w:val="22"/>
              </w:rPr>
              <w:t xml:space="preserve">ISD-06192012-SLO; </w:t>
            </w:r>
            <w:r w:rsidR="003D4237" w:rsidRPr="00540897">
              <w:rPr>
                <w:i/>
                <w:color w:val="000000" w:themeColor="text1"/>
                <w:sz w:val="22"/>
                <w:szCs w:val="22"/>
              </w:rPr>
              <w:t>San Luis Obispo Case Management System Replacement</w:t>
            </w:r>
            <w:r w:rsidR="003D4237" w:rsidRPr="00540897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 xml:space="preserve"> </w:t>
            </w:r>
          </w:p>
          <w:p w:rsidR="008B50E8" w:rsidRPr="00540897" w:rsidRDefault="008B50E8" w:rsidP="00651E8D">
            <w:pPr>
              <w:pStyle w:val="JCCReportCoverSubhead"/>
              <w:rPr>
                <w:rFonts w:ascii="Arial" w:hAnsi="Arial" w:cs="Arial"/>
                <w:color w:val="000000" w:themeColor="text1"/>
                <w:szCs w:val="28"/>
              </w:rPr>
            </w:pPr>
          </w:p>
          <w:p w:rsidR="008B50E8" w:rsidRPr="00540897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540897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540897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540897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540897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8B50E8" w:rsidRPr="00540897" w:rsidRDefault="00226FDB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540897">
              <w:rPr>
                <w:rFonts w:ascii="Arial" w:hAnsi="Arial" w:cs="Arial"/>
                <w:color w:val="000000" w:themeColor="text1"/>
                <w:sz w:val="28"/>
                <w:szCs w:val="28"/>
              </w:rPr>
              <w:t>7/</w:t>
            </w:r>
            <w:r w:rsidR="00802362">
              <w:rPr>
                <w:rFonts w:ascii="Arial" w:hAnsi="Arial" w:cs="Arial"/>
                <w:color w:val="000000" w:themeColor="text1"/>
                <w:sz w:val="28"/>
                <w:szCs w:val="28"/>
              </w:rPr>
              <w:t>24</w:t>
            </w:r>
            <w:r w:rsidRPr="00540897">
              <w:rPr>
                <w:rFonts w:ascii="Arial" w:hAnsi="Arial" w:cs="Arial"/>
                <w:color w:val="000000" w:themeColor="text1"/>
                <w:sz w:val="28"/>
                <w:szCs w:val="28"/>
              </w:rPr>
              <w:t>/2012</w:t>
            </w:r>
            <w:r w:rsidRPr="00540897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40897">
              <w:rPr>
                <w:rFonts w:ascii="Arial" w:hAnsi="Arial" w:cs="Arial"/>
                <w:i/>
                <w:caps/>
                <w:color w:val="000000" w:themeColor="text1"/>
                <w:sz w:val="22"/>
                <w:szCs w:val="28"/>
              </w:rPr>
              <w:t xml:space="preserve"> </w:t>
            </w:r>
            <w:r w:rsidR="008B50E8" w:rsidRPr="00540897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8"/>
              </w:rPr>
              <w:t xml:space="preserve">no later than </w:t>
            </w:r>
            <w:r w:rsidRPr="00540897">
              <w:rPr>
                <w:rFonts w:ascii="Arial" w:hAnsi="Arial" w:cs="Arial"/>
                <w:color w:val="000000" w:themeColor="text1"/>
                <w:sz w:val="28"/>
                <w:szCs w:val="28"/>
              </w:rPr>
              <w:t>4:30</w:t>
            </w:r>
            <w:r w:rsidRPr="00540897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B50E8" w:rsidRPr="00540897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0"/>
              </w:rPr>
              <w:t xml:space="preserve">p.m. Pacific </w:t>
            </w:r>
            <w:r w:rsidR="00C57054" w:rsidRPr="00540897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0"/>
              </w:rPr>
              <w:t>T</w:t>
            </w:r>
            <w:r w:rsidR="008B50E8" w:rsidRPr="00540897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0"/>
              </w:rPr>
              <w:t xml:space="preserve">ime </w:t>
            </w:r>
          </w:p>
          <w:p w:rsidR="008B50E8" w:rsidRPr="009E10B7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CE50EE" w:rsidRDefault="00CE50E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CE50EE" w:rsidRDefault="00CE50E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252905" w:rsidRPr="00592301" w:rsidRDefault="00252905" w:rsidP="00252905">
      <w:pPr>
        <w:autoSpaceDE w:val="0"/>
        <w:autoSpaceDN w:val="0"/>
        <w:adjustRightInd w:val="0"/>
        <w:spacing w:after="240"/>
        <w:rPr>
          <w:b/>
          <w:u w:val="single"/>
        </w:rPr>
      </w:pPr>
      <w:r w:rsidRPr="00592301">
        <w:rPr>
          <w:b/>
          <w:u w:val="single"/>
        </w:rPr>
        <w:t xml:space="preserve">This Addendum </w:t>
      </w:r>
      <w:r w:rsidR="00BE473B">
        <w:rPr>
          <w:b/>
          <w:u w:val="single"/>
        </w:rPr>
        <w:t>2</w:t>
      </w:r>
      <w:r w:rsidRPr="00592301">
        <w:rPr>
          <w:b/>
          <w:u w:val="single"/>
        </w:rPr>
        <w:t xml:space="preserve"> hereby modifies the RFP as follow:</w:t>
      </w:r>
    </w:p>
    <w:p w:rsidR="00252905" w:rsidRPr="00D0089D" w:rsidRDefault="00252905" w:rsidP="00BE473B">
      <w:pPr>
        <w:autoSpaceDE w:val="0"/>
        <w:autoSpaceDN w:val="0"/>
        <w:adjustRightInd w:val="0"/>
        <w:spacing w:after="240"/>
        <w:ind w:left="360" w:hanging="360"/>
        <w:rPr>
          <w:bCs/>
        </w:rPr>
      </w:pPr>
      <w:r w:rsidRPr="0075210A">
        <w:t>I.</w:t>
      </w:r>
      <w:r w:rsidRPr="0075210A">
        <w:tab/>
      </w:r>
      <w:r w:rsidR="00D1661C" w:rsidRPr="0075210A">
        <w:rPr>
          <w:b/>
          <w:i/>
        </w:rPr>
        <w:t xml:space="preserve">Revised RFP </w:t>
      </w:r>
      <w:r w:rsidR="00CB03DB">
        <w:rPr>
          <w:b/>
          <w:i/>
        </w:rPr>
        <w:t>S</w:t>
      </w:r>
      <w:r w:rsidR="00D1661C" w:rsidRPr="0075210A">
        <w:rPr>
          <w:b/>
          <w:i/>
        </w:rPr>
        <w:t>ections:</w:t>
      </w:r>
      <w:r w:rsidR="00D1661C">
        <w:t xml:space="preserve">  </w:t>
      </w:r>
      <w:r w:rsidRPr="00D0089D">
        <w:t xml:space="preserve">For changes to </w:t>
      </w:r>
      <w:r w:rsidR="005864E1">
        <w:t xml:space="preserve">sections of </w:t>
      </w:r>
      <w:r w:rsidRPr="00D0089D">
        <w:t>the RFP document, any deletions in the RFP are shown in strikeout font (</w:t>
      </w:r>
      <w:r w:rsidRPr="00D0089D">
        <w:rPr>
          <w:strike/>
          <w:color w:val="FF0000"/>
        </w:rPr>
        <w:t>strikeout font</w:t>
      </w:r>
      <w:r w:rsidRPr="00D0089D">
        <w:t>) and any insertions are shown in underlined font (</w:t>
      </w:r>
      <w:r w:rsidR="0064673C" w:rsidRPr="0064673C">
        <w:rPr>
          <w:b/>
          <w:color w:val="0000FF"/>
          <w:u w:val="single"/>
        </w:rPr>
        <w:t>bold u</w:t>
      </w:r>
      <w:r w:rsidRPr="0064673C">
        <w:rPr>
          <w:b/>
          <w:color w:val="0000FF"/>
          <w:u w:val="single"/>
        </w:rPr>
        <w:t>nderlined font</w:t>
      </w:r>
      <w:r w:rsidRPr="00D0089D">
        <w:t>)</w:t>
      </w:r>
      <w:r>
        <w:t>, and p</w:t>
      </w:r>
      <w:r w:rsidRPr="00D0089D">
        <w:t>aragraph numbers refer to the numbers in the original RFP</w:t>
      </w:r>
      <w:r>
        <w:t xml:space="preserve">, as </w:t>
      </w:r>
      <w:r w:rsidR="002D76AD">
        <w:t>set forth below</w:t>
      </w:r>
      <w:r w:rsidRPr="00D0089D">
        <w:t>.</w:t>
      </w:r>
    </w:p>
    <w:p w:rsidR="005172C1" w:rsidRPr="0075210A" w:rsidRDefault="0075210A" w:rsidP="005172C1">
      <w:pPr>
        <w:pStyle w:val="ListParagraph"/>
        <w:keepNext/>
        <w:ind w:hanging="360"/>
        <w:rPr>
          <w:b/>
          <w:bCs/>
          <w:i/>
        </w:rPr>
      </w:pPr>
      <w:proofErr w:type="gramStart"/>
      <w:r w:rsidRPr="0075210A">
        <w:rPr>
          <w:bCs/>
        </w:rPr>
        <w:t>I.</w:t>
      </w:r>
      <w:r w:rsidR="00BE473B">
        <w:rPr>
          <w:bCs/>
        </w:rPr>
        <w:t>A</w:t>
      </w:r>
      <w:r w:rsidR="005172C1" w:rsidRPr="0075210A">
        <w:rPr>
          <w:bCs/>
        </w:rPr>
        <w:t>.</w:t>
      </w:r>
      <w:proofErr w:type="gramEnd"/>
      <w:r w:rsidR="005172C1">
        <w:rPr>
          <w:b/>
          <w:bCs/>
        </w:rPr>
        <w:t xml:space="preserve"> </w:t>
      </w:r>
      <w:r w:rsidR="005172C1" w:rsidRPr="0075210A">
        <w:rPr>
          <w:b/>
          <w:bCs/>
          <w:i/>
        </w:rPr>
        <w:t xml:space="preserve"> Section 4.1 is modified as follows.</w:t>
      </w:r>
    </w:p>
    <w:p w:rsidR="00A50B42" w:rsidRPr="00D74462" w:rsidRDefault="00A50B42" w:rsidP="00A50B42">
      <w:pPr>
        <w:widowControl w:val="0"/>
        <w:rPr>
          <w:bCs/>
        </w:rPr>
      </w:pPr>
    </w:p>
    <w:p w:rsidR="00122B6C" w:rsidRDefault="00122B6C" w:rsidP="005172C1">
      <w:pPr>
        <w:ind w:left="720" w:hanging="360"/>
      </w:pPr>
      <w:r>
        <w:tab/>
      </w:r>
      <w:r w:rsidR="00651E8D">
        <w:t xml:space="preserve">4.1 </w:t>
      </w:r>
      <w:r w:rsidR="00651E8D">
        <w:rPr>
          <w:b/>
          <w:u w:val="single"/>
        </w:rPr>
        <w:t>Proposed Procurement Schedule</w:t>
      </w:r>
      <w:r w:rsidR="00651E8D">
        <w:t xml:space="preserve"> </w:t>
      </w:r>
    </w:p>
    <w:p w:rsidR="005172C1" w:rsidRDefault="005172C1" w:rsidP="00FC71BC">
      <w:pPr>
        <w:ind w:left="720"/>
      </w:pPr>
    </w:p>
    <w:p w:rsidR="00122B6C" w:rsidRDefault="00A64616" w:rsidP="00FC71BC">
      <w:pPr>
        <w:ind w:left="720"/>
      </w:pPr>
      <w:r>
        <w:t>Proposals are due by July</w:t>
      </w:r>
      <w:r w:rsidR="00BE473B">
        <w:t xml:space="preserve"> 24</w:t>
      </w:r>
      <w:r>
        <w:t>, 2012</w:t>
      </w:r>
      <w:r w:rsidR="00374261">
        <w:t xml:space="preserve">. </w:t>
      </w:r>
      <w:r w:rsidR="00122B6C" w:rsidRPr="00CF2D42">
        <w:rPr>
          <w:strike/>
          <w:color w:val="FF0000"/>
        </w:rPr>
        <w:t xml:space="preserve">Application demonstrations are to be held starting </w:t>
      </w:r>
      <w:r w:rsidR="0075282D" w:rsidRPr="00CF2D42">
        <w:rPr>
          <w:strike/>
          <w:color w:val="FF0000"/>
        </w:rPr>
        <w:t>two weeks</w:t>
      </w:r>
      <w:r w:rsidR="00122B6C" w:rsidRPr="00CF2D42">
        <w:rPr>
          <w:strike/>
          <w:color w:val="FF0000"/>
        </w:rPr>
        <w:t xml:space="preserve"> af</w:t>
      </w:r>
      <w:r w:rsidRPr="00CF2D42">
        <w:rPr>
          <w:strike/>
          <w:color w:val="FF0000"/>
        </w:rPr>
        <w:t>ter the RFP submission deadline.</w:t>
      </w:r>
      <w:r w:rsidR="00122B6C" w:rsidRPr="00CF2D42">
        <w:rPr>
          <w:strike/>
          <w:color w:val="FF0000"/>
        </w:rPr>
        <w:t xml:space="preserve"> It is the Court’s intention to have a signed contract </w:t>
      </w:r>
      <w:r w:rsidR="00A7178B" w:rsidRPr="00CF2D42">
        <w:rPr>
          <w:strike/>
          <w:color w:val="FF0000"/>
        </w:rPr>
        <w:t>within</w:t>
      </w:r>
      <w:r w:rsidR="00374261" w:rsidRPr="00CF2D42">
        <w:rPr>
          <w:strike/>
          <w:color w:val="FF0000"/>
        </w:rPr>
        <w:t xml:space="preserve"> sixty (60) days</w:t>
      </w:r>
      <w:r w:rsidR="00122B6C" w:rsidRPr="00CF2D42">
        <w:rPr>
          <w:strike/>
          <w:color w:val="FF0000"/>
        </w:rPr>
        <w:t xml:space="preserve"> of the RFP submission deadline.</w:t>
      </w:r>
      <w:r w:rsidR="00CF2D42">
        <w:t xml:space="preserve"> </w:t>
      </w:r>
      <w:r w:rsidR="00CF2D42" w:rsidRPr="00CF2D42">
        <w:rPr>
          <w:b/>
          <w:color w:val="0000FF"/>
          <w:u w:val="single"/>
        </w:rPr>
        <w:t xml:space="preserve">As setting </w:t>
      </w:r>
      <w:r w:rsidR="00E935DA">
        <w:rPr>
          <w:b/>
          <w:color w:val="0000FF"/>
          <w:u w:val="single"/>
        </w:rPr>
        <w:t>the</w:t>
      </w:r>
      <w:r w:rsidR="00CF2D42" w:rsidRPr="00CF2D42">
        <w:rPr>
          <w:b/>
          <w:color w:val="0000FF"/>
          <w:u w:val="single"/>
        </w:rPr>
        <w:t xml:space="preserve"> procurement schedule to account for a</w:t>
      </w:r>
      <w:r w:rsidR="00E935DA">
        <w:rPr>
          <w:b/>
          <w:color w:val="0000FF"/>
          <w:u w:val="single"/>
        </w:rPr>
        <w:t xml:space="preserve"> largely</w:t>
      </w:r>
      <w:r w:rsidR="00CF2D42" w:rsidRPr="00CF2D42">
        <w:rPr>
          <w:b/>
          <w:color w:val="0000FF"/>
          <w:u w:val="single"/>
        </w:rPr>
        <w:t xml:space="preserve"> unknown number of demonstrations cannot be adequately determined at this time, all Key Dates designated </w:t>
      </w:r>
      <w:r w:rsidR="00E935DA">
        <w:rPr>
          <w:b/>
          <w:color w:val="0000FF"/>
          <w:u w:val="single"/>
        </w:rPr>
        <w:t xml:space="preserve">below </w:t>
      </w:r>
      <w:r w:rsidR="00CF2D42" w:rsidRPr="00CF2D42">
        <w:rPr>
          <w:b/>
          <w:color w:val="0000FF"/>
          <w:u w:val="single"/>
        </w:rPr>
        <w:t xml:space="preserve">with “TBD” will be updated </w:t>
      </w:r>
      <w:r w:rsidR="00E935DA">
        <w:rPr>
          <w:b/>
          <w:color w:val="0000FF"/>
          <w:u w:val="single"/>
        </w:rPr>
        <w:t xml:space="preserve">instead </w:t>
      </w:r>
      <w:r w:rsidR="00CF2D42" w:rsidRPr="00CF2D42">
        <w:rPr>
          <w:b/>
          <w:color w:val="0000FF"/>
          <w:u w:val="single"/>
        </w:rPr>
        <w:t>in the web page summary</w:t>
      </w:r>
      <w:r w:rsidR="00E935DA">
        <w:rPr>
          <w:b/>
          <w:color w:val="0000FF"/>
          <w:u w:val="single"/>
        </w:rPr>
        <w:t xml:space="preserve"> </w:t>
      </w:r>
      <w:r w:rsidR="00CF2D42" w:rsidRPr="00CF2D42">
        <w:rPr>
          <w:b/>
          <w:color w:val="0000FF"/>
          <w:u w:val="single"/>
        </w:rPr>
        <w:t xml:space="preserve">for this RFP, located at </w:t>
      </w:r>
      <w:hyperlink r:id="rId17" w:history="1">
        <w:r w:rsidR="003E3AD6" w:rsidRPr="002861E5">
          <w:rPr>
            <w:rStyle w:val="Hyperlink"/>
            <w:b/>
          </w:rPr>
          <w:t>http://www.courts.ca.gov/</w:t>
        </w:r>
        <w:r w:rsidR="003E3AD6" w:rsidRPr="002861E5">
          <w:rPr>
            <w:rStyle w:val="Hyperlink"/>
            <w:b/>
          </w:rPr>
          <w:t>1</w:t>
        </w:r>
        <w:r w:rsidR="003E3AD6" w:rsidRPr="002861E5">
          <w:rPr>
            <w:rStyle w:val="Hyperlink"/>
            <w:b/>
          </w:rPr>
          <w:t>8454.htm</w:t>
        </w:r>
      </w:hyperlink>
      <w:r w:rsidR="003E3AD6">
        <w:rPr>
          <w:b/>
          <w:color w:val="0000FF"/>
          <w:u w:val="single"/>
        </w:rPr>
        <w:t>, above the links to the RFP documents.</w:t>
      </w:r>
      <w:r w:rsidR="00CF2D42" w:rsidRPr="00CF2D42">
        <w:rPr>
          <w:b/>
          <w:color w:val="0000FF"/>
          <w:u w:val="single"/>
        </w:rPr>
        <w:t xml:space="preserve"> </w:t>
      </w:r>
    </w:p>
    <w:p w:rsidR="00072049" w:rsidRDefault="00072049" w:rsidP="00FC71BC">
      <w:pPr>
        <w:ind w:left="72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0"/>
        <w:gridCol w:w="7548"/>
        <w:gridCol w:w="1458"/>
      </w:tblGrid>
      <w:tr w:rsidR="00072049" w:rsidTr="00072049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0C0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No.</w:t>
            </w:r>
          </w:p>
        </w:tc>
        <w:tc>
          <w:tcPr>
            <w:tcW w:w="7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C0C0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Key Events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C0C0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Key Dates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 xml:space="preserve">AOC issues RFP on behalf of San Luis Obispo Superior Court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Default="002A3839">
            <w:pPr>
              <w:spacing w:line="276" w:lineRule="auto"/>
              <w:jc w:val="center"/>
              <w:rPr>
                <w:rFonts w:eastAsiaTheme="minorHAnsi"/>
                <w:color w:val="000000" w:themeColor="text1"/>
              </w:rPr>
            </w:pPr>
            <w:r w:rsidRPr="002A3839">
              <w:rPr>
                <w:color w:val="000000" w:themeColor="text1"/>
              </w:rPr>
              <w:t>6/19/12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Pr="00F30406" w:rsidRDefault="00072049" w:rsidP="00374261">
            <w:pPr>
              <w:spacing w:line="276" w:lineRule="auto"/>
              <w:rPr>
                <w:rFonts w:eastAsiaTheme="minorHAnsi"/>
              </w:rPr>
            </w:pPr>
            <w:r w:rsidRPr="00F30406">
              <w:t xml:space="preserve">Deadline for proposers to register for </w:t>
            </w:r>
            <w:r w:rsidR="00EA09FC" w:rsidRPr="00F30406">
              <w:t xml:space="preserve">Pre-Proposal </w:t>
            </w:r>
            <w:r w:rsidR="00FB7CFF">
              <w:t>{</w:t>
            </w:r>
            <w:r w:rsidR="00374261" w:rsidRPr="00F30406">
              <w:t>Q&amp;A</w:t>
            </w:r>
            <w:r w:rsidR="00FB7CFF">
              <w:t>}</w:t>
            </w:r>
            <w:r w:rsidR="00374261" w:rsidRPr="00F30406">
              <w:t xml:space="preserve"> </w:t>
            </w:r>
            <w:r w:rsidRPr="00F30406">
              <w:t>Conference</w:t>
            </w:r>
            <w:r w:rsidR="00EA09FC" w:rsidRPr="00F30406"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Default="002A3839">
            <w:pPr>
              <w:spacing w:line="276" w:lineRule="auto"/>
              <w:jc w:val="center"/>
              <w:rPr>
                <w:rFonts w:eastAsiaTheme="minorHAnsi"/>
                <w:color w:val="000000" w:themeColor="text1"/>
              </w:rPr>
            </w:pPr>
            <w:r w:rsidRPr="002A3839">
              <w:rPr>
                <w:color w:val="000000" w:themeColor="text1"/>
              </w:rPr>
              <w:t>6/27/12</w:t>
            </w:r>
          </w:p>
        </w:tc>
      </w:tr>
      <w:tr w:rsidR="00072049" w:rsidTr="009223FC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EA09FC">
            <w:pPr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Pr="00F30406" w:rsidRDefault="00072049" w:rsidP="009223FC">
            <w:pPr>
              <w:spacing w:line="276" w:lineRule="auto"/>
              <w:rPr>
                <w:rFonts w:eastAsiaTheme="minorHAnsi"/>
              </w:rPr>
            </w:pPr>
            <w:r w:rsidRPr="00F30406">
              <w:rPr>
                <w:rStyle w:val="CommentReference"/>
              </w:rPr>
              <w:t> </w:t>
            </w:r>
            <w:r w:rsidR="00EA09FC" w:rsidRPr="00F30406">
              <w:t xml:space="preserve">Pre-Proposal </w:t>
            </w:r>
            <w:r w:rsidRPr="00F30406">
              <w:t xml:space="preserve">Conference </w:t>
            </w:r>
            <w:r w:rsidR="009223FC" w:rsidRPr="00F30406">
              <w:t>(</w:t>
            </w:r>
            <w:r w:rsidR="009223FC" w:rsidRPr="00F30406">
              <w:rPr>
                <w:b/>
              </w:rPr>
              <w:t>2:00 PM – 5:00 PM PDT via Conference Call</w:t>
            </w:r>
            <w:r w:rsidR="00A7178B" w:rsidRPr="00F30406"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Default="009223FC">
            <w:pPr>
              <w:spacing w:line="276" w:lineRule="auto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7/9</w:t>
            </w:r>
            <w:r w:rsidR="002A3839" w:rsidRPr="002A3839">
              <w:rPr>
                <w:color w:val="000000" w:themeColor="text1"/>
              </w:rPr>
              <w:t>/12</w:t>
            </w:r>
          </w:p>
        </w:tc>
      </w:tr>
      <w:tr w:rsidR="00EA09FC" w:rsidTr="00EA09FC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>4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 w:rsidP="00EA09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 xml:space="preserve">Deadline for proposers to submit questions, requests for clarifications or modifications to </w:t>
            </w:r>
            <w:hyperlink r:id="rId18" w:history="1">
              <w:r w:rsidR="004B3068" w:rsidRPr="00347178">
                <w:rPr>
                  <w:rStyle w:val="Hyperlink"/>
                  <w:rFonts w:eastAsiaTheme="majorEastAsia"/>
                </w:rPr>
                <w:t>Solicitations@jud.ca.gov</w:t>
              </w:r>
            </w:hyperlink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 w:rsidP="008108F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2A3839">
              <w:rPr>
                <w:color w:val="000000" w:themeColor="text1"/>
              </w:rPr>
              <w:t>7/</w:t>
            </w:r>
            <w:r w:rsidR="008108FA">
              <w:rPr>
                <w:color w:val="000000" w:themeColor="text1"/>
              </w:rPr>
              <w:t>10</w:t>
            </w:r>
            <w:r w:rsidRPr="002A3839">
              <w:rPr>
                <w:color w:val="000000" w:themeColor="text1"/>
              </w:rPr>
              <w:t>/12</w:t>
            </w:r>
          </w:p>
        </w:tc>
      </w:tr>
      <w:tr w:rsidR="00EA09FC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 w:rsidP="003965E4">
            <w:pPr>
              <w:spacing w:line="276" w:lineRule="auto"/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Pr="002A3839" w:rsidRDefault="00EA09F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EA09FC" w:rsidTr="00EA09FC">
        <w:trPr>
          <w:trHeight w:val="3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Default="00EA09FC" w:rsidP="00C221A1">
            <w:pPr>
              <w:spacing w:line="276" w:lineRule="auto"/>
            </w:pPr>
            <w:r>
              <w:t xml:space="preserve">Post Vendor Questions and Court/AOC </w:t>
            </w:r>
            <w:r w:rsidR="00C221A1">
              <w:t>A</w:t>
            </w:r>
            <w:r>
              <w:t xml:space="preserve">nswers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9FC" w:rsidRPr="002A3839" w:rsidRDefault="008108FA" w:rsidP="008108F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7/12</w:t>
            </w:r>
            <w:r w:rsidR="00EA09FC" w:rsidRPr="002A3839">
              <w:rPr>
                <w:color w:val="000000" w:themeColor="text1"/>
              </w:rPr>
              <w:t>/12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EA09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 w:rsidP="003965E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t xml:space="preserve">Vendor </w:t>
            </w:r>
            <w:r w:rsidR="003965E4">
              <w:t>S</w:t>
            </w:r>
            <w:r w:rsidR="003965E4" w:rsidRPr="005A3E81">
              <w:rPr>
                <w:color w:val="000000" w:themeColor="text1"/>
              </w:rPr>
              <w:t xml:space="preserve">olicitation </w:t>
            </w:r>
            <w:r w:rsidR="003965E4">
              <w:rPr>
                <w:color w:val="000000" w:themeColor="text1"/>
              </w:rPr>
              <w:t>S</w:t>
            </w:r>
            <w:r w:rsidR="003965E4" w:rsidRPr="005A3E81">
              <w:rPr>
                <w:color w:val="000000" w:themeColor="text1"/>
              </w:rPr>
              <w:t>pecifications</w:t>
            </w:r>
            <w:r w:rsidR="003965E4">
              <w:rPr>
                <w:color w:val="000000" w:themeColor="text1"/>
              </w:rPr>
              <w:t xml:space="preserve"> </w:t>
            </w:r>
            <w:r>
              <w:t>Protest Deadline</w:t>
            </w:r>
            <w:r w:rsidR="008108FA"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Default="002A3839">
            <w:pPr>
              <w:spacing w:line="276" w:lineRule="auto"/>
              <w:jc w:val="center"/>
              <w:rPr>
                <w:rFonts w:ascii="Calibri" w:eastAsiaTheme="minorHAnsi" w:hAnsi="Calibri"/>
                <w:color w:val="000000" w:themeColor="text1"/>
                <w:sz w:val="22"/>
              </w:rPr>
            </w:pPr>
            <w:r w:rsidRPr="002A3839">
              <w:rPr>
                <w:color w:val="000000" w:themeColor="text1"/>
              </w:rPr>
              <w:t>7/</w:t>
            </w:r>
            <w:r w:rsidR="008108FA">
              <w:rPr>
                <w:color w:val="000000" w:themeColor="text1"/>
              </w:rPr>
              <w:t>13</w:t>
            </w:r>
            <w:r w:rsidRPr="002A3839">
              <w:rPr>
                <w:color w:val="000000" w:themeColor="text1"/>
              </w:rPr>
              <w:t>/12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72371D">
            <w:pPr>
              <w:spacing w:line="276" w:lineRule="auto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Proposal due date and time</w:t>
            </w:r>
            <w:r w:rsidR="009223FC">
              <w:t xml:space="preserve"> (</w:t>
            </w:r>
            <w:r w:rsidR="009223FC" w:rsidRPr="009223FC">
              <w:rPr>
                <w:b/>
                <w:color w:val="000000" w:themeColor="text1"/>
              </w:rPr>
              <w:t>4:30 PM, PDT</w:t>
            </w:r>
            <w:r w:rsidR="009223FC">
              <w:rPr>
                <w:color w:val="000000" w:themeColor="text1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Pr="00BE473B" w:rsidRDefault="00325EF0" w:rsidP="00325EF0">
            <w:pPr>
              <w:spacing w:line="276" w:lineRule="auto"/>
              <w:jc w:val="center"/>
              <w:rPr>
                <w:rFonts w:eastAsiaTheme="minorHAnsi"/>
                <w:color w:val="000000" w:themeColor="text1"/>
              </w:rPr>
            </w:pPr>
            <w:r w:rsidRPr="00BE473B">
              <w:rPr>
                <w:color w:val="000000" w:themeColor="text1"/>
              </w:rPr>
              <w:t>7/24/12</w:t>
            </w:r>
          </w:p>
        </w:tc>
      </w:tr>
      <w:tr w:rsidR="00072049" w:rsidTr="00072049">
        <w:trPr>
          <w:trHeight w:val="3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72371D">
            <w:pPr>
              <w:spacing w:line="276" w:lineRule="auto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 w:rsidP="00C221A1">
            <w:pPr>
              <w:spacing w:line="276" w:lineRule="auto"/>
              <w:rPr>
                <w:rFonts w:eastAsiaTheme="minorHAnsi"/>
              </w:rPr>
            </w:pPr>
            <w:r>
              <w:t>Invitations for Demonstrations</w:t>
            </w:r>
            <w:r w:rsidR="008108FA"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Pr="00BE473B" w:rsidRDefault="009223FC" w:rsidP="00F7678E">
            <w:pPr>
              <w:spacing w:line="276" w:lineRule="auto"/>
              <w:jc w:val="center"/>
              <w:rPr>
                <w:rFonts w:eastAsiaTheme="minorHAnsi"/>
                <w:color w:val="000000" w:themeColor="text1"/>
              </w:rPr>
            </w:pPr>
            <w:r w:rsidRPr="00BE473B">
              <w:rPr>
                <w:color w:val="000000" w:themeColor="text1"/>
              </w:rPr>
              <w:t>8/1/12</w:t>
            </w:r>
            <w:r w:rsidR="00196139" w:rsidRPr="00BE473B">
              <w:rPr>
                <w:color w:val="000000" w:themeColor="text1"/>
              </w:rPr>
              <w:t>-</w:t>
            </w:r>
            <w:r w:rsidR="00F7678E">
              <w:rPr>
                <w:color w:val="000000" w:themeColor="text1"/>
              </w:rPr>
              <w:t>8/7/12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72371D">
            <w:pPr>
              <w:spacing w:line="276" w:lineRule="auto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eastAsiaTheme="minorHAnsi"/>
              </w:rPr>
            </w:pPr>
            <w:r>
              <w:t>Presentations (solution demonstrations and interviews)</w:t>
            </w:r>
            <w:r w:rsidR="00F7678E"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8E" w:rsidRPr="00F7678E" w:rsidRDefault="00F7678E" w:rsidP="00CF2D42">
            <w:pPr>
              <w:spacing w:line="276" w:lineRule="auto"/>
              <w:jc w:val="center"/>
              <w:rPr>
                <w:rFonts w:eastAsiaTheme="minorHAnsi"/>
                <w:b/>
                <w:color w:val="0000FF"/>
                <w:u w:val="single"/>
              </w:rPr>
            </w:pPr>
            <w:r w:rsidRPr="00CF2D42">
              <w:rPr>
                <w:strike/>
                <w:color w:val="FF0000"/>
              </w:rPr>
              <w:t>8/8/12</w:t>
            </w:r>
            <w:r w:rsidR="00CF2D42">
              <w:rPr>
                <w:color w:val="000000" w:themeColor="text1"/>
              </w:rPr>
              <w:t xml:space="preserve"> </w:t>
            </w:r>
            <w:r w:rsidR="00CF2D42">
              <w:rPr>
                <w:b/>
                <w:color w:val="0000FF"/>
                <w:u w:val="single"/>
              </w:rPr>
              <w:t>TBD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Pr="00072049" w:rsidRDefault="0072371D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Pr="00072049" w:rsidRDefault="00072049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072049">
              <w:rPr>
                <w:color w:val="000000" w:themeColor="text1"/>
              </w:rPr>
              <w:t>Pre-Pricing evaluation</w:t>
            </w:r>
            <w:r w:rsidRPr="00072049">
              <w:rPr>
                <w:rStyle w:val="CommentReference"/>
                <w:color w:val="000000" w:themeColor="text1"/>
                <w:sz w:val="20"/>
                <w:szCs w:val="20"/>
              </w:rPr>
              <w:t> </w:t>
            </w:r>
            <w:r w:rsidRPr="00072049">
              <w:rPr>
                <w:rStyle w:val="CommentReference"/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Pr="00F7678E" w:rsidRDefault="00325EF0">
            <w:pPr>
              <w:spacing w:line="276" w:lineRule="auto"/>
              <w:jc w:val="center"/>
              <w:rPr>
                <w:strike/>
                <w:color w:val="FF0000"/>
              </w:rPr>
            </w:pPr>
            <w:r w:rsidRPr="00F7678E">
              <w:rPr>
                <w:strike/>
                <w:color w:val="FF0000"/>
              </w:rPr>
              <w:t>8/15/12-8/20/12</w:t>
            </w:r>
          </w:p>
          <w:p w:rsidR="00F7678E" w:rsidRPr="00BE473B" w:rsidRDefault="00CF2D42" w:rsidP="00F7678E">
            <w:pPr>
              <w:spacing w:line="276" w:lineRule="auto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b/>
                <w:color w:val="0000FF"/>
                <w:u w:val="single"/>
              </w:rPr>
              <w:t>TBD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72371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t>Cost Portion of Proposals Public opening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Pr="00F7678E" w:rsidRDefault="00752E5A">
            <w:pPr>
              <w:spacing w:line="276" w:lineRule="auto"/>
              <w:jc w:val="center"/>
              <w:rPr>
                <w:strike/>
                <w:color w:val="FF0000"/>
              </w:rPr>
            </w:pPr>
            <w:r w:rsidRPr="00F7678E">
              <w:rPr>
                <w:strike/>
                <w:color w:val="FF0000"/>
              </w:rPr>
              <w:t>8/21/12</w:t>
            </w:r>
          </w:p>
          <w:p w:rsidR="00F7678E" w:rsidRPr="00F7678E" w:rsidRDefault="00CF2D42">
            <w:pPr>
              <w:spacing w:line="276" w:lineRule="auto"/>
              <w:jc w:val="center"/>
              <w:rPr>
                <w:rFonts w:ascii="Calibri" w:eastAsiaTheme="minorHAnsi" w:hAnsi="Calibri"/>
                <w:b/>
                <w:color w:val="0000FF"/>
                <w:sz w:val="22"/>
                <w:u w:val="single"/>
              </w:rPr>
            </w:pPr>
            <w:r>
              <w:rPr>
                <w:b/>
                <w:color w:val="0000FF"/>
                <w:u w:val="single"/>
              </w:rPr>
              <w:t>TBD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72371D">
            <w:pPr>
              <w:spacing w:line="276" w:lineRule="auto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 w:rsidP="00CF2D42">
            <w:pPr>
              <w:spacing w:line="276" w:lineRule="auto"/>
              <w:rPr>
                <w:rFonts w:eastAsiaTheme="minorHAnsi"/>
              </w:rPr>
            </w:pPr>
            <w:r>
              <w:t xml:space="preserve">Notice of intent to award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Pr="00F7678E" w:rsidRDefault="00752E5A">
            <w:pPr>
              <w:spacing w:line="276" w:lineRule="auto"/>
              <w:jc w:val="center"/>
              <w:rPr>
                <w:strike/>
                <w:color w:val="FF0000"/>
              </w:rPr>
            </w:pPr>
            <w:r w:rsidRPr="00F7678E">
              <w:rPr>
                <w:strike/>
                <w:color w:val="FF0000"/>
              </w:rPr>
              <w:t>8/29/12</w:t>
            </w:r>
          </w:p>
          <w:p w:rsidR="00F7678E" w:rsidRPr="00F7678E" w:rsidRDefault="00CF2D42">
            <w:pPr>
              <w:spacing w:line="276" w:lineRule="auto"/>
              <w:jc w:val="center"/>
              <w:rPr>
                <w:rFonts w:eastAsiaTheme="minorHAnsi"/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TBD</w:t>
            </w:r>
          </w:p>
        </w:tc>
      </w:tr>
      <w:tr w:rsidR="00072049" w:rsidTr="0007204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72371D">
            <w:pPr>
              <w:spacing w:line="276" w:lineRule="auto"/>
              <w:rPr>
                <w:rFonts w:eastAsiaTheme="minorHAnsi"/>
              </w:rPr>
            </w:pPr>
            <w:r>
              <w:t>13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49" w:rsidRDefault="00072049" w:rsidP="00CF2D42">
            <w:pPr>
              <w:spacing w:line="276" w:lineRule="auto"/>
              <w:rPr>
                <w:rFonts w:eastAsiaTheme="minorHAnsi"/>
              </w:rPr>
            </w:pPr>
            <w:r>
              <w:t>Execution of contract  between vendor and San Luis Obispo Superior Court</w:t>
            </w:r>
            <w:r w:rsidR="00F7678E"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B5" w:rsidRPr="00F7678E" w:rsidRDefault="00752E5A">
            <w:pPr>
              <w:spacing w:line="276" w:lineRule="auto"/>
              <w:jc w:val="center"/>
              <w:rPr>
                <w:strike/>
                <w:color w:val="FF0000"/>
              </w:rPr>
            </w:pPr>
            <w:r w:rsidRPr="00F7678E">
              <w:rPr>
                <w:strike/>
                <w:color w:val="FF0000"/>
              </w:rPr>
              <w:t>9/24/12</w:t>
            </w:r>
          </w:p>
          <w:p w:rsidR="00F7678E" w:rsidRPr="00F7678E" w:rsidRDefault="00E935DA">
            <w:pPr>
              <w:spacing w:line="276" w:lineRule="auto"/>
              <w:jc w:val="center"/>
              <w:rPr>
                <w:rFonts w:eastAsiaTheme="minorHAnsi"/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TBD</w:t>
            </w:r>
          </w:p>
        </w:tc>
      </w:tr>
    </w:tbl>
    <w:p w:rsidR="00EA09FC" w:rsidRDefault="00EA09FC" w:rsidP="00EA09FC">
      <w:pPr>
        <w:keepNext/>
        <w:ind w:left="720" w:hanging="720"/>
        <w:rPr>
          <w:b/>
          <w:bCs/>
        </w:rPr>
      </w:pPr>
    </w:p>
    <w:p w:rsidR="005172C1" w:rsidRPr="00C1014F" w:rsidRDefault="005172C1" w:rsidP="00BD65B9">
      <w:pPr>
        <w:keepNext/>
        <w:ind w:left="720" w:hanging="720"/>
        <w:rPr>
          <w:b/>
          <w:bCs/>
          <w:color w:val="C00000"/>
        </w:rPr>
      </w:pPr>
    </w:p>
    <w:p w:rsidR="005172C1" w:rsidRPr="005172C1" w:rsidRDefault="0075210A" w:rsidP="005172C1">
      <w:pPr>
        <w:pStyle w:val="ListParagraph"/>
        <w:keepNext/>
        <w:ind w:hanging="360"/>
        <w:rPr>
          <w:b/>
          <w:bCs/>
        </w:rPr>
      </w:pPr>
      <w:proofErr w:type="gramStart"/>
      <w:r w:rsidRPr="0075210A">
        <w:rPr>
          <w:bCs/>
        </w:rPr>
        <w:t>I.</w:t>
      </w:r>
      <w:r w:rsidR="00BE473B">
        <w:rPr>
          <w:bCs/>
        </w:rPr>
        <w:t>B</w:t>
      </w:r>
      <w:r w:rsidR="005172C1" w:rsidRPr="0075210A">
        <w:rPr>
          <w:bCs/>
        </w:rPr>
        <w:t>.</w:t>
      </w:r>
      <w:proofErr w:type="gramEnd"/>
      <w:r w:rsidR="005172C1" w:rsidRPr="0075210A">
        <w:rPr>
          <w:bCs/>
        </w:rPr>
        <w:t xml:space="preserve"> </w:t>
      </w:r>
      <w:r w:rsidR="005172C1">
        <w:rPr>
          <w:b/>
          <w:bCs/>
        </w:rPr>
        <w:t xml:space="preserve"> </w:t>
      </w:r>
      <w:r w:rsidR="005172C1" w:rsidRPr="0075210A">
        <w:rPr>
          <w:b/>
          <w:bCs/>
          <w:i/>
        </w:rPr>
        <w:t>Section 10.0 is modified as follows.</w:t>
      </w:r>
    </w:p>
    <w:p w:rsidR="00F7678E" w:rsidRDefault="00F7678E" w:rsidP="005172C1">
      <w:pPr>
        <w:keepNext/>
        <w:ind w:left="900" w:hanging="360"/>
        <w:rPr>
          <w:b/>
          <w:bCs/>
        </w:rPr>
      </w:pPr>
    </w:p>
    <w:p w:rsidR="00BD65B9" w:rsidRDefault="00E11AF9" w:rsidP="005172C1">
      <w:pPr>
        <w:keepNext/>
        <w:ind w:left="900" w:hanging="360"/>
        <w:rPr>
          <w:b/>
          <w:bCs/>
        </w:rPr>
      </w:pPr>
      <w:r>
        <w:rPr>
          <w:b/>
          <w:bCs/>
        </w:rPr>
        <w:t>10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:rsidR="00BD65B9" w:rsidRDefault="00BD65B9" w:rsidP="00BD65B9">
      <w:pPr>
        <w:keepNext/>
      </w:pPr>
    </w:p>
    <w:p w:rsidR="00382173" w:rsidRDefault="00626AC2" w:rsidP="0020724B">
      <w:pPr>
        <w:keepNext/>
        <w:ind w:left="720"/>
      </w:pPr>
      <w:r>
        <w:t>The cost portion of prop</w:t>
      </w:r>
      <w:r w:rsidR="001974E1">
        <w:t xml:space="preserve">osals will be </w:t>
      </w:r>
      <w:r w:rsidR="00A7178B" w:rsidRPr="004E6603">
        <w:t>publicly opened</w:t>
      </w:r>
      <w:r w:rsidR="00A7178B" w:rsidRPr="00CF2D42">
        <w:rPr>
          <w:strike/>
          <w:color w:val="FF0000"/>
        </w:rPr>
        <w:t xml:space="preserve"> on </w:t>
      </w:r>
      <w:r w:rsidR="00E10BAA" w:rsidRPr="00F7678E">
        <w:rPr>
          <w:strike/>
          <w:color w:val="FF0000"/>
        </w:rPr>
        <w:t>08/21/12</w:t>
      </w:r>
      <w:r w:rsidR="00E10BAA">
        <w:rPr>
          <w:color w:val="000000" w:themeColor="text1"/>
        </w:rPr>
        <w:t xml:space="preserve"> </w:t>
      </w:r>
      <w:r w:rsidR="00A7178B" w:rsidRPr="004E6603">
        <w:t>at</w:t>
      </w:r>
      <w:r w:rsidR="004E6603">
        <w:t xml:space="preserve"> the AOC</w:t>
      </w:r>
      <w:r w:rsidR="00F7678E">
        <w:t xml:space="preserve">, </w:t>
      </w:r>
      <w:r w:rsidR="004E6603">
        <w:t xml:space="preserve">in San Francisco, California. </w:t>
      </w:r>
      <w:r w:rsidR="00651E8D" w:rsidRPr="00AC44D4">
        <w:t>At the time proposal</w:t>
      </w:r>
      <w:r w:rsidR="00651E8D">
        <w:t>s are opened</w:t>
      </w:r>
      <w:r w:rsidR="00651E8D" w:rsidRPr="00AC44D4">
        <w:t xml:space="preserve">, each proposal will be checked for the presence or absence of </w:t>
      </w:r>
      <w:r w:rsidR="00651E8D">
        <w:t xml:space="preserve">the required proposal contents.  </w:t>
      </w:r>
    </w:p>
    <w:p w:rsidR="00651E8D" w:rsidRPr="00382173" w:rsidRDefault="00651E8D" w:rsidP="00382173">
      <w:pPr>
        <w:widowControl w:val="0"/>
        <w:ind w:left="720"/>
        <w:rPr>
          <w:color w:val="FF0000"/>
        </w:rPr>
      </w:pPr>
      <w:r w:rsidRPr="00AC44D4">
        <w:tab/>
      </w:r>
    </w:p>
    <w:p w:rsidR="00651E8D" w:rsidRPr="0078233D" w:rsidRDefault="00651E8D" w:rsidP="00651E8D">
      <w:pPr>
        <w:numPr>
          <w:ilvl w:val="1"/>
          <w:numId w:val="40"/>
        </w:numPr>
        <w:contextualSpacing/>
      </w:pPr>
      <w:r w:rsidRPr="0078233D">
        <w:t xml:space="preserve">Proposals that contain false or misleading statements may be rejected if, in the opinion of the </w:t>
      </w:r>
      <w:r>
        <w:t xml:space="preserve">Court or the </w:t>
      </w:r>
      <w:r w:rsidRPr="0078233D">
        <w:t>AOC, the information was intended to mislead the state regarding a requiremen</w:t>
      </w:r>
      <w:r>
        <w:t>t of the solicitation document.</w:t>
      </w:r>
    </w:p>
    <w:p w:rsidR="00651E8D" w:rsidRPr="0078233D" w:rsidRDefault="00651E8D" w:rsidP="00651E8D">
      <w:pPr>
        <w:numPr>
          <w:ilvl w:val="1"/>
          <w:numId w:val="40"/>
        </w:numPr>
        <w:contextualSpacing/>
      </w:pPr>
      <w:r w:rsidRPr="0078233D">
        <w:t xml:space="preserve">If a proposal fails to meet a material solicitation document requirement, the proposal may be rejected. A deviation is material to the extent that a response is not in substantial accord with solicitation document requirements. Material deviations cannot be waived. Immaterial deviations may </w:t>
      </w:r>
      <w:r w:rsidR="00D82C4E">
        <w:t xml:space="preserve">also </w:t>
      </w:r>
      <w:r w:rsidRPr="0078233D">
        <w:t>c</w:t>
      </w:r>
      <w:r>
        <w:t>ause a proposal to be rejected.</w:t>
      </w:r>
    </w:p>
    <w:p w:rsidR="00651E8D" w:rsidRPr="0078233D" w:rsidRDefault="00651E8D" w:rsidP="00651E8D">
      <w:pPr>
        <w:numPr>
          <w:ilvl w:val="1"/>
          <w:numId w:val="40"/>
        </w:numPr>
        <w:contextualSpacing/>
      </w:pPr>
      <w:r w:rsidRPr="0078233D">
        <w:t xml:space="preserve">Cost sheets will be checked only if a proposal is determined to be otherwise qualified. All figures entered on the cost </w:t>
      </w:r>
      <w:r>
        <w:t>sheets must be clearly legible.</w:t>
      </w:r>
    </w:p>
    <w:p w:rsidR="00651E8D" w:rsidRPr="0078233D" w:rsidRDefault="00651E8D" w:rsidP="00651E8D">
      <w:pPr>
        <w:numPr>
          <w:ilvl w:val="1"/>
          <w:numId w:val="40"/>
        </w:numPr>
        <w:contextualSpacing/>
      </w:pPr>
      <w:r w:rsidRPr="0078233D">
        <w:t>During the evaluation process, the</w:t>
      </w:r>
      <w:r>
        <w:t xml:space="preserve"> Court or the</w:t>
      </w:r>
      <w:r w:rsidRPr="0078233D">
        <w:t xml:space="preserve"> AOC may require a vendor's representative to answer questions with regard to the vendor’s proposal. Failure of a vendor to respond and demonstrate in a timely manner that the claims made in its proposal are, in fact, true may be sufficient cause for de</w:t>
      </w:r>
      <w:r>
        <w:t>eming a proposal nonresponsive.</w:t>
      </w:r>
    </w:p>
    <w:p w:rsidR="00651E8D" w:rsidRDefault="00651E8D" w:rsidP="00651E8D">
      <w:pPr>
        <w:numPr>
          <w:ilvl w:val="1"/>
          <w:numId w:val="40"/>
        </w:numPr>
        <w:contextualSpacing/>
      </w:pPr>
      <w:r w:rsidRPr="0078233D">
        <w:t>A vendor is eligible for a total of 100 points for the written proposal.</w:t>
      </w:r>
    </w:p>
    <w:p w:rsidR="005856C3" w:rsidRDefault="005856C3" w:rsidP="00651E8D">
      <w:pPr>
        <w:numPr>
          <w:ilvl w:val="1"/>
          <w:numId w:val="40"/>
        </w:numPr>
        <w:contextualSpacing/>
      </w:pPr>
      <w:r w:rsidRPr="00E51D35">
        <w:t xml:space="preserve">Written proposals will be evaluated by the </w:t>
      </w:r>
      <w:r>
        <w:t xml:space="preserve">Court and the AOC per the following </w:t>
      </w:r>
      <w:r w:rsidRPr="00E51D35">
        <w:t>selection criteria and weightin</w:t>
      </w:r>
      <w:r>
        <w:t>g:</w:t>
      </w:r>
    </w:p>
    <w:p w:rsidR="005856C3" w:rsidRDefault="005856C3" w:rsidP="005856C3">
      <w:pPr>
        <w:ind w:left="1440"/>
        <w:contextualSpacing/>
      </w:pPr>
    </w:p>
    <w:p w:rsidR="00E27A05" w:rsidRDefault="00E27A05" w:rsidP="005856C3">
      <w:pPr>
        <w:ind w:left="1440"/>
        <w:contextualSpacing/>
      </w:pPr>
    </w:p>
    <w:tbl>
      <w:tblPr>
        <w:tblW w:w="7920" w:type="dxa"/>
        <w:tblInd w:w="828" w:type="dxa"/>
        <w:tblLook w:val="04A0"/>
      </w:tblPr>
      <w:tblGrid>
        <w:gridCol w:w="1977"/>
        <w:gridCol w:w="2871"/>
        <w:gridCol w:w="1816"/>
        <w:gridCol w:w="1256"/>
      </w:tblGrid>
      <w:tr w:rsidR="004824F0" w:rsidTr="006946BF">
        <w:trPr>
          <w:trHeight w:val="78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Default="00965215" w:rsidP="005856C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ab/>
            </w:r>
            <w: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Category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2C4E" w:rsidRDefault="00D82C4E" w:rsidP="00D82C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4F0" w:rsidRDefault="004824F0" w:rsidP="00D82C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612D35" w:rsidRDefault="004824F0" w:rsidP="000438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D35">
              <w:rPr>
                <w:rFonts w:ascii="Arial" w:hAnsi="Arial" w:cs="Arial"/>
                <w:b/>
                <w:bCs/>
                <w:color w:val="000000"/>
              </w:rPr>
              <w:t>Total Possible Points</w:t>
            </w:r>
          </w:p>
        </w:tc>
      </w:tr>
      <w:tr w:rsidR="004824F0" w:rsidTr="006946BF">
        <w:trPr>
          <w:trHeight w:val="9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Contract Terms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824F0" w:rsidRPr="00EE7786" w:rsidRDefault="004824F0" w:rsidP="00D342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 xml:space="preserve">Degree to which the Proposal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accepts contract terms in </w:t>
            </w:r>
            <w:r w:rsidR="009045C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ttachment 2 including compliance with regulatory and statutory requirements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4F0" w:rsidRDefault="004824F0" w:rsidP="000438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4824F0" w:rsidRDefault="004824F0" w:rsidP="000438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824F0" w:rsidTr="00C221A1">
        <w:trPr>
          <w:trHeight w:val="9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Meeting Business Requirements</w:t>
            </w:r>
            <w:r w:rsidR="00D82C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516EB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</w:p>
          <w:p w:rsidR="004824F0" w:rsidRPr="00EE7786" w:rsidRDefault="004824F0" w:rsidP="00043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Deployment Services</w:t>
            </w:r>
            <w:r w:rsidR="00D73573">
              <w:rPr>
                <w:rFonts w:ascii="Arial" w:hAnsi="Arial" w:cs="Arial"/>
                <w:color w:val="000000"/>
                <w:sz w:val="18"/>
                <w:szCs w:val="18"/>
              </w:rPr>
              <w:t xml:space="preserve"> deliverables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Degree to which the vendor’s proposed solution meets the functional requirements</w:t>
            </w:r>
          </w:p>
          <w:p w:rsidR="004824F0" w:rsidRPr="00EF2FFA" w:rsidRDefault="004824F0" w:rsidP="000438B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4F0" w:rsidRDefault="004824F0" w:rsidP="000438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4824F0" w:rsidRDefault="009317B7" w:rsidP="000438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824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24F0" w:rsidTr="00C221A1">
        <w:trPr>
          <w:trHeight w:val="12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Deployment Services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Proposal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Ability to manage and execute a successful implementation and smooth migration from any existing platforms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4F0" w:rsidRPr="00D82C4E" w:rsidRDefault="009F321C" w:rsidP="000438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21C">
              <w:rPr>
                <w:rFonts w:ascii="Arial" w:hAnsi="Arial" w:cs="Arial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4824F0" w:rsidRPr="00EE7786" w:rsidRDefault="009317B7" w:rsidP="000438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824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824F0" w:rsidTr="00C221A1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Purchase Price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EE7786" w:rsidRDefault="004824F0" w:rsidP="00043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Overall Cost, including any ongoing </w:t>
            </w: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maintenance </w:t>
            </w:r>
            <w:r w:rsidRPr="00EE7786">
              <w:rPr>
                <w:rFonts w:ascii="Arial" w:hAnsi="Arial" w:cs="Arial"/>
                <w:color w:val="000000"/>
                <w:sz w:val="18"/>
                <w:szCs w:val="18"/>
              </w:rPr>
              <w:t>that may be required by the Court or its agents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4F0" w:rsidRDefault="004824F0" w:rsidP="000438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4824F0" w:rsidRDefault="004824F0" w:rsidP="000438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824F0" w:rsidTr="00C221A1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824F0" w:rsidRDefault="004824F0" w:rsidP="000438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824F0" w:rsidRDefault="004824F0" w:rsidP="00043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4F0" w:rsidRDefault="004824F0" w:rsidP="000438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F0" w:rsidRDefault="004824F0" w:rsidP="000438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24F0" w:rsidTr="00C221A1">
        <w:trPr>
          <w:trHeight w:val="64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Pr="00BF2C63" w:rsidRDefault="004824F0" w:rsidP="000438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2C63">
              <w:rPr>
                <w:rFonts w:ascii="Arial" w:hAnsi="Arial" w:cs="Arial"/>
                <w:b/>
                <w:color w:val="000000"/>
              </w:rPr>
              <w:t>Grand Total Points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Default="004824F0" w:rsidP="00043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4F0" w:rsidRDefault="004824F0" w:rsidP="000438B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4824F0" w:rsidRPr="00B2165D" w:rsidRDefault="004824F0" w:rsidP="000438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165D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C46E3C" w:rsidRDefault="00C46E3C">
      <w:pPr>
        <w:contextualSpacing/>
      </w:pPr>
    </w:p>
    <w:p w:rsidR="001C0507" w:rsidRDefault="001C0507">
      <w:pPr>
        <w:ind w:left="720"/>
      </w:pPr>
    </w:p>
    <w:p w:rsidR="001C0507" w:rsidRDefault="001C0507">
      <w:pPr>
        <w:ind w:left="720"/>
      </w:pPr>
    </w:p>
    <w:p w:rsidR="001C0507" w:rsidRDefault="001C0507">
      <w:pPr>
        <w:ind w:left="720"/>
      </w:pPr>
    </w:p>
    <w:p w:rsidR="001C0507" w:rsidRDefault="001C0507">
      <w:pPr>
        <w:ind w:left="720"/>
      </w:pPr>
    </w:p>
    <w:p w:rsidR="001C0507" w:rsidRPr="0075210A" w:rsidRDefault="001C0507" w:rsidP="0075210A">
      <w:pPr>
        <w:pStyle w:val="RFPText"/>
      </w:pPr>
      <w:r w:rsidRPr="0075210A">
        <w:t>END OF ADDENDUM</w:t>
      </w:r>
    </w:p>
    <w:p w:rsidR="001C0507" w:rsidRDefault="001C0507">
      <w:pPr>
        <w:ind w:left="720"/>
      </w:pPr>
    </w:p>
    <w:sectPr w:rsidR="001C0507" w:rsidSect="006946B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Borders w:offsetFrom="page">
        <w:bottom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E1" w:rsidRDefault="005864E1" w:rsidP="00C37FF7">
      <w:r>
        <w:separator/>
      </w:r>
    </w:p>
  </w:endnote>
  <w:endnote w:type="continuationSeparator" w:id="0">
    <w:p w:rsidR="005864E1" w:rsidRDefault="005864E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3039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5864E1" w:rsidRPr="00827B70" w:rsidRDefault="005864E1">
            <w:pPr>
              <w:pStyle w:val="Footer"/>
              <w:jc w:val="right"/>
              <w:rPr>
                <w:sz w:val="20"/>
                <w:szCs w:val="20"/>
              </w:rPr>
            </w:pPr>
            <w:r w:rsidRPr="00827B70">
              <w:rPr>
                <w:sz w:val="20"/>
                <w:szCs w:val="20"/>
              </w:rPr>
              <w:t xml:space="preserve">Page </w:t>
            </w:r>
            <w:r w:rsidR="005A72FE" w:rsidRPr="00827B70">
              <w:rPr>
                <w:sz w:val="20"/>
                <w:szCs w:val="20"/>
              </w:rPr>
              <w:fldChar w:fldCharType="begin"/>
            </w:r>
            <w:r w:rsidRPr="00827B70">
              <w:rPr>
                <w:sz w:val="20"/>
                <w:szCs w:val="20"/>
              </w:rPr>
              <w:instrText xml:space="preserve"> PAGE </w:instrText>
            </w:r>
            <w:r w:rsidR="005A72FE" w:rsidRPr="00827B70">
              <w:rPr>
                <w:sz w:val="20"/>
                <w:szCs w:val="20"/>
              </w:rPr>
              <w:fldChar w:fldCharType="separate"/>
            </w:r>
            <w:r w:rsidR="003E3AD6">
              <w:rPr>
                <w:noProof/>
                <w:sz w:val="20"/>
                <w:szCs w:val="20"/>
              </w:rPr>
              <w:t>2</w:t>
            </w:r>
            <w:r w:rsidR="005A72FE" w:rsidRPr="00827B70">
              <w:rPr>
                <w:sz w:val="20"/>
                <w:szCs w:val="20"/>
              </w:rPr>
              <w:fldChar w:fldCharType="end"/>
            </w:r>
            <w:r w:rsidRPr="00827B70">
              <w:rPr>
                <w:sz w:val="20"/>
                <w:szCs w:val="20"/>
              </w:rPr>
              <w:t xml:space="preserve"> of </w:t>
            </w:r>
            <w:r w:rsidR="005A72FE" w:rsidRPr="00827B70">
              <w:rPr>
                <w:sz w:val="20"/>
                <w:szCs w:val="20"/>
              </w:rPr>
              <w:fldChar w:fldCharType="begin"/>
            </w:r>
            <w:r w:rsidRPr="00827B70">
              <w:rPr>
                <w:sz w:val="20"/>
                <w:szCs w:val="20"/>
              </w:rPr>
              <w:instrText xml:space="preserve"> NUMPAGES  </w:instrText>
            </w:r>
            <w:r w:rsidR="005A72FE" w:rsidRPr="00827B70">
              <w:rPr>
                <w:sz w:val="20"/>
                <w:szCs w:val="20"/>
              </w:rPr>
              <w:fldChar w:fldCharType="separate"/>
            </w:r>
            <w:r w:rsidR="003E3AD6">
              <w:rPr>
                <w:noProof/>
                <w:sz w:val="20"/>
                <w:szCs w:val="20"/>
              </w:rPr>
              <w:t>4</w:t>
            </w:r>
            <w:r w:rsidR="005A72FE" w:rsidRPr="00827B7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864E1" w:rsidRDefault="00586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E1" w:rsidRDefault="005864E1" w:rsidP="00C37FF7">
      <w:r>
        <w:separator/>
      </w:r>
    </w:p>
  </w:footnote>
  <w:footnote w:type="continuationSeparator" w:id="0">
    <w:p w:rsidR="005864E1" w:rsidRDefault="005864E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E1" w:rsidRPr="00827B70" w:rsidRDefault="005864E1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 xml:space="preserve">Project Title: </w:t>
    </w:r>
    <w:r w:rsidRPr="00827B70">
      <w:rPr>
        <w:i/>
        <w:color w:val="000000" w:themeColor="text1"/>
        <w:sz w:val="22"/>
        <w:szCs w:val="22"/>
      </w:rPr>
      <w:t>San Luis Obispo Case Management System Replacement</w:t>
    </w:r>
  </w:p>
  <w:p w:rsidR="005864E1" w:rsidRDefault="005864E1" w:rsidP="00C37FF7">
    <w:pPr>
      <w:pStyle w:val="CommentText"/>
      <w:tabs>
        <w:tab w:val="left" w:pos="1242"/>
      </w:tabs>
      <w:ind w:right="252"/>
      <w:jc w:val="both"/>
      <w:rPr>
        <w:i/>
        <w:color w:val="000000" w:themeColor="text1"/>
        <w:sz w:val="22"/>
        <w:szCs w:val="22"/>
      </w:rPr>
    </w:pPr>
    <w:r w:rsidRPr="00827B70">
      <w:rPr>
        <w:i/>
        <w:color w:val="000000" w:themeColor="text1"/>
        <w:sz w:val="22"/>
        <w:szCs w:val="22"/>
      </w:rPr>
      <w:t>RFP#</w:t>
    </w:r>
    <w:r>
      <w:rPr>
        <w:i/>
        <w:color w:val="000000" w:themeColor="text1"/>
        <w:sz w:val="22"/>
        <w:szCs w:val="22"/>
      </w:rPr>
      <w:t>:</w:t>
    </w:r>
    <w:r w:rsidRPr="00827B70">
      <w:rPr>
        <w:i/>
        <w:color w:val="000000" w:themeColor="text1"/>
        <w:sz w:val="22"/>
        <w:szCs w:val="22"/>
      </w:rPr>
      <w:t xml:space="preserve"> ISD – 06192012 </w:t>
    </w:r>
    <w:r w:rsidR="00592301">
      <w:rPr>
        <w:i/>
        <w:color w:val="000000" w:themeColor="text1"/>
        <w:sz w:val="22"/>
        <w:szCs w:val="22"/>
      </w:rPr>
      <w:t>–</w:t>
    </w:r>
    <w:r w:rsidRPr="00827B70">
      <w:rPr>
        <w:i/>
        <w:color w:val="000000" w:themeColor="text1"/>
        <w:sz w:val="22"/>
        <w:szCs w:val="22"/>
      </w:rPr>
      <w:t xml:space="preserve"> SLO</w:t>
    </w:r>
  </w:p>
  <w:p w:rsidR="00592301" w:rsidRPr="00827B70" w:rsidRDefault="00592301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>Addendum #</w:t>
    </w:r>
    <w:r w:rsidR="00BE473B">
      <w:rPr>
        <w:i/>
        <w:color w:val="000000" w:themeColor="text1"/>
        <w:sz w:val="22"/>
        <w:szCs w:val="22"/>
      </w:rPr>
      <w:t>2</w:t>
    </w:r>
  </w:p>
  <w:p w:rsidR="005864E1" w:rsidRDefault="005864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493"/>
    <w:multiLevelType w:val="hybridMultilevel"/>
    <w:tmpl w:val="6128B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CC94C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93C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77BE3"/>
    <w:multiLevelType w:val="hybridMultilevel"/>
    <w:tmpl w:val="15689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5A0E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08FE19A3"/>
    <w:multiLevelType w:val="multilevel"/>
    <w:tmpl w:val="5BA4F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00442D"/>
    <w:multiLevelType w:val="hybridMultilevel"/>
    <w:tmpl w:val="028E6C28"/>
    <w:lvl w:ilvl="0" w:tplc="B7DC062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B1728B2"/>
    <w:multiLevelType w:val="hybridMultilevel"/>
    <w:tmpl w:val="FD6C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3591B"/>
    <w:multiLevelType w:val="hybridMultilevel"/>
    <w:tmpl w:val="41C23B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0F5C7F7B"/>
    <w:multiLevelType w:val="hybridMultilevel"/>
    <w:tmpl w:val="F1A02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A6367"/>
    <w:multiLevelType w:val="hybridMultilevel"/>
    <w:tmpl w:val="FF6A313A"/>
    <w:lvl w:ilvl="0" w:tplc="2F646DF6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145252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A851AA"/>
    <w:multiLevelType w:val="multilevel"/>
    <w:tmpl w:val="66CAC6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C970D03"/>
    <w:multiLevelType w:val="hybridMultilevel"/>
    <w:tmpl w:val="AD2625B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1CE6659E"/>
    <w:multiLevelType w:val="hybridMultilevel"/>
    <w:tmpl w:val="63B20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F446E"/>
    <w:multiLevelType w:val="hybridMultilevel"/>
    <w:tmpl w:val="E31EA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ED02318"/>
    <w:multiLevelType w:val="hybridMultilevel"/>
    <w:tmpl w:val="19EE2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8">
    <w:nsid w:val="320114EF"/>
    <w:multiLevelType w:val="hybridMultilevel"/>
    <w:tmpl w:val="86B8B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30767C"/>
    <w:multiLevelType w:val="hybridMultilevel"/>
    <w:tmpl w:val="F93C0528"/>
    <w:lvl w:ilvl="0" w:tplc="73785F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2B5F48"/>
    <w:multiLevelType w:val="hybridMultilevel"/>
    <w:tmpl w:val="BCAC8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F30EF"/>
    <w:multiLevelType w:val="hybridMultilevel"/>
    <w:tmpl w:val="099A9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B83A7E"/>
    <w:multiLevelType w:val="hybridMultilevel"/>
    <w:tmpl w:val="7EA60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7E3445"/>
    <w:multiLevelType w:val="hybridMultilevel"/>
    <w:tmpl w:val="E5C8C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DA6E45"/>
    <w:multiLevelType w:val="hybridMultilevel"/>
    <w:tmpl w:val="DD90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9616048"/>
    <w:multiLevelType w:val="hybridMultilevel"/>
    <w:tmpl w:val="7B8AF89A"/>
    <w:lvl w:ilvl="0" w:tplc="7BB42F7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8670FA"/>
    <w:multiLevelType w:val="hybridMultilevel"/>
    <w:tmpl w:val="28CC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1F5EBD"/>
    <w:multiLevelType w:val="hybridMultilevel"/>
    <w:tmpl w:val="6E9E3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85E31"/>
    <w:multiLevelType w:val="hybridMultilevel"/>
    <w:tmpl w:val="BCAC8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717BD"/>
    <w:multiLevelType w:val="hybridMultilevel"/>
    <w:tmpl w:val="AC8867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4F8F67F5"/>
    <w:multiLevelType w:val="hybridMultilevel"/>
    <w:tmpl w:val="D444B466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5">
    <w:nsid w:val="4FA07CAB"/>
    <w:multiLevelType w:val="multilevel"/>
    <w:tmpl w:val="0330A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A246F3E"/>
    <w:multiLevelType w:val="hybridMultilevel"/>
    <w:tmpl w:val="FA92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9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B10C90"/>
    <w:multiLevelType w:val="hybridMultilevel"/>
    <w:tmpl w:val="2B604B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>
    <w:nsid w:val="61F25761"/>
    <w:multiLevelType w:val="hybridMultilevel"/>
    <w:tmpl w:val="E2E62A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3">
    <w:nsid w:val="65301E11"/>
    <w:multiLevelType w:val="hybridMultilevel"/>
    <w:tmpl w:val="486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BC146E"/>
    <w:multiLevelType w:val="hybridMultilevel"/>
    <w:tmpl w:val="D9EA5EA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>
    <w:nsid w:val="6A7B2BDE"/>
    <w:multiLevelType w:val="hybridMultilevel"/>
    <w:tmpl w:val="A4DE5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BEA48E4"/>
    <w:multiLevelType w:val="multilevel"/>
    <w:tmpl w:val="75800C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6CF254AB"/>
    <w:multiLevelType w:val="hybridMultilevel"/>
    <w:tmpl w:val="F1D06A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>
    <w:nsid w:val="6CFF3563"/>
    <w:multiLevelType w:val="multilevel"/>
    <w:tmpl w:val="BBA2D3A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7184379C"/>
    <w:multiLevelType w:val="multilevel"/>
    <w:tmpl w:val="68AE54F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>
    <w:nsid w:val="71A64D94"/>
    <w:multiLevelType w:val="hybridMultilevel"/>
    <w:tmpl w:val="F42CF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1C0179E"/>
    <w:multiLevelType w:val="hybridMultilevel"/>
    <w:tmpl w:val="6228F2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47572BE"/>
    <w:multiLevelType w:val="hybridMultilevel"/>
    <w:tmpl w:val="7F7AD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72523A3"/>
    <w:multiLevelType w:val="hybridMultilevel"/>
    <w:tmpl w:val="964EB65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A5433C"/>
    <w:multiLevelType w:val="hybridMultilevel"/>
    <w:tmpl w:val="2142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D55274"/>
    <w:multiLevelType w:val="hybridMultilevel"/>
    <w:tmpl w:val="EA0A0F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26"/>
  </w:num>
  <w:num w:numId="4">
    <w:abstractNumId w:val="38"/>
  </w:num>
  <w:num w:numId="5">
    <w:abstractNumId w:val="3"/>
  </w:num>
  <w:num w:numId="6">
    <w:abstractNumId w:val="39"/>
  </w:num>
  <w:num w:numId="7">
    <w:abstractNumId w:val="22"/>
  </w:num>
  <w:num w:numId="8">
    <w:abstractNumId w:val="15"/>
  </w:num>
  <w:num w:numId="9">
    <w:abstractNumId w:val="17"/>
  </w:num>
  <w:num w:numId="10">
    <w:abstractNumId w:val="43"/>
  </w:num>
  <w:num w:numId="11">
    <w:abstractNumId w:val="30"/>
  </w:num>
  <w:num w:numId="12">
    <w:abstractNumId w:val="37"/>
  </w:num>
  <w:num w:numId="13">
    <w:abstractNumId w:val="35"/>
  </w:num>
  <w:num w:numId="14">
    <w:abstractNumId w:val="1"/>
  </w:num>
  <w:num w:numId="15">
    <w:abstractNumId w:val="10"/>
  </w:num>
  <w:num w:numId="16">
    <w:abstractNumId w:val="18"/>
  </w:num>
  <w:num w:numId="17">
    <w:abstractNumId w:val="52"/>
  </w:num>
  <w:num w:numId="18">
    <w:abstractNumId w:val="40"/>
  </w:num>
  <w:num w:numId="19">
    <w:abstractNumId w:val="44"/>
  </w:num>
  <w:num w:numId="20">
    <w:abstractNumId w:val="50"/>
  </w:num>
  <w:num w:numId="21">
    <w:abstractNumId w:val="36"/>
  </w:num>
  <w:num w:numId="22">
    <w:abstractNumId w:val="6"/>
  </w:num>
  <w:num w:numId="23">
    <w:abstractNumId w:val="25"/>
  </w:num>
  <w:num w:numId="24">
    <w:abstractNumId w:val="13"/>
  </w:num>
  <w:num w:numId="25">
    <w:abstractNumId w:val="31"/>
  </w:num>
  <w:num w:numId="26">
    <w:abstractNumId w:val="33"/>
  </w:num>
  <w:num w:numId="27">
    <w:abstractNumId w:val="12"/>
  </w:num>
  <w:num w:numId="28">
    <w:abstractNumId w:val="47"/>
  </w:num>
  <w:num w:numId="29">
    <w:abstractNumId w:val="41"/>
  </w:num>
  <w:num w:numId="30">
    <w:abstractNumId w:val="56"/>
  </w:num>
  <w:num w:numId="31">
    <w:abstractNumId w:val="14"/>
  </w:num>
  <w:num w:numId="32">
    <w:abstractNumId w:val="23"/>
  </w:num>
  <w:num w:numId="33">
    <w:abstractNumId w:val="9"/>
  </w:num>
  <w:num w:numId="34">
    <w:abstractNumId w:val="7"/>
  </w:num>
  <w:num w:numId="35">
    <w:abstractNumId w:val="45"/>
  </w:num>
  <w:num w:numId="36">
    <w:abstractNumId w:val="24"/>
  </w:num>
  <w:num w:numId="37">
    <w:abstractNumId w:val="0"/>
  </w:num>
  <w:num w:numId="38">
    <w:abstractNumId w:val="16"/>
  </w:num>
  <w:num w:numId="39">
    <w:abstractNumId w:val="55"/>
  </w:num>
  <w:num w:numId="40">
    <w:abstractNumId w:val="11"/>
  </w:num>
  <w:num w:numId="41">
    <w:abstractNumId w:val="27"/>
  </w:num>
  <w:num w:numId="42">
    <w:abstractNumId w:val="28"/>
  </w:num>
  <w:num w:numId="43">
    <w:abstractNumId w:val="51"/>
  </w:num>
  <w:num w:numId="44">
    <w:abstractNumId w:val="21"/>
  </w:num>
  <w:num w:numId="45">
    <w:abstractNumId w:val="34"/>
  </w:num>
  <w:num w:numId="46">
    <w:abstractNumId w:val="4"/>
  </w:num>
  <w:num w:numId="47">
    <w:abstractNumId w:val="48"/>
  </w:num>
  <w:num w:numId="48">
    <w:abstractNumId w:val="49"/>
  </w:num>
  <w:num w:numId="49">
    <w:abstractNumId w:val="46"/>
  </w:num>
  <w:num w:numId="50">
    <w:abstractNumId w:val="2"/>
  </w:num>
  <w:num w:numId="51">
    <w:abstractNumId w:val="8"/>
  </w:num>
  <w:num w:numId="52">
    <w:abstractNumId w:val="5"/>
  </w:num>
  <w:num w:numId="53">
    <w:abstractNumId w:val="53"/>
  </w:num>
  <w:num w:numId="54">
    <w:abstractNumId w:val="19"/>
  </w:num>
  <w:num w:numId="55">
    <w:abstractNumId w:val="54"/>
  </w:num>
  <w:num w:numId="56">
    <w:abstractNumId w:val="20"/>
  </w:num>
  <w:num w:numId="57">
    <w:abstractNumId w:val="3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70A"/>
    <w:rsid w:val="00002723"/>
    <w:rsid w:val="00011D10"/>
    <w:rsid w:val="00013C42"/>
    <w:rsid w:val="00020D77"/>
    <w:rsid w:val="00020DD8"/>
    <w:rsid w:val="00022897"/>
    <w:rsid w:val="0002344F"/>
    <w:rsid w:val="00023B38"/>
    <w:rsid w:val="00033354"/>
    <w:rsid w:val="000356BE"/>
    <w:rsid w:val="000368F5"/>
    <w:rsid w:val="000414E2"/>
    <w:rsid w:val="00042510"/>
    <w:rsid w:val="000438B4"/>
    <w:rsid w:val="00050FB6"/>
    <w:rsid w:val="000518CD"/>
    <w:rsid w:val="00053778"/>
    <w:rsid w:val="00054ECA"/>
    <w:rsid w:val="00070FCA"/>
    <w:rsid w:val="00072049"/>
    <w:rsid w:val="00077260"/>
    <w:rsid w:val="00080391"/>
    <w:rsid w:val="000811C9"/>
    <w:rsid w:val="00082230"/>
    <w:rsid w:val="0008623D"/>
    <w:rsid w:val="000876EA"/>
    <w:rsid w:val="000906D4"/>
    <w:rsid w:val="0009082E"/>
    <w:rsid w:val="000951EB"/>
    <w:rsid w:val="000962E2"/>
    <w:rsid w:val="000969C7"/>
    <w:rsid w:val="000A399B"/>
    <w:rsid w:val="000B0813"/>
    <w:rsid w:val="000B2729"/>
    <w:rsid w:val="000B3176"/>
    <w:rsid w:val="000B4832"/>
    <w:rsid w:val="000B69DB"/>
    <w:rsid w:val="000B75F4"/>
    <w:rsid w:val="000C1148"/>
    <w:rsid w:val="000C5E3A"/>
    <w:rsid w:val="000C5FD1"/>
    <w:rsid w:val="000C62D2"/>
    <w:rsid w:val="000D2328"/>
    <w:rsid w:val="000D43CC"/>
    <w:rsid w:val="000D4C75"/>
    <w:rsid w:val="000D5FD6"/>
    <w:rsid w:val="000D7D3F"/>
    <w:rsid w:val="000E14BB"/>
    <w:rsid w:val="000F3C6B"/>
    <w:rsid w:val="000F41C2"/>
    <w:rsid w:val="00101C48"/>
    <w:rsid w:val="0010209E"/>
    <w:rsid w:val="00105FDC"/>
    <w:rsid w:val="00106A01"/>
    <w:rsid w:val="001078BB"/>
    <w:rsid w:val="0011091F"/>
    <w:rsid w:val="0011206F"/>
    <w:rsid w:val="00112FA9"/>
    <w:rsid w:val="00114088"/>
    <w:rsid w:val="00117F17"/>
    <w:rsid w:val="00121AB5"/>
    <w:rsid w:val="00122B6C"/>
    <w:rsid w:val="001244EC"/>
    <w:rsid w:val="0012621F"/>
    <w:rsid w:val="001303B1"/>
    <w:rsid w:val="00130AE7"/>
    <w:rsid w:val="0013260F"/>
    <w:rsid w:val="00132B61"/>
    <w:rsid w:val="00133F5A"/>
    <w:rsid w:val="00141D56"/>
    <w:rsid w:val="00142C87"/>
    <w:rsid w:val="0014311A"/>
    <w:rsid w:val="00143D24"/>
    <w:rsid w:val="00144BD4"/>
    <w:rsid w:val="0014722C"/>
    <w:rsid w:val="00151748"/>
    <w:rsid w:val="00152A24"/>
    <w:rsid w:val="00155093"/>
    <w:rsid w:val="001564A5"/>
    <w:rsid w:val="00157C5E"/>
    <w:rsid w:val="00157C69"/>
    <w:rsid w:val="00160E9F"/>
    <w:rsid w:val="00162D4D"/>
    <w:rsid w:val="0016315B"/>
    <w:rsid w:val="00165681"/>
    <w:rsid w:val="00165A62"/>
    <w:rsid w:val="00166197"/>
    <w:rsid w:val="00170DC4"/>
    <w:rsid w:val="0017264B"/>
    <w:rsid w:val="00173CFE"/>
    <w:rsid w:val="00181378"/>
    <w:rsid w:val="00181FDA"/>
    <w:rsid w:val="0018567A"/>
    <w:rsid w:val="0019276F"/>
    <w:rsid w:val="0019568B"/>
    <w:rsid w:val="00195BCD"/>
    <w:rsid w:val="00196139"/>
    <w:rsid w:val="00196268"/>
    <w:rsid w:val="001974E1"/>
    <w:rsid w:val="001A3573"/>
    <w:rsid w:val="001A4FCB"/>
    <w:rsid w:val="001B29F7"/>
    <w:rsid w:val="001C0507"/>
    <w:rsid w:val="001C39E5"/>
    <w:rsid w:val="001C717C"/>
    <w:rsid w:val="001D3256"/>
    <w:rsid w:val="001D3870"/>
    <w:rsid w:val="001E0148"/>
    <w:rsid w:val="001E0F02"/>
    <w:rsid w:val="001E1555"/>
    <w:rsid w:val="001E612A"/>
    <w:rsid w:val="001F08EB"/>
    <w:rsid w:val="001F2657"/>
    <w:rsid w:val="0020192C"/>
    <w:rsid w:val="00201D27"/>
    <w:rsid w:val="00204B2E"/>
    <w:rsid w:val="0020611A"/>
    <w:rsid w:val="00206DAA"/>
    <w:rsid w:val="0020724B"/>
    <w:rsid w:val="002102F5"/>
    <w:rsid w:val="00217A00"/>
    <w:rsid w:val="002209B1"/>
    <w:rsid w:val="0022207C"/>
    <w:rsid w:val="00222963"/>
    <w:rsid w:val="002251AF"/>
    <w:rsid w:val="00226A38"/>
    <w:rsid w:val="00226D67"/>
    <w:rsid w:val="00226FDB"/>
    <w:rsid w:val="00227F66"/>
    <w:rsid w:val="00230D5C"/>
    <w:rsid w:val="00233D32"/>
    <w:rsid w:val="00242EF2"/>
    <w:rsid w:val="00243576"/>
    <w:rsid w:val="002445B6"/>
    <w:rsid w:val="00246470"/>
    <w:rsid w:val="00251CC8"/>
    <w:rsid w:val="00252905"/>
    <w:rsid w:val="00253633"/>
    <w:rsid w:val="00253E0F"/>
    <w:rsid w:val="00255E2E"/>
    <w:rsid w:val="002622C4"/>
    <w:rsid w:val="00262320"/>
    <w:rsid w:val="002635C7"/>
    <w:rsid w:val="00263FC8"/>
    <w:rsid w:val="00265B1E"/>
    <w:rsid w:val="00267FBE"/>
    <w:rsid w:val="0027728C"/>
    <w:rsid w:val="00282212"/>
    <w:rsid w:val="00283820"/>
    <w:rsid w:val="00287B08"/>
    <w:rsid w:val="0029196A"/>
    <w:rsid w:val="00292053"/>
    <w:rsid w:val="002929B5"/>
    <w:rsid w:val="00294D90"/>
    <w:rsid w:val="002A3839"/>
    <w:rsid w:val="002A6AA7"/>
    <w:rsid w:val="002B2B18"/>
    <w:rsid w:val="002C3530"/>
    <w:rsid w:val="002C64BD"/>
    <w:rsid w:val="002C6A8B"/>
    <w:rsid w:val="002D07F1"/>
    <w:rsid w:val="002D76AD"/>
    <w:rsid w:val="002E2005"/>
    <w:rsid w:val="002E543F"/>
    <w:rsid w:val="002E7965"/>
    <w:rsid w:val="002F15EA"/>
    <w:rsid w:val="002F20FE"/>
    <w:rsid w:val="003020A2"/>
    <w:rsid w:val="00307203"/>
    <w:rsid w:val="0031272D"/>
    <w:rsid w:val="003132F7"/>
    <w:rsid w:val="00316932"/>
    <w:rsid w:val="0031771E"/>
    <w:rsid w:val="00317CD0"/>
    <w:rsid w:val="0032125D"/>
    <w:rsid w:val="00323F35"/>
    <w:rsid w:val="003245B4"/>
    <w:rsid w:val="003252B9"/>
    <w:rsid w:val="00325BBE"/>
    <w:rsid w:val="00325EF0"/>
    <w:rsid w:val="00327099"/>
    <w:rsid w:val="0032785B"/>
    <w:rsid w:val="00327A6E"/>
    <w:rsid w:val="00327CD5"/>
    <w:rsid w:val="00331367"/>
    <w:rsid w:val="00333A7A"/>
    <w:rsid w:val="0033590C"/>
    <w:rsid w:val="00335DFC"/>
    <w:rsid w:val="003364C3"/>
    <w:rsid w:val="00336ABC"/>
    <w:rsid w:val="00341638"/>
    <w:rsid w:val="003461EB"/>
    <w:rsid w:val="00350C7C"/>
    <w:rsid w:val="00352BBD"/>
    <w:rsid w:val="00354E80"/>
    <w:rsid w:val="00357DBC"/>
    <w:rsid w:val="00357F28"/>
    <w:rsid w:val="00360AEE"/>
    <w:rsid w:val="0036121D"/>
    <w:rsid w:val="00365906"/>
    <w:rsid w:val="00366C0C"/>
    <w:rsid w:val="003670B6"/>
    <w:rsid w:val="00372645"/>
    <w:rsid w:val="00374261"/>
    <w:rsid w:val="00380B7B"/>
    <w:rsid w:val="00380CE5"/>
    <w:rsid w:val="00382173"/>
    <w:rsid w:val="00385E0C"/>
    <w:rsid w:val="003867AB"/>
    <w:rsid w:val="00387389"/>
    <w:rsid w:val="00395983"/>
    <w:rsid w:val="00395B94"/>
    <w:rsid w:val="0039604F"/>
    <w:rsid w:val="0039627B"/>
    <w:rsid w:val="00396387"/>
    <w:rsid w:val="003965E4"/>
    <w:rsid w:val="00396D3C"/>
    <w:rsid w:val="00396F49"/>
    <w:rsid w:val="003A35AB"/>
    <w:rsid w:val="003A4D99"/>
    <w:rsid w:val="003B268E"/>
    <w:rsid w:val="003B38AE"/>
    <w:rsid w:val="003C14B3"/>
    <w:rsid w:val="003C249E"/>
    <w:rsid w:val="003C265C"/>
    <w:rsid w:val="003C6768"/>
    <w:rsid w:val="003D4237"/>
    <w:rsid w:val="003D5784"/>
    <w:rsid w:val="003E3AD6"/>
    <w:rsid w:val="003E46FF"/>
    <w:rsid w:val="003E5035"/>
    <w:rsid w:val="003E6086"/>
    <w:rsid w:val="003F03AE"/>
    <w:rsid w:val="003F3281"/>
    <w:rsid w:val="003F7762"/>
    <w:rsid w:val="004002A8"/>
    <w:rsid w:val="00400CA2"/>
    <w:rsid w:val="00400EC1"/>
    <w:rsid w:val="00401F22"/>
    <w:rsid w:val="0040363F"/>
    <w:rsid w:val="0040474B"/>
    <w:rsid w:val="00410040"/>
    <w:rsid w:val="004102AA"/>
    <w:rsid w:val="00415DEC"/>
    <w:rsid w:val="00417AB3"/>
    <w:rsid w:val="00417B66"/>
    <w:rsid w:val="00422A0E"/>
    <w:rsid w:val="00423958"/>
    <w:rsid w:val="00426637"/>
    <w:rsid w:val="004278C3"/>
    <w:rsid w:val="0042790F"/>
    <w:rsid w:val="00432F17"/>
    <w:rsid w:val="004378AE"/>
    <w:rsid w:val="0044047E"/>
    <w:rsid w:val="004425FB"/>
    <w:rsid w:val="00443EC5"/>
    <w:rsid w:val="00454E81"/>
    <w:rsid w:val="004611BA"/>
    <w:rsid w:val="00461C14"/>
    <w:rsid w:val="00466988"/>
    <w:rsid w:val="00477F71"/>
    <w:rsid w:val="004812BB"/>
    <w:rsid w:val="004824F0"/>
    <w:rsid w:val="0048308E"/>
    <w:rsid w:val="00490EC6"/>
    <w:rsid w:val="004913AB"/>
    <w:rsid w:val="00491E17"/>
    <w:rsid w:val="00494EC2"/>
    <w:rsid w:val="004960BA"/>
    <w:rsid w:val="004A1EE7"/>
    <w:rsid w:val="004A1FC2"/>
    <w:rsid w:val="004A2751"/>
    <w:rsid w:val="004A337A"/>
    <w:rsid w:val="004B3068"/>
    <w:rsid w:val="004B38F7"/>
    <w:rsid w:val="004B3DB3"/>
    <w:rsid w:val="004C3178"/>
    <w:rsid w:val="004C668B"/>
    <w:rsid w:val="004C6FAF"/>
    <w:rsid w:val="004C7D73"/>
    <w:rsid w:val="004D0D8E"/>
    <w:rsid w:val="004D4CA4"/>
    <w:rsid w:val="004E0B0B"/>
    <w:rsid w:val="004E0D1B"/>
    <w:rsid w:val="004E5AD1"/>
    <w:rsid w:val="004E6603"/>
    <w:rsid w:val="004E669D"/>
    <w:rsid w:val="004E71DD"/>
    <w:rsid w:val="004E7916"/>
    <w:rsid w:val="004F0101"/>
    <w:rsid w:val="004F4E91"/>
    <w:rsid w:val="005007B8"/>
    <w:rsid w:val="00501FF0"/>
    <w:rsid w:val="00510171"/>
    <w:rsid w:val="005112C3"/>
    <w:rsid w:val="00512928"/>
    <w:rsid w:val="00512CCE"/>
    <w:rsid w:val="00515EBE"/>
    <w:rsid w:val="00516ECC"/>
    <w:rsid w:val="00516FE9"/>
    <w:rsid w:val="005172C1"/>
    <w:rsid w:val="00523072"/>
    <w:rsid w:val="00523A05"/>
    <w:rsid w:val="005267C2"/>
    <w:rsid w:val="00531D6E"/>
    <w:rsid w:val="00532899"/>
    <w:rsid w:val="0053549A"/>
    <w:rsid w:val="00540897"/>
    <w:rsid w:val="00541FA5"/>
    <w:rsid w:val="00543187"/>
    <w:rsid w:val="00544E81"/>
    <w:rsid w:val="005466CF"/>
    <w:rsid w:val="005561F6"/>
    <w:rsid w:val="00562057"/>
    <w:rsid w:val="00563055"/>
    <w:rsid w:val="00573078"/>
    <w:rsid w:val="0057317D"/>
    <w:rsid w:val="00574253"/>
    <w:rsid w:val="00577B5D"/>
    <w:rsid w:val="00580047"/>
    <w:rsid w:val="005844B9"/>
    <w:rsid w:val="005846F1"/>
    <w:rsid w:val="00585138"/>
    <w:rsid w:val="005856C3"/>
    <w:rsid w:val="005864E1"/>
    <w:rsid w:val="005915C8"/>
    <w:rsid w:val="00591BFA"/>
    <w:rsid w:val="00592301"/>
    <w:rsid w:val="005946B6"/>
    <w:rsid w:val="00595811"/>
    <w:rsid w:val="00595822"/>
    <w:rsid w:val="00597C4A"/>
    <w:rsid w:val="005A2231"/>
    <w:rsid w:val="005A34B0"/>
    <w:rsid w:val="005A72FE"/>
    <w:rsid w:val="005B04DF"/>
    <w:rsid w:val="005C20E0"/>
    <w:rsid w:val="005C26C2"/>
    <w:rsid w:val="005C69D5"/>
    <w:rsid w:val="005D39EB"/>
    <w:rsid w:val="005E0C07"/>
    <w:rsid w:val="005E223D"/>
    <w:rsid w:val="005E2B59"/>
    <w:rsid w:val="005F3B8C"/>
    <w:rsid w:val="005F3F8D"/>
    <w:rsid w:val="005F597D"/>
    <w:rsid w:val="005F5C25"/>
    <w:rsid w:val="005F6E88"/>
    <w:rsid w:val="006121D0"/>
    <w:rsid w:val="006156C7"/>
    <w:rsid w:val="0061723D"/>
    <w:rsid w:val="00621D36"/>
    <w:rsid w:val="006230B7"/>
    <w:rsid w:val="00624AEA"/>
    <w:rsid w:val="00626AC2"/>
    <w:rsid w:val="00626B27"/>
    <w:rsid w:val="00630623"/>
    <w:rsid w:val="006308E7"/>
    <w:rsid w:val="006310A1"/>
    <w:rsid w:val="00633FAB"/>
    <w:rsid w:val="00640DD7"/>
    <w:rsid w:val="00646261"/>
    <w:rsid w:val="0064673C"/>
    <w:rsid w:val="006503D7"/>
    <w:rsid w:val="00651E8D"/>
    <w:rsid w:val="00652F20"/>
    <w:rsid w:val="006537F3"/>
    <w:rsid w:val="00654F0D"/>
    <w:rsid w:val="006562BF"/>
    <w:rsid w:val="00656AC5"/>
    <w:rsid w:val="00656FCE"/>
    <w:rsid w:val="00657EA4"/>
    <w:rsid w:val="00660B86"/>
    <w:rsid w:val="00662A31"/>
    <w:rsid w:val="00667B3D"/>
    <w:rsid w:val="00667DAD"/>
    <w:rsid w:val="00673768"/>
    <w:rsid w:val="00675C38"/>
    <w:rsid w:val="006822FA"/>
    <w:rsid w:val="0068288F"/>
    <w:rsid w:val="00685EB2"/>
    <w:rsid w:val="00686F6C"/>
    <w:rsid w:val="0069286B"/>
    <w:rsid w:val="00692CDD"/>
    <w:rsid w:val="006946BF"/>
    <w:rsid w:val="0069500D"/>
    <w:rsid w:val="006A36A9"/>
    <w:rsid w:val="006A5EAB"/>
    <w:rsid w:val="006B572B"/>
    <w:rsid w:val="006C1939"/>
    <w:rsid w:val="006C384C"/>
    <w:rsid w:val="006D02BE"/>
    <w:rsid w:val="006D4E57"/>
    <w:rsid w:val="006D6621"/>
    <w:rsid w:val="006D6F0B"/>
    <w:rsid w:val="006D7BC0"/>
    <w:rsid w:val="006E1F73"/>
    <w:rsid w:val="006E24D0"/>
    <w:rsid w:val="006E36DB"/>
    <w:rsid w:val="006E3C80"/>
    <w:rsid w:val="006E47CE"/>
    <w:rsid w:val="006E5EA6"/>
    <w:rsid w:val="006F0B7C"/>
    <w:rsid w:val="006F120C"/>
    <w:rsid w:val="006F1896"/>
    <w:rsid w:val="006F3E8E"/>
    <w:rsid w:val="006F6D6E"/>
    <w:rsid w:val="006F7E07"/>
    <w:rsid w:val="00700BFA"/>
    <w:rsid w:val="007017D2"/>
    <w:rsid w:val="007064DF"/>
    <w:rsid w:val="00712588"/>
    <w:rsid w:val="007130B5"/>
    <w:rsid w:val="007207BC"/>
    <w:rsid w:val="0072371D"/>
    <w:rsid w:val="007276C2"/>
    <w:rsid w:val="0073034B"/>
    <w:rsid w:val="00731701"/>
    <w:rsid w:val="007328D8"/>
    <w:rsid w:val="00735393"/>
    <w:rsid w:val="00735F39"/>
    <w:rsid w:val="00742621"/>
    <w:rsid w:val="00743405"/>
    <w:rsid w:val="007441FC"/>
    <w:rsid w:val="00744AF6"/>
    <w:rsid w:val="00744ED2"/>
    <w:rsid w:val="007464F2"/>
    <w:rsid w:val="007466FA"/>
    <w:rsid w:val="00746AC7"/>
    <w:rsid w:val="00750CB7"/>
    <w:rsid w:val="0075210A"/>
    <w:rsid w:val="0075282D"/>
    <w:rsid w:val="00752E5A"/>
    <w:rsid w:val="0075335D"/>
    <w:rsid w:val="00753F60"/>
    <w:rsid w:val="00756384"/>
    <w:rsid w:val="00760BB4"/>
    <w:rsid w:val="00760D55"/>
    <w:rsid w:val="00764EF2"/>
    <w:rsid w:val="00765250"/>
    <w:rsid w:val="00773B85"/>
    <w:rsid w:val="00775F2B"/>
    <w:rsid w:val="00776870"/>
    <w:rsid w:val="00780268"/>
    <w:rsid w:val="00780E74"/>
    <w:rsid w:val="007820E6"/>
    <w:rsid w:val="00782756"/>
    <w:rsid w:val="00782800"/>
    <w:rsid w:val="00783E2D"/>
    <w:rsid w:val="0078632F"/>
    <w:rsid w:val="0079161A"/>
    <w:rsid w:val="007918EA"/>
    <w:rsid w:val="00792144"/>
    <w:rsid w:val="00793449"/>
    <w:rsid w:val="007954AF"/>
    <w:rsid w:val="00795804"/>
    <w:rsid w:val="00796790"/>
    <w:rsid w:val="007A0851"/>
    <w:rsid w:val="007A3FA7"/>
    <w:rsid w:val="007A4E13"/>
    <w:rsid w:val="007A6DF1"/>
    <w:rsid w:val="007A7C95"/>
    <w:rsid w:val="007B0E96"/>
    <w:rsid w:val="007B422C"/>
    <w:rsid w:val="007B7AC8"/>
    <w:rsid w:val="007C41DF"/>
    <w:rsid w:val="007C4712"/>
    <w:rsid w:val="007C5544"/>
    <w:rsid w:val="007C5D81"/>
    <w:rsid w:val="007D4E2F"/>
    <w:rsid w:val="007F03AD"/>
    <w:rsid w:val="007F30C7"/>
    <w:rsid w:val="007F677A"/>
    <w:rsid w:val="007F71EA"/>
    <w:rsid w:val="00800533"/>
    <w:rsid w:val="0080223B"/>
    <w:rsid w:val="00802362"/>
    <w:rsid w:val="0080611E"/>
    <w:rsid w:val="00806692"/>
    <w:rsid w:val="008108FA"/>
    <w:rsid w:val="00810DCC"/>
    <w:rsid w:val="00811D36"/>
    <w:rsid w:val="00813057"/>
    <w:rsid w:val="00825556"/>
    <w:rsid w:val="00825BC4"/>
    <w:rsid w:val="00826D87"/>
    <w:rsid w:val="00827B70"/>
    <w:rsid w:val="008325AB"/>
    <w:rsid w:val="00832E82"/>
    <w:rsid w:val="00843DB3"/>
    <w:rsid w:val="0084586E"/>
    <w:rsid w:val="008465EC"/>
    <w:rsid w:val="008466B3"/>
    <w:rsid w:val="00847629"/>
    <w:rsid w:val="00850992"/>
    <w:rsid w:val="00855F17"/>
    <w:rsid w:val="00857C9A"/>
    <w:rsid w:val="00861CED"/>
    <w:rsid w:val="0086283F"/>
    <w:rsid w:val="008651EB"/>
    <w:rsid w:val="008661CD"/>
    <w:rsid w:val="00881018"/>
    <w:rsid w:val="0088206E"/>
    <w:rsid w:val="00883CCF"/>
    <w:rsid w:val="00884379"/>
    <w:rsid w:val="00885316"/>
    <w:rsid w:val="00885A31"/>
    <w:rsid w:val="00891AD6"/>
    <w:rsid w:val="00893499"/>
    <w:rsid w:val="00893C52"/>
    <w:rsid w:val="00893CA0"/>
    <w:rsid w:val="00894FF2"/>
    <w:rsid w:val="00896521"/>
    <w:rsid w:val="008A65AE"/>
    <w:rsid w:val="008A6ABE"/>
    <w:rsid w:val="008B03B6"/>
    <w:rsid w:val="008B20CD"/>
    <w:rsid w:val="008B3420"/>
    <w:rsid w:val="008B50E8"/>
    <w:rsid w:val="008B70B1"/>
    <w:rsid w:val="008C0635"/>
    <w:rsid w:val="008C0ECF"/>
    <w:rsid w:val="008C0F02"/>
    <w:rsid w:val="008C16A4"/>
    <w:rsid w:val="008D5785"/>
    <w:rsid w:val="008D745B"/>
    <w:rsid w:val="008E3099"/>
    <w:rsid w:val="008F0F4E"/>
    <w:rsid w:val="008F4950"/>
    <w:rsid w:val="009003C6"/>
    <w:rsid w:val="0090247B"/>
    <w:rsid w:val="00902769"/>
    <w:rsid w:val="009045C0"/>
    <w:rsid w:val="00912ED4"/>
    <w:rsid w:val="00914A4E"/>
    <w:rsid w:val="00914D25"/>
    <w:rsid w:val="00915688"/>
    <w:rsid w:val="009211B9"/>
    <w:rsid w:val="009223FC"/>
    <w:rsid w:val="0092377C"/>
    <w:rsid w:val="00926232"/>
    <w:rsid w:val="009317B7"/>
    <w:rsid w:val="00932E1D"/>
    <w:rsid w:val="009330D8"/>
    <w:rsid w:val="00933E32"/>
    <w:rsid w:val="00935042"/>
    <w:rsid w:val="00942152"/>
    <w:rsid w:val="00945B36"/>
    <w:rsid w:val="00946650"/>
    <w:rsid w:val="00946786"/>
    <w:rsid w:val="0096003D"/>
    <w:rsid w:val="00963026"/>
    <w:rsid w:val="00965215"/>
    <w:rsid w:val="00967812"/>
    <w:rsid w:val="00967E54"/>
    <w:rsid w:val="00970C5D"/>
    <w:rsid w:val="00977053"/>
    <w:rsid w:val="00990326"/>
    <w:rsid w:val="009922B5"/>
    <w:rsid w:val="00993091"/>
    <w:rsid w:val="00995727"/>
    <w:rsid w:val="009A5E24"/>
    <w:rsid w:val="009B20DF"/>
    <w:rsid w:val="009B7587"/>
    <w:rsid w:val="009C05AF"/>
    <w:rsid w:val="009C0996"/>
    <w:rsid w:val="009C38A6"/>
    <w:rsid w:val="009C3ECC"/>
    <w:rsid w:val="009C552E"/>
    <w:rsid w:val="009D38F1"/>
    <w:rsid w:val="009D6E8D"/>
    <w:rsid w:val="009E0D35"/>
    <w:rsid w:val="009E6B6B"/>
    <w:rsid w:val="009F321C"/>
    <w:rsid w:val="009F47D8"/>
    <w:rsid w:val="00A00368"/>
    <w:rsid w:val="00A00FE3"/>
    <w:rsid w:val="00A012B1"/>
    <w:rsid w:val="00A05A87"/>
    <w:rsid w:val="00A06588"/>
    <w:rsid w:val="00A111A7"/>
    <w:rsid w:val="00A12F76"/>
    <w:rsid w:val="00A15CAB"/>
    <w:rsid w:val="00A21ECF"/>
    <w:rsid w:val="00A27A0C"/>
    <w:rsid w:val="00A30B9C"/>
    <w:rsid w:val="00A30D13"/>
    <w:rsid w:val="00A31986"/>
    <w:rsid w:val="00A331F2"/>
    <w:rsid w:val="00A337DA"/>
    <w:rsid w:val="00A42DC6"/>
    <w:rsid w:val="00A43EE0"/>
    <w:rsid w:val="00A45AA8"/>
    <w:rsid w:val="00A477AE"/>
    <w:rsid w:val="00A47B6E"/>
    <w:rsid w:val="00A50B42"/>
    <w:rsid w:val="00A549A0"/>
    <w:rsid w:val="00A55A9B"/>
    <w:rsid w:val="00A55B08"/>
    <w:rsid w:val="00A569DE"/>
    <w:rsid w:val="00A60FB3"/>
    <w:rsid w:val="00A64616"/>
    <w:rsid w:val="00A66B5A"/>
    <w:rsid w:val="00A66B96"/>
    <w:rsid w:val="00A7178B"/>
    <w:rsid w:val="00A71EA5"/>
    <w:rsid w:val="00A73A8B"/>
    <w:rsid w:val="00A74DB8"/>
    <w:rsid w:val="00A8273B"/>
    <w:rsid w:val="00A85B69"/>
    <w:rsid w:val="00A9408B"/>
    <w:rsid w:val="00AA07A8"/>
    <w:rsid w:val="00AA10F6"/>
    <w:rsid w:val="00AA53E0"/>
    <w:rsid w:val="00AA5441"/>
    <w:rsid w:val="00AA7232"/>
    <w:rsid w:val="00AA7FB8"/>
    <w:rsid w:val="00AB2FC2"/>
    <w:rsid w:val="00AB5BA4"/>
    <w:rsid w:val="00AC31BF"/>
    <w:rsid w:val="00AC3228"/>
    <w:rsid w:val="00AC44D4"/>
    <w:rsid w:val="00AD59DB"/>
    <w:rsid w:val="00AD6C62"/>
    <w:rsid w:val="00AE32FB"/>
    <w:rsid w:val="00AF3399"/>
    <w:rsid w:val="00AF3D40"/>
    <w:rsid w:val="00AF5678"/>
    <w:rsid w:val="00AF7CC0"/>
    <w:rsid w:val="00B020A9"/>
    <w:rsid w:val="00B06469"/>
    <w:rsid w:val="00B11A02"/>
    <w:rsid w:val="00B12202"/>
    <w:rsid w:val="00B162D2"/>
    <w:rsid w:val="00B16886"/>
    <w:rsid w:val="00B23242"/>
    <w:rsid w:val="00B233FE"/>
    <w:rsid w:val="00B33A7B"/>
    <w:rsid w:val="00B40B6F"/>
    <w:rsid w:val="00B41049"/>
    <w:rsid w:val="00B41390"/>
    <w:rsid w:val="00B45FCC"/>
    <w:rsid w:val="00B547EF"/>
    <w:rsid w:val="00B56734"/>
    <w:rsid w:val="00B60F34"/>
    <w:rsid w:val="00B61062"/>
    <w:rsid w:val="00B63A2C"/>
    <w:rsid w:val="00B63C7B"/>
    <w:rsid w:val="00B6606B"/>
    <w:rsid w:val="00B7016D"/>
    <w:rsid w:val="00B704CC"/>
    <w:rsid w:val="00B73029"/>
    <w:rsid w:val="00B7553E"/>
    <w:rsid w:val="00B7645C"/>
    <w:rsid w:val="00B8213C"/>
    <w:rsid w:val="00B855CB"/>
    <w:rsid w:val="00B86C9F"/>
    <w:rsid w:val="00B87DCF"/>
    <w:rsid w:val="00B87E50"/>
    <w:rsid w:val="00B90602"/>
    <w:rsid w:val="00B946EF"/>
    <w:rsid w:val="00B94738"/>
    <w:rsid w:val="00B9689E"/>
    <w:rsid w:val="00BA04C1"/>
    <w:rsid w:val="00BB0779"/>
    <w:rsid w:val="00BB0E26"/>
    <w:rsid w:val="00BB3406"/>
    <w:rsid w:val="00BB3D6A"/>
    <w:rsid w:val="00BB4A77"/>
    <w:rsid w:val="00BB552E"/>
    <w:rsid w:val="00BB5FC3"/>
    <w:rsid w:val="00BC2267"/>
    <w:rsid w:val="00BC26E1"/>
    <w:rsid w:val="00BC2853"/>
    <w:rsid w:val="00BC6789"/>
    <w:rsid w:val="00BD00C3"/>
    <w:rsid w:val="00BD0D2D"/>
    <w:rsid w:val="00BD37B5"/>
    <w:rsid w:val="00BD3DD2"/>
    <w:rsid w:val="00BD4EC8"/>
    <w:rsid w:val="00BD626D"/>
    <w:rsid w:val="00BD629D"/>
    <w:rsid w:val="00BD65B9"/>
    <w:rsid w:val="00BE1290"/>
    <w:rsid w:val="00BE2E01"/>
    <w:rsid w:val="00BE473B"/>
    <w:rsid w:val="00BE4B56"/>
    <w:rsid w:val="00BE5872"/>
    <w:rsid w:val="00BE6A61"/>
    <w:rsid w:val="00BF035C"/>
    <w:rsid w:val="00BF1E0D"/>
    <w:rsid w:val="00BF2E1B"/>
    <w:rsid w:val="00BF4CCE"/>
    <w:rsid w:val="00BF564A"/>
    <w:rsid w:val="00C00178"/>
    <w:rsid w:val="00C012D9"/>
    <w:rsid w:val="00C0175A"/>
    <w:rsid w:val="00C01CAC"/>
    <w:rsid w:val="00C0215D"/>
    <w:rsid w:val="00C02295"/>
    <w:rsid w:val="00C041EE"/>
    <w:rsid w:val="00C060B5"/>
    <w:rsid w:val="00C1014F"/>
    <w:rsid w:val="00C13AFE"/>
    <w:rsid w:val="00C20845"/>
    <w:rsid w:val="00C219B5"/>
    <w:rsid w:val="00C221A1"/>
    <w:rsid w:val="00C24EC3"/>
    <w:rsid w:val="00C31160"/>
    <w:rsid w:val="00C3550C"/>
    <w:rsid w:val="00C375DC"/>
    <w:rsid w:val="00C37F07"/>
    <w:rsid w:val="00C37FF7"/>
    <w:rsid w:val="00C40C8B"/>
    <w:rsid w:val="00C459B3"/>
    <w:rsid w:val="00C46320"/>
    <w:rsid w:val="00C46E3C"/>
    <w:rsid w:val="00C51DF9"/>
    <w:rsid w:val="00C57054"/>
    <w:rsid w:val="00C662D1"/>
    <w:rsid w:val="00C6732F"/>
    <w:rsid w:val="00C713AB"/>
    <w:rsid w:val="00C72EB9"/>
    <w:rsid w:val="00C738C0"/>
    <w:rsid w:val="00C8141D"/>
    <w:rsid w:val="00C83218"/>
    <w:rsid w:val="00C95779"/>
    <w:rsid w:val="00CA1A7C"/>
    <w:rsid w:val="00CA1AE3"/>
    <w:rsid w:val="00CA24E0"/>
    <w:rsid w:val="00CA377D"/>
    <w:rsid w:val="00CA431F"/>
    <w:rsid w:val="00CA5C64"/>
    <w:rsid w:val="00CA6804"/>
    <w:rsid w:val="00CB03DB"/>
    <w:rsid w:val="00CB240D"/>
    <w:rsid w:val="00CB2B06"/>
    <w:rsid w:val="00CB4253"/>
    <w:rsid w:val="00CD32CB"/>
    <w:rsid w:val="00CE36CF"/>
    <w:rsid w:val="00CE50EE"/>
    <w:rsid w:val="00CF2D42"/>
    <w:rsid w:val="00CF5031"/>
    <w:rsid w:val="00CF63BB"/>
    <w:rsid w:val="00CF6A93"/>
    <w:rsid w:val="00CF70E4"/>
    <w:rsid w:val="00D023CB"/>
    <w:rsid w:val="00D05223"/>
    <w:rsid w:val="00D059B0"/>
    <w:rsid w:val="00D1041F"/>
    <w:rsid w:val="00D12C47"/>
    <w:rsid w:val="00D13E0A"/>
    <w:rsid w:val="00D1661C"/>
    <w:rsid w:val="00D22A15"/>
    <w:rsid w:val="00D230DE"/>
    <w:rsid w:val="00D314E5"/>
    <w:rsid w:val="00D32B91"/>
    <w:rsid w:val="00D3427A"/>
    <w:rsid w:val="00D407CD"/>
    <w:rsid w:val="00D42828"/>
    <w:rsid w:val="00D44151"/>
    <w:rsid w:val="00D44364"/>
    <w:rsid w:val="00D457E7"/>
    <w:rsid w:val="00D468E5"/>
    <w:rsid w:val="00D4710E"/>
    <w:rsid w:val="00D523F5"/>
    <w:rsid w:val="00D56EB1"/>
    <w:rsid w:val="00D57E53"/>
    <w:rsid w:val="00D63864"/>
    <w:rsid w:val="00D65AA0"/>
    <w:rsid w:val="00D703EE"/>
    <w:rsid w:val="00D706DA"/>
    <w:rsid w:val="00D713FD"/>
    <w:rsid w:val="00D7152A"/>
    <w:rsid w:val="00D73573"/>
    <w:rsid w:val="00D73853"/>
    <w:rsid w:val="00D77D44"/>
    <w:rsid w:val="00D828A8"/>
    <w:rsid w:val="00D82C4E"/>
    <w:rsid w:val="00D83EBC"/>
    <w:rsid w:val="00D857EC"/>
    <w:rsid w:val="00D875F9"/>
    <w:rsid w:val="00D87941"/>
    <w:rsid w:val="00D90DE6"/>
    <w:rsid w:val="00D92EF1"/>
    <w:rsid w:val="00D96AF0"/>
    <w:rsid w:val="00DA3C5C"/>
    <w:rsid w:val="00DA4DF7"/>
    <w:rsid w:val="00DB1291"/>
    <w:rsid w:val="00DC16E3"/>
    <w:rsid w:val="00DC1959"/>
    <w:rsid w:val="00DD1799"/>
    <w:rsid w:val="00DD4540"/>
    <w:rsid w:val="00DE3B9B"/>
    <w:rsid w:val="00DE41D8"/>
    <w:rsid w:val="00DE5845"/>
    <w:rsid w:val="00DE6DE5"/>
    <w:rsid w:val="00DE6EF8"/>
    <w:rsid w:val="00DF2DFA"/>
    <w:rsid w:val="00DF51BD"/>
    <w:rsid w:val="00E00E57"/>
    <w:rsid w:val="00E03F2E"/>
    <w:rsid w:val="00E04F37"/>
    <w:rsid w:val="00E06BFF"/>
    <w:rsid w:val="00E0789F"/>
    <w:rsid w:val="00E10BAA"/>
    <w:rsid w:val="00E11AF9"/>
    <w:rsid w:val="00E17128"/>
    <w:rsid w:val="00E27258"/>
    <w:rsid w:val="00E27A05"/>
    <w:rsid w:val="00E3386C"/>
    <w:rsid w:val="00E3697B"/>
    <w:rsid w:val="00E44ABD"/>
    <w:rsid w:val="00E45B78"/>
    <w:rsid w:val="00E51C25"/>
    <w:rsid w:val="00E60BEC"/>
    <w:rsid w:val="00E61ECB"/>
    <w:rsid w:val="00E63928"/>
    <w:rsid w:val="00E72446"/>
    <w:rsid w:val="00E7284F"/>
    <w:rsid w:val="00E72BA3"/>
    <w:rsid w:val="00E7797E"/>
    <w:rsid w:val="00E80D38"/>
    <w:rsid w:val="00E82C35"/>
    <w:rsid w:val="00E8342D"/>
    <w:rsid w:val="00E846A0"/>
    <w:rsid w:val="00E871F6"/>
    <w:rsid w:val="00E90048"/>
    <w:rsid w:val="00E935DA"/>
    <w:rsid w:val="00EA09FC"/>
    <w:rsid w:val="00EA1153"/>
    <w:rsid w:val="00EA31A4"/>
    <w:rsid w:val="00EA391E"/>
    <w:rsid w:val="00EA595B"/>
    <w:rsid w:val="00EB0917"/>
    <w:rsid w:val="00EB25B5"/>
    <w:rsid w:val="00EB5211"/>
    <w:rsid w:val="00EB5FDE"/>
    <w:rsid w:val="00EB713B"/>
    <w:rsid w:val="00EC4775"/>
    <w:rsid w:val="00EC55AC"/>
    <w:rsid w:val="00EC664A"/>
    <w:rsid w:val="00ED2AE4"/>
    <w:rsid w:val="00ED4CF1"/>
    <w:rsid w:val="00EE3C79"/>
    <w:rsid w:val="00EE4622"/>
    <w:rsid w:val="00EF2FFA"/>
    <w:rsid w:val="00EF3144"/>
    <w:rsid w:val="00EF44D7"/>
    <w:rsid w:val="00EF54E1"/>
    <w:rsid w:val="00EF5C54"/>
    <w:rsid w:val="00F0059D"/>
    <w:rsid w:val="00F0103F"/>
    <w:rsid w:val="00F05F3C"/>
    <w:rsid w:val="00F06F43"/>
    <w:rsid w:val="00F12FA1"/>
    <w:rsid w:val="00F30406"/>
    <w:rsid w:val="00F322E1"/>
    <w:rsid w:val="00F34996"/>
    <w:rsid w:val="00F35492"/>
    <w:rsid w:val="00F37DEF"/>
    <w:rsid w:val="00F40B4D"/>
    <w:rsid w:val="00F516EB"/>
    <w:rsid w:val="00F53BCD"/>
    <w:rsid w:val="00F62CC7"/>
    <w:rsid w:val="00F62DC7"/>
    <w:rsid w:val="00F632B7"/>
    <w:rsid w:val="00F67398"/>
    <w:rsid w:val="00F7024B"/>
    <w:rsid w:val="00F709C0"/>
    <w:rsid w:val="00F73B08"/>
    <w:rsid w:val="00F7678E"/>
    <w:rsid w:val="00F82D26"/>
    <w:rsid w:val="00F85DDD"/>
    <w:rsid w:val="00F86A8A"/>
    <w:rsid w:val="00F92FB2"/>
    <w:rsid w:val="00F95B39"/>
    <w:rsid w:val="00F95CBF"/>
    <w:rsid w:val="00F95D97"/>
    <w:rsid w:val="00FA02B7"/>
    <w:rsid w:val="00FA6747"/>
    <w:rsid w:val="00FB0DB0"/>
    <w:rsid w:val="00FB35DA"/>
    <w:rsid w:val="00FB754D"/>
    <w:rsid w:val="00FB7CFF"/>
    <w:rsid w:val="00FC2B6B"/>
    <w:rsid w:val="00FC3356"/>
    <w:rsid w:val="00FC4A81"/>
    <w:rsid w:val="00FC71BC"/>
    <w:rsid w:val="00FD3DAD"/>
    <w:rsid w:val="00FD40A0"/>
    <w:rsid w:val="00FD7AB3"/>
    <w:rsid w:val="00FE2461"/>
    <w:rsid w:val="00FE6594"/>
    <w:rsid w:val="00FF1876"/>
    <w:rsid w:val="00FF3664"/>
    <w:rsid w:val="00FF455D"/>
    <w:rsid w:val="00FF4744"/>
    <w:rsid w:val="00FF4CA5"/>
    <w:rsid w:val="00FF6EFD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BlockText">
    <w:name w:val="Block_Text"/>
    <w:basedOn w:val="Normal"/>
    <w:link w:val="BlockTextChar"/>
    <w:rsid w:val="00130AE7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130AE7"/>
    <w:rPr>
      <w:rFonts w:ascii="Arial" w:eastAsia="Times New Roman" w:hAnsi="Arial" w:cstheme="minorBidi"/>
      <w:sz w:val="22"/>
      <w:szCs w:val="20"/>
      <w:lang w:bidi="ar-SA"/>
    </w:rPr>
  </w:style>
  <w:style w:type="paragraph" w:customStyle="1" w:styleId="TableHeading">
    <w:name w:val="Table Heading"/>
    <w:basedOn w:val="Normal"/>
    <w:link w:val="TableHeadingChar"/>
    <w:rsid w:val="00B855CB"/>
    <w:pPr>
      <w:spacing w:before="120" w:after="120" w:line="300" w:lineRule="atLeast"/>
    </w:pPr>
    <w:rPr>
      <w:rFonts w:ascii="Arial" w:eastAsia="Times" w:hAnsi="Arial"/>
      <w:b/>
      <w:sz w:val="20"/>
    </w:rPr>
  </w:style>
  <w:style w:type="character" w:customStyle="1" w:styleId="TableHeadingChar">
    <w:name w:val="Table Heading Char"/>
    <w:basedOn w:val="DefaultParagraphFont"/>
    <w:link w:val="TableHeading"/>
    <w:rsid w:val="00B855CB"/>
    <w:rPr>
      <w:rFonts w:ascii="Arial" w:eastAsia="Times" w:hAnsi="Arial"/>
      <w:b/>
      <w:sz w:val="20"/>
      <w:lang w:bidi="ar-SA"/>
    </w:rPr>
  </w:style>
  <w:style w:type="paragraph" w:customStyle="1" w:styleId="TableBody">
    <w:name w:val="Table Body"/>
    <w:basedOn w:val="Normal"/>
    <w:link w:val="TableBodyChar"/>
    <w:autoRedefine/>
    <w:qFormat/>
    <w:rsid w:val="007064DF"/>
    <w:pPr>
      <w:contextualSpacing/>
    </w:pPr>
    <w:rPr>
      <w:rFonts w:ascii="Arial" w:eastAsia="Times" w:hAnsi="Arial"/>
      <w:sz w:val="20"/>
      <w:szCs w:val="20"/>
    </w:rPr>
  </w:style>
  <w:style w:type="character" w:customStyle="1" w:styleId="TableBodyChar">
    <w:name w:val="Table Body Char"/>
    <w:basedOn w:val="DefaultParagraphFont"/>
    <w:link w:val="TableBody"/>
    <w:locked/>
    <w:rsid w:val="00B855CB"/>
    <w:rPr>
      <w:rFonts w:ascii="Arial" w:eastAsia="Times" w:hAnsi="Arial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651E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651E8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165A62"/>
    <w:rPr>
      <w:sz w:val="18"/>
      <w:szCs w:val="18"/>
    </w:rPr>
  </w:style>
  <w:style w:type="paragraph" w:customStyle="1" w:styleId="Footerleft-line">
    <w:name w:val="Footer left-line"/>
    <w:basedOn w:val="Normal"/>
    <w:next w:val="Footer"/>
    <w:rsid w:val="00165A62"/>
    <w:pPr>
      <w:pBdr>
        <w:top w:val="single" w:sz="4" w:space="1" w:color="auto"/>
      </w:pBdr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RFPText">
    <w:name w:val="RFPText"/>
    <w:basedOn w:val="Normal"/>
    <w:link w:val="RFPTextChar"/>
    <w:autoRedefine/>
    <w:rsid w:val="0075210A"/>
    <w:pPr>
      <w:ind w:left="720"/>
      <w:jc w:val="center"/>
    </w:pPr>
    <w:rPr>
      <w:b/>
      <w:i/>
      <w:szCs w:val="20"/>
    </w:rPr>
  </w:style>
  <w:style w:type="character" w:customStyle="1" w:styleId="RFPTextChar">
    <w:name w:val="RFPText Char"/>
    <w:basedOn w:val="DefaultParagraphFont"/>
    <w:link w:val="RFPText"/>
    <w:rsid w:val="0075210A"/>
    <w:rPr>
      <w:rFonts w:ascii="Times New Roman" w:eastAsia="Times New Roman" w:hAnsi="Times New Roman"/>
      <w:b/>
      <w:i/>
      <w:szCs w:val="2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6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6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51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30" w:color="EBEBEB"/>
                        <w:left w:val="single" w:sz="36" w:space="23" w:color="EBEBEB"/>
                        <w:bottom w:val="single" w:sz="36" w:space="19" w:color="EBEBEB"/>
                        <w:right w:val="single" w:sz="36" w:space="23" w:color="EBEBEB"/>
                      </w:divBdr>
                      <w:divsChild>
                        <w:div w:id="16947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33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1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30" w:color="EBEBEB"/>
                        <w:left w:val="single" w:sz="36" w:space="23" w:color="EBEBEB"/>
                        <w:bottom w:val="single" w:sz="36" w:space="19" w:color="EBEBEB"/>
                        <w:right w:val="single" w:sz="36" w:space="23" w:color="EBEBEB"/>
                      </w:divBdr>
                      <w:divsChild>
                        <w:div w:id="18876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Solicitations@jud.c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http://www.courts.ca.gov/18454.htm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B860-A560-4EAC-8CCF-8C26280998C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2FA5031-EEAB-4722-8D3D-47971CEAB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7A77B-573B-4415-9877-96FB1BF6D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FE19A8-4F6A-4B90-B3F9-29E60AD2E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1CB24-81DA-4F4F-941D-279074169F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121358-C4AA-49EB-AB5E-9D33DC3F70C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338EB18-7E2D-45B8-A5B9-65833194A60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65A52E5-B3E0-43B9-BE33-CDC4AC05DB3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AD9800F-BC8F-4447-91F5-FF6744A8FB6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1BB745A-0C70-4E3B-BD7D-D2E57847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37</cp:revision>
  <cp:lastPrinted>2012-06-01T01:10:00Z</cp:lastPrinted>
  <dcterms:created xsi:type="dcterms:W3CDTF">2012-07-11T17:44:00Z</dcterms:created>
  <dcterms:modified xsi:type="dcterms:W3CDTF">2012-07-23T23:28:00Z</dcterms:modified>
</cp:coreProperties>
</file>