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BC" w:rsidRDefault="007F28BC" w:rsidP="005C3805">
      <w:pPr>
        <w:pStyle w:val="Heading10"/>
        <w:keepNext w:val="0"/>
        <w:spacing w:after="120"/>
        <w:rPr>
          <w:sz w:val="28"/>
          <w:szCs w:val="28"/>
        </w:rPr>
      </w:pPr>
    </w:p>
    <w:p w:rsidR="007F28BC" w:rsidRDefault="007F28BC" w:rsidP="005C3805">
      <w:pPr>
        <w:pStyle w:val="Heading10"/>
        <w:keepNext w:val="0"/>
        <w:spacing w:after="120"/>
        <w:rPr>
          <w:sz w:val="28"/>
          <w:szCs w:val="28"/>
        </w:rPr>
      </w:pPr>
    </w:p>
    <w:p w:rsidR="005C3805" w:rsidRDefault="005C3805" w:rsidP="005C3805">
      <w:pPr>
        <w:pStyle w:val="Heading10"/>
        <w:keepNext w:val="0"/>
        <w:spacing w:after="120"/>
        <w:rPr>
          <w:sz w:val="28"/>
          <w:szCs w:val="28"/>
        </w:rPr>
      </w:pPr>
      <w:r>
        <w:rPr>
          <w:sz w:val="28"/>
          <w:szCs w:val="28"/>
        </w:rPr>
        <w:t>ATTACHMENT E-1</w:t>
      </w:r>
    </w:p>
    <w:p w:rsidR="005C3805" w:rsidRPr="00552B05" w:rsidRDefault="005C3805" w:rsidP="005C3805">
      <w:pPr>
        <w:pStyle w:val="Heading10"/>
        <w:keepNext w:val="0"/>
        <w:spacing w:after="1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price Proposal for automation</w:t>
      </w:r>
    </w:p>
    <w:p w:rsidR="005C3805" w:rsidRDefault="005C3805" w:rsidP="005C3805">
      <w:pPr>
        <w:tabs>
          <w:tab w:val="center" w:pos="4500"/>
        </w:tabs>
        <w:jc w:val="both"/>
        <w:rPr>
          <w:b/>
        </w:rPr>
      </w:pPr>
    </w:p>
    <w:p w:rsidR="005C3805" w:rsidRDefault="005C3805" w:rsidP="005C3805">
      <w:pPr>
        <w:tabs>
          <w:tab w:val="center" w:pos="4500"/>
        </w:tabs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2038"/>
        <w:gridCol w:w="1565"/>
        <w:gridCol w:w="2110"/>
        <w:gridCol w:w="910"/>
      </w:tblGrid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Courthouse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Equipment Type</w:t>
            </w: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Equipment Cost</w:t>
            </w: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ROI/Amortization Schedule Negotiate in Agreement</w:t>
            </w: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No. of Spaces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Alhambra Court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  <w:vAlign w:val="bottom"/>
          </w:tcPr>
          <w:p w:rsidR="005C3805" w:rsidRPr="004C3350" w:rsidRDefault="005C3805" w:rsidP="00E83F07">
            <w:pPr>
              <w:rPr>
                <w:b/>
              </w:rPr>
            </w:pPr>
            <w:r w:rsidRPr="004C3350">
              <w:rPr>
                <w:b/>
              </w:rPr>
              <w:t>299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Beverly Hills Court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  <w:vAlign w:val="bottom"/>
          </w:tcPr>
          <w:p w:rsidR="005C3805" w:rsidRPr="004C3350" w:rsidRDefault="005C3805" w:rsidP="00E83F07">
            <w:pPr>
              <w:rPr>
                <w:b/>
              </w:rPr>
            </w:pPr>
            <w:r w:rsidRPr="004C3350">
              <w:rPr>
                <w:b/>
              </w:rPr>
              <w:t>242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Chatsworth Court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Compton Court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1,044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Edelman Children’s Court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1,009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El Monte Court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395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Inglewood Court East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Metro Court A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Metro Court B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937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Pasadena Court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965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Pomona Courthouse South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508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San Fernando Court A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Van Nuys Court East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1,356</w:t>
            </w:r>
          </w:p>
        </w:tc>
      </w:tr>
      <w:tr w:rsidR="005C3805" w:rsidRPr="00EF4988" w:rsidTr="00E83F07">
        <w:tc>
          <w:tcPr>
            <w:tcW w:w="2727" w:type="dxa"/>
          </w:tcPr>
          <w:p w:rsidR="005C3805" w:rsidRPr="00EF4988" w:rsidRDefault="005C3805" w:rsidP="00E83F07">
            <w:r w:rsidRPr="00EF4988">
              <w:t>Whittier Court</w:t>
            </w:r>
          </w:p>
        </w:tc>
        <w:tc>
          <w:tcPr>
            <w:tcW w:w="2038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1565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2110" w:type="dxa"/>
          </w:tcPr>
          <w:p w:rsidR="005C3805" w:rsidRPr="00EF4988" w:rsidRDefault="005C3805" w:rsidP="00E83F07">
            <w:pPr>
              <w:rPr>
                <w:b/>
              </w:rPr>
            </w:pPr>
          </w:p>
        </w:tc>
        <w:tc>
          <w:tcPr>
            <w:tcW w:w="910" w:type="dxa"/>
          </w:tcPr>
          <w:p w:rsidR="005C3805" w:rsidRPr="00EF4988" w:rsidRDefault="005C3805" w:rsidP="00E83F07">
            <w:pPr>
              <w:rPr>
                <w:b/>
              </w:rPr>
            </w:pPr>
            <w:r>
              <w:rPr>
                <w:b/>
              </w:rPr>
              <w:t>241</w:t>
            </w:r>
          </w:p>
        </w:tc>
      </w:tr>
    </w:tbl>
    <w:p w:rsidR="005C3805" w:rsidRDefault="005C3805" w:rsidP="005C3805">
      <w:pPr>
        <w:tabs>
          <w:tab w:val="center" w:pos="4500"/>
        </w:tabs>
        <w:jc w:val="both"/>
        <w:rPr>
          <w:b/>
        </w:rPr>
      </w:pPr>
    </w:p>
    <w:p w:rsidR="005C3805" w:rsidRDefault="005C3805" w:rsidP="005C3805">
      <w:pPr>
        <w:tabs>
          <w:tab w:val="center" w:pos="4500"/>
        </w:tabs>
        <w:jc w:val="both"/>
        <w:rPr>
          <w:b/>
        </w:rPr>
      </w:pPr>
    </w:p>
    <w:p w:rsidR="005C3805" w:rsidRDefault="005C3805" w:rsidP="005C3805">
      <w:pPr>
        <w:tabs>
          <w:tab w:val="center" w:pos="4500"/>
        </w:tabs>
        <w:jc w:val="both"/>
        <w:rPr>
          <w:b/>
        </w:rPr>
      </w:pPr>
      <w:r>
        <w:rPr>
          <w:b/>
        </w:rPr>
        <w:tab/>
        <w:t xml:space="preserve">             END OF ATTACHMENT E-1</w:t>
      </w:r>
    </w:p>
    <w:p w:rsidR="005C3805" w:rsidRDefault="005C3805" w:rsidP="005C3805">
      <w:pPr>
        <w:tabs>
          <w:tab w:val="center" w:pos="4500"/>
        </w:tabs>
        <w:jc w:val="both"/>
        <w:rPr>
          <w:b/>
        </w:rPr>
      </w:pPr>
    </w:p>
    <w:p w:rsidR="004E6A61" w:rsidRDefault="004E6A61"/>
    <w:sectPr w:rsidR="004E6A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BC" w:rsidRDefault="007F28BC" w:rsidP="007F28BC">
      <w:pPr>
        <w:spacing w:after="0" w:line="240" w:lineRule="auto"/>
      </w:pPr>
      <w:r>
        <w:separator/>
      </w:r>
    </w:p>
  </w:endnote>
  <w:endnote w:type="continuationSeparator" w:id="0">
    <w:p w:rsidR="007F28BC" w:rsidRDefault="007F28BC" w:rsidP="007F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BC" w:rsidRDefault="007F28BC" w:rsidP="007F28BC">
      <w:pPr>
        <w:spacing w:after="0" w:line="240" w:lineRule="auto"/>
      </w:pPr>
      <w:r>
        <w:separator/>
      </w:r>
    </w:p>
  </w:footnote>
  <w:footnote w:type="continuationSeparator" w:id="0">
    <w:p w:rsidR="007F28BC" w:rsidRDefault="007F28BC" w:rsidP="007F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BC" w:rsidRDefault="007F28BC" w:rsidP="007F28BC">
    <w:pPr>
      <w:pStyle w:val="Header"/>
    </w:pPr>
    <w:r>
      <w:t>RFP No. RFP-FSO-PFMS-2018-21-JP</w:t>
    </w:r>
  </w:p>
  <w:p w:rsidR="007F28BC" w:rsidRDefault="007F28BC" w:rsidP="007F28BC">
    <w:pPr>
      <w:pStyle w:val="Header"/>
    </w:pPr>
    <w:r>
      <w:t>RFP PARKING FACILITY MANAGEMENT FOR FSO THROUGHOUT THE STATE OF CALIFORNIA COURT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05"/>
    <w:rsid w:val="004E6A61"/>
    <w:rsid w:val="005C3805"/>
    <w:rsid w:val="007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27CA"/>
  <w15:chartTrackingRefBased/>
  <w15:docId w15:val="{6F82A624-9BF2-46DA-96B4-9B128EA8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8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0"/>
    <w:basedOn w:val="Heading9"/>
    <w:uiPriority w:val="99"/>
    <w:rsid w:val="005C3805"/>
    <w:pPr>
      <w:keepLines w:val="0"/>
      <w:tabs>
        <w:tab w:val="left" w:pos="10710"/>
      </w:tabs>
      <w:spacing w:before="0" w:line="240" w:lineRule="auto"/>
      <w:ind w:left="360" w:right="187" w:hanging="360"/>
      <w:jc w:val="center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8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F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8BC"/>
  </w:style>
  <w:style w:type="paragraph" w:styleId="Footer">
    <w:name w:val="footer"/>
    <w:basedOn w:val="Normal"/>
    <w:link w:val="FooterChar"/>
    <w:uiPriority w:val="99"/>
    <w:unhideWhenUsed/>
    <w:rsid w:val="007F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2</cp:revision>
  <dcterms:created xsi:type="dcterms:W3CDTF">2018-09-19T17:23:00Z</dcterms:created>
  <dcterms:modified xsi:type="dcterms:W3CDTF">2018-09-19T20:17:00Z</dcterms:modified>
</cp:coreProperties>
</file>