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A5" w:rsidRDefault="004757A5" w:rsidP="004757A5">
      <w:pPr>
        <w:autoSpaceDE w:val="0"/>
        <w:autoSpaceDN w:val="0"/>
        <w:adjustRightInd w:val="0"/>
        <w:jc w:val="center"/>
        <w:rPr>
          <w:b/>
          <w:bCs/>
          <w:color w:val="auto"/>
          <w:sz w:val="28"/>
          <w:szCs w:val="28"/>
        </w:rPr>
      </w:pPr>
      <w:r>
        <w:rPr>
          <w:b/>
          <w:bCs/>
          <w:color w:val="auto"/>
          <w:sz w:val="28"/>
          <w:szCs w:val="28"/>
        </w:rPr>
        <w:t>ADMINISTRATIVE OFFICE OF THE COURTS</w:t>
      </w:r>
    </w:p>
    <w:p w:rsidR="004757A5" w:rsidRDefault="004757A5" w:rsidP="004757A5">
      <w:pPr>
        <w:autoSpaceDE w:val="0"/>
        <w:autoSpaceDN w:val="0"/>
        <w:adjustRightInd w:val="0"/>
        <w:jc w:val="center"/>
        <w:rPr>
          <w:b/>
          <w:bCs/>
          <w:color w:val="auto"/>
          <w:sz w:val="28"/>
          <w:szCs w:val="28"/>
        </w:rPr>
      </w:pPr>
    </w:p>
    <w:p w:rsidR="004757A5" w:rsidRDefault="004757A5" w:rsidP="004757A5">
      <w:pPr>
        <w:autoSpaceDE w:val="0"/>
        <w:autoSpaceDN w:val="0"/>
        <w:adjustRightInd w:val="0"/>
        <w:jc w:val="center"/>
        <w:rPr>
          <w:b/>
          <w:bCs/>
          <w:color w:val="auto"/>
          <w:sz w:val="28"/>
          <w:szCs w:val="28"/>
        </w:rPr>
      </w:pPr>
      <w:r>
        <w:rPr>
          <w:b/>
          <w:bCs/>
          <w:color w:val="auto"/>
          <w:sz w:val="28"/>
          <w:szCs w:val="28"/>
        </w:rPr>
        <w:t>QUESTIONS AND ANSWERS</w:t>
      </w:r>
    </w:p>
    <w:p w:rsidR="004757A5" w:rsidRDefault="004757A5" w:rsidP="004757A5">
      <w:pPr>
        <w:autoSpaceDE w:val="0"/>
        <w:autoSpaceDN w:val="0"/>
        <w:adjustRightInd w:val="0"/>
        <w:jc w:val="center"/>
        <w:rPr>
          <w:b/>
          <w:bCs/>
          <w:color w:val="auto"/>
          <w:sz w:val="28"/>
          <w:szCs w:val="28"/>
        </w:rPr>
      </w:pPr>
    </w:p>
    <w:p w:rsidR="004757A5" w:rsidRDefault="004757A5" w:rsidP="004757A5">
      <w:pPr>
        <w:autoSpaceDE w:val="0"/>
        <w:autoSpaceDN w:val="0"/>
        <w:adjustRightInd w:val="0"/>
        <w:jc w:val="center"/>
        <w:rPr>
          <w:b/>
          <w:bCs/>
          <w:color w:val="auto"/>
          <w:sz w:val="28"/>
          <w:szCs w:val="28"/>
        </w:rPr>
      </w:pPr>
    </w:p>
    <w:p w:rsidR="00263C8D" w:rsidRPr="00263C8D" w:rsidRDefault="00263C8D" w:rsidP="00263C8D">
      <w:pPr>
        <w:autoSpaceDE w:val="0"/>
        <w:autoSpaceDN w:val="0"/>
        <w:adjustRightInd w:val="0"/>
        <w:jc w:val="center"/>
        <w:rPr>
          <w:b/>
          <w:bCs/>
          <w:color w:val="auto"/>
          <w:sz w:val="28"/>
          <w:szCs w:val="28"/>
        </w:rPr>
      </w:pPr>
      <w:r w:rsidRPr="00263C8D">
        <w:rPr>
          <w:b/>
          <w:bCs/>
          <w:color w:val="auto"/>
          <w:sz w:val="28"/>
          <w:szCs w:val="28"/>
        </w:rPr>
        <w:t xml:space="preserve">RFP Number: </w:t>
      </w:r>
      <w:r w:rsidR="003C5A6D">
        <w:rPr>
          <w:b/>
          <w:bCs/>
          <w:color w:val="auto"/>
          <w:sz w:val="28"/>
          <w:szCs w:val="28"/>
        </w:rPr>
        <w:t>CFCC 2012-01-RB</w:t>
      </w:r>
      <w:r w:rsidR="00D362AD">
        <w:rPr>
          <w:b/>
          <w:bCs/>
          <w:color w:val="auto"/>
          <w:sz w:val="28"/>
          <w:szCs w:val="28"/>
        </w:rPr>
        <w:t xml:space="preserve"> </w:t>
      </w:r>
    </w:p>
    <w:p w:rsidR="00263C8D" w:rsidRDefault="00263C8D" w:rsidP="00C07721">
      <w:pPr>
        <w:autoSpaceDE w:val="0"/>
        <w:autoSpaceDN w:val="0"/>
        <w:adjustRightInd w:val="0"/>
        <w:jc w:val="center"/>
        <w:rPr>
          <w:b/>
          <w:bCs/>
          <w:color w:val="auto"/>
          <w:sz w:val="28"/>
          <w:szCs w:val="28"/>
        </w:rPr>
      </w:pPr>
    </w:p>
    <w:p w:rsidR="00263C8D" w:rsidRPr="00263C8D" w:rsidRDefault="003C5A6D" w:rsidP="00263C8D">
      <w:pPr>
        <w:autoSpaceDE w:val="0"/>
        <w:autoSpaceDN w:val="0"/>
        <w:adjustRightInd w:val="0"/>
        <w:jc w:val="center"/>
        <w:rPr>
          <w:b/>
          <w:bCs/>
          <w:color w:val="auto"/>
          <w:sz w:val="28"/>
          <w:szCs w:val="28"/>
        </w:rPr>
      </w:pPr>
      <w:r>
        <w:rPr>
          <w:b/>
          <w:bCs/>
          <w:color w:val="auto"/>
          <w:sz w:val="28"/>
          <w:szCs w:val="28"/>
        </w:rPr>
        <w:t>Imperial County Dependency Representation</w:t>
      </w:r>
    </w:p>
    <w:p w:rsidR="004757A5" w:rsidRPr="00C07721" w:rsidRDefault="004757A5" w:rsidP="00C07721">
      <w:pPr>
        <w:autoSpaceDE w:val="0"/>
        <w:autoSpaceDN w:val="0"/>
        <w:adjustRightInd w:val="0"/>
        <w:jc w:val="center"/>
        <w:rPr>
          <w:b/>
          <w:bCs/>
          <w:color w:val="auto"/>
          <w:sz w:val="28"/>
          <w:szCs w:val="28"/>
        </w:rPr>
      </w:pPr>
    </w:p>
    <w:p w:rsidR="004757A5" w:rsidRDefault="004757A5" w:rsidP="004757A5">
      <w:pPr>
        <w:autoSpaceDE w:val="0"/>
        <w:autoSpaceDN w:val="0"/>
        <w:adjustRightInd w:val="0"/>
        <w:jc w:val="center"/>
        <w:rPr>
          <w:b/>
          <w:bCs/>
          <w:color w:val="auto"/>
          <w:sz w:val="28"/>
          <w:szCs w:val="28"/>
        </w:rPr>
      </w:pPr>
    </w:p>
    <w:p w:rsidR="004757A5" w:rsidRPr="0018311F" w:rsidRDefault="00FD2D54" w:rsidP="004757A5">
      <w:pPr>
        <w:autoSpaceDE w:val="0"/>
        <w:autoSpaceDN w:val="0"/>
        <w:adjustRightInd w:val="0"/>
        <w:jc w:val="center"/>
        <w:rPr>
          <w:b/>
          <w:color w:val="auto"/>
          <w:sz w:val="24"/>
          <w:szCs w:val="24"/>
        </w:rPr>
      </w:pPr>
      <w:r w:rsidRPr="00362274">
        <w:rPr>
          <w:b/>
          <w:color w:val="auto"/>
          <w:sz w:val="24"/>
          <w:szCs w:val="24"/>
        </w:rPr>
        <w:t>August 15</w:t>
      </w:r>
      <w:r w:rsidR="00610910" w:rsidRPr="00362274">
        <w:rPr>
          <w:b/>
          <w:color w:val="auto"/>
          <w:sz w:val="24"/>
          <w:szCs w:val="24"/>
        </w:rPr>
        <w:t>, 20</w:t>
      </w:r>
      <w:r w:rsidR="003C5A6D" w:rsidRPr="00362274">
        <w:rPr>
          <w:b/>
          <w:color w:val="auto"/>
          <w:sz w:val="24"/>
          <w:szCs w:val="24"/>
        </w:rPr>
        <w:t>12</w:t>
      </w:r>
    </w:p>
    <w:p w:rsidR="004757A5" w:rsidRDefault="004757A5" w:rsidP="004757A5">
      <w:pPr>
        <w:autoSpaceDE w:val="0"/>
        <w:autoSpaceDN w:val="0"/>
        <w:adjustRightInd w:val="0"/>
        <w:jc w:val="center"/>
        <w:rPr>
          <w:b/>
          <w:bCs/>
          <w:color w:val="auto"/>
          <w:sz w:val="28"/>
          <w:szCs w:val="28"/>
        </w:rPr>
      </w:pPr>
    </w:p>
    <w:p w:rsidR="004757A5" w:rsidRDefault="004757A5" w:rsidP="004757A5">
      <w:pPr>
        <w:pBdr>
          <w:bottom w:val="thinThickSmallGap" w:sz="24" w:space="1" w:color="auto"/>
        </w:pBdr>
        <w:autoSpaceDE w:val="0"/>
        <w:autoSpaceDN w:val="0"/>
        <w:adjustRightInd w:val="0"/>
        <w:spacing w:after="240"/>
      </w:pPr>
    </w:p>
    <w:p w:rsidR="00263C8D" w:rsidRPr="00263C8D" w:rsidRDefault="00263C8D" w:rsidP="00263C8D"/>
    <w:p w:rsidR="003C5A6D" w:rsidRDefault="003C5A6D" w:rsidP="003C5A6D">
      <w:pPr>
        <w:numPr>
          <w:ilvl w:val="0"/>
          <w:numId w:val="3"/>
        </w:numPr>
        <w:autoSpaceDE w:val="0"/>
        <w:autoSpaceDN w:val="0"/>
        <w:adjustRightInd w:val="0"/>
        <w:spacing w:after="240"/>
        <w:ind w:hanging="720"/>
      </w:pPr>
      <w:r>
        <w:t>Does each Lot contemplate that the contracted amount will pay for all counsel in the lot?  The reason for the question is that later in the RFP there is a section on reimbursement and it includes conflict counsel.  For example, does Lot 1 contemplate just two parents and then all others are “conflict” and thus reimbursable?  If not, what is considered a reimbursable conflict attorney expense?</w:t>
      </w:r>
    </w:p>
    <w:p w:rsidR="00FB6C72" w:rsidRDefault="003C5A6D" w:rsidP="003C5A6D">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sidR="00FB6C72">
        <w:rPr>
          <w:color w:val="0000FF"/>
        </w:rPr>
        <w:t xml:space="preserve">The available funding included in Section 7.2.3 of the RFP is the total funding available for all levels of representation within the respective lot.  </w:t>
      </w:r>
    </w:p>
    <w:p w:rsidR="00ED6A63" w:rsidRDefault="00FB6C72" w:rsidP="00ED6A63">
      <w:pPr>
        <w:tabs>
          <w:tab w:val="left" w:pos="1800"/>
        </w:tabs>
        <w:autoSpaceDE w:val="0"/>
        <w:autoSpaceDN w:val="0"/>
        <w:adjustRightInd w:val="0"/>
        <w:spacing w:after="240"/>
        <w:ind w:left="1800"/>
        <w:rPr>
          <w:color w:val="0000FF"/>
        </w:rPr>
      </w:pPr>
      <w:r>
        <w:rPr>
          <w:color w:val="0000FF"/>
        </w:rPr>
        <w:t xml:space="preserve">Lot 1 </w:t>
      </w:r>
      <w:r w:rsidR="00C8004E">
        <w:rPr>
          <w:color w:val="0000FF"/>
        </w:rPr>
        <w:t>includes</w:t>
      </w:r>
      <w:r>
        <w:rPr>
          <w:color w:val="0000FF"/>
        </w:rPr>
        <w:t xml:space="preserve"> representation for all parents, guardians, and de facto parents in</w:t>
      </w:r>
      <w:r w:rsidR="00AD7F67">
        <w:rPr>
          <w:color w:val="0000FF"/>
        </w:rPr>
        <w:t xml:space="preserve"> </w:t>
      </w:r>
      <w:r>
        <w:rPr>
          <w:color w:val="0000FF"/>
        </w:rPr>
        <w:t>juvenile dependency proceedings</w:t>
      </w:r>
      <w:r w:rsidR="00AD7F67">
        <w:rPr>
          <w:color w:val="0000FF"/>
        </w:rPr>
        <w:t xml:space="preserve">.  </w:t>
      </w:r>
      <w:r>
        <w:rPr>
          <w:color w:val="0000FF"/>
        </w:rPr>
        <w:t xml:space="preserve">An agency that is not organized to have staff attorneys available to cover all levels of </w:t>
      </w:r>
      <w:r w:rsidR="00C8004E">
        <w:rPr>
          <w:color w:val="0000FF"/>
        </w:rPr>
        <w:t>parent</w:t>
      </w:r>
      <w:r>
        <w:rPr>
          <w:color w:val="0000FF"/>
        </w:rPr>
        <w:t xml:space="preserve"> representation may </w:t>
      </w:r>
      <w:r w:rsidR="003A5C17">
        <w:rPr>
          <w:color w:val="0000FF"/>
        </w:rPr>
        <w:t xml:space="preserve">establish </w:t>
      </w:r>
      <w:r>
        <w:rPr>
          <w:color w:val="0000FF"/>
        </w:rPr>
        <w:t>subcontract</w:t>
      </w:r>
      <w:r w:rsidR="003A5C17">
        <w:rPr>
          <w:color w:val="0000FF"/>
        </w:rPr>
        <w:t>s</w:t>
      </w:r>
      <w:r>
        <w:rPr>
          <w:color w:val="0000FF"/>
        </w:rPr>
        <w:t xml:space="preserve"> </w:t>
      </w:r>
      <w:r w:rsidR="003A5C17">
        <w:rPr>
          <w:color w:val="0000FF"/>
        </w:rPr>
        <w:t>with</w:t>
      </w:r>
      <w:r w:rsidR="00AE2A12">
        <w:rPr>
          <w:color w:val="0000FF"/>
        </w:rPr>
        <w:t xml:space="preserve"> conflict attorneys.  Under this model</w:t>
      </w:r>
      <w:r w:rsidR="003A5C17">
        <w:rPr>
          <w:color w:val="0000FF"/>
        </w:rPr>
        <w:t xml:space="preserve">, expenses associated with representation provided by conflict attorneys </w:t>
      </w:r>
      <w:r w:rsidR="00AE2A12">
        <w:rPr>
          <w:color w:val="0000FF"/>
        </w:rPr>
        <w:t xml:space="preserve">are reimbursed </w:t>
      </w:r>
      <w:r w:rsidR="003A5C17">
        <w:rPr>
          <w:color w:val="0000FF"/>
        </w:rPr>
        <w:t>based on actual expenditures</w:t>
      </w:r>
      <w:r w:rsidR="00AE2A12">
        <w:rPr>
          <w:color w:val="0000FF"/>
        </w:rPr>
        <w:t xml:space="preserve">.  The budget should </w:t>
      </w:r>
      <w:r w:rsidR="00BF3830">
        <w:rPr>
          <w:color w:val="0000FF"/>
        </w:rPr>
        <w:t>detail</w:t>
      </w:r>
      <w:r w:rsidR="00AE2A12">
        <w:rPr>
          <w:color w:val="0000FF"/>
        </w:rPr>
        <w:t xml:space="preserve"> the </w:t>
      </w:r>
      <w:r w:rsidR="00C8004E">
        <w:rPr>
          <w:color w:val="0000FF"/>
        </w:rPr>
        <w:t xml:space="preserve">salary for </w:t>
      </w:r>
      <w:r w:rsidR="00BF3830">
        <w:rPr>
          <w:color w:val="0000FF"/>
        </w:rPr>
        <w:t xml:space="preserve">staff </w:t>
      </w:r>
      <w:r w:rsidR="00C8004E">
        <w:rPr>
          <w:color w:val="0000FF"/>
        </w:rPr>
        <w:t xml:space="preserve">attorneys </w:t>
      </w:r>
      <w:r w:rsidR="00BF3830">
        <w:rPr>
          <w:color w:val="0000FF"/>
        </w:rPr>
        <w:t xml:space="preserve">and </w:t>
      </w:r>
      <w:r w:rsidR="00C8004E">
        <w:rPr>
          <w:color w:val="0000FF"/>
        </w:rPr>
        <w:t xml:space="preserve">the estimated funding needed for </w:t>
      </w:r>
      <w:r w:rsidR="00BF3830">
        <w:rPr>
          <w:color w:val="0000FF"/>
        </w:rPr>
        <w:t>conflict attorneys</w:t>
      </w:r>
      <w:r w:rsidR="00C8004E">
        <w:rPr>
          <w:color w:val="0000FF"/>
        </w:rPr>
        <w:t>, if applicable</w:t>
      </w:r>
      <w:r w:rsidR="00BF3830">
        <w:rPr>
          <w:color w:val="0000FF"/>
        </w:rPr>
        <w:t xml:space="preserve">.  However, the total budget for both should be within the range included in the RFP.    </w:t>
      </w:r>
      <w:r w:rsidR="00AE2A12">
        <w:rPr>
          <w:color w:val="0000FF"/>
        </w:rPr>
        <w:t xml:space="preserve"> </w:t>
      </w:r>
      <w:r w:rsidR="003A5C17">
        <w:rPr>
          <w:color w:val="0000FF"/>
        </w:rPr>
        <w:t xml:space="preserve">  </w:t>
      </w:r>
      <w:r>
        <w:rPr>
          <w:color w:val="0000FF"/>
        </w:rPr>
        <w:t xml:space="preserve">  </w:t>
      </w:r>
    </w:p>
    <w:p w:rsidR="003C5A6D" w:rsidRDefault="003C5A6D" w:rsidP="003C5A6D">
      <w:pPr>
        <w:numPr>
          <w:ilvl w:val="0"/>
          <w:numId w:val="3"/>
        </w:numPr>
        <w:autoSpaceDE w:val="0"/>
        <w:autoSpaceDN w:val="0"/>
        <w:adjustRightInd w:val="0"/>
        <w:spacing w:after="240"/>
        <w:ind w:hanging="720"/>
      </w:pPr>
      <w:r>
        <w:t>Assuming that one or more current contractors do not win the bid and are terminated, there will be up to six month period to transfer the files to the new contractors.  Who pays the terminated counsel to handle the cases until transferred, the AOC?</w:t>
      </w:r>
    </w:p>
    <w:p w:rsidR="003C5A6D" w:rsidRPr="00AB4952" w:rsidRDefault="003C5A6D" w:rsidP="00AE2A12">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sidR="00AE2A12">
        <w:rPr>
          <w:color w:val="0000FF"/>
        </w:rPr>
        <w:t xml:space="preserve">Payment to existing contractors who are not awarded a contract from this RFP will receive payment directly from the AOC until the transition of all cases is complete.  </w:t>
      </w:r>
    </w:p>
    <w:p w:rsidR="003C5A6D" w:rsidRDefault="003C5A6D" w:rsidP="003C5A6D">
      <w:pPr>
        <w:numPr>
          <w:ilvl w:val="0"/>
          <w:numId w:val="3"/>
        </w:numPr>
        <w:autoSpaceDE w:val="0"/>
        <w:autoSpaceDN w:val="0"/>
        <w:adjustRightInd w:val="0"/>
        <w:spacing w:after="240"/>
        <w:ind w:hanging="720"/>
      </w:pPr>
      <w:r>
        <w:t>Currently, all three contractors represent parents and children.  Assuming one or more of them is awarded a contract under the RFP for example, for children only, but they currently have some parents, what happens to those parent clients?  It would seem fair to transfer the parent clients to “parents” counsel.</w:t>
      </w:r>
    </w:p>
    <w:p w:rsidR="003C5A6D" w:rsidRPr="00AB4952" w:rsidRDefault="003C5A6D" w:rsidP="003C5A6D">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sidR="001F12E9">
        <w:rPr>
          <w:color w:val="0000FF"/>
        </w:rPr>
        <w:t xml:space="preserve">If a current vendor is </w:t>
      </w:r>
      <w:r w:rsidR="00AD7F67">
        <w:rPr>
          <w:color w:val="0000FF"/>
        </w:rPr>
        <w:t xml:space="preserve">selected and </w:t>
      </w:r>
      <w:r w:rsidR="001F12E9">
        <w:rPr>
          <w:color w:val="0000FF"/>
        </w:rPr>
        <w:t>awarded one of the new contracts, representation of existing clients may be continued and incorporated into the new contract</w:t>
      </w:r>
      <w:r w:rsidR="00AD7F67">
        <w:rPr>
          <w:color w:val="0000FF"/>
        </w:rPr>
        <w:t xml:space="preserve">.  </w:t>
      </w:r>
      <w:r w:rsidR="000E29E0">
        <w:rPr>
          <w:color w:val="0000FF"/>
        </w:rPr>
        <w:t xml:space="preserve">The </w:t>
      </w:r>
      <w:r w:rsidR="004A3C39">
        <w:rPr>
          <w:color w:val="0000FF"/>
        </w:rPr>
        <w:t>goal is</w:t>
      </w:r>
      <w:r w:rsidR="000E29E0">
        <w:rPr>
          <w:color w:val="0000FF"/>
        </w:rPr>
        <w:t xml:space="preserve"> to ensure that all lots are appropriately staffed</w:t>
      </w:r>
      <w:r w:rsidR="004A3C39">
        <w:rPr>
          <w:color w:val="0000FF"/>
        </w:rPr>
        <w:t xml:space="preserve"> </w:t>
      </w:r>
      <w:r w:rsidR="00F73EE1">
        <w:rPr>
          <w:color w:val="0000FF"/>
        </w:rPr>
        <w:t xml:space="preserve">by the expected contract start date of October, 1, 2012, </w:t>
      </w:r>
      <w:r w:rsidR="004A3C39">
        <w:rPr>
          <w:color w:val="0000FF"/>
        </w:rPr>
        <w:t xml:space="preserve">while </w:t>
      </w:r>
      <w:r w:rsidR="00F73EE1">
        <w:rPr>
          <w:color w:val="0000FF"/>
        </w:rPr>
        <w:t xml:space="preserve">also </w:t>
      </w:r>
      <w:r w:rsidR="00ED6A63" w:rsidRPr="00ED6A63">
        <w:rPr>
          <w:color w:val="0000FF"/>
        </w:rPr>
        <w:t xml:space="preserve">minimizing disruption of services to clients.  The exact transition timeline may vary per case as described in Attachment 4, </w:t>
      </w:r>
      <w:r w:rsidR="00ED6A63" w:rsidRPr="00ED6A63">
        <w:rPr>
          <w:color w:val="0000FF"/>
        </w:rPr>
        <w:lastRenderedPageBreak/>
        <w:t xml:space="preserve">Section 7. </w:t>
      </w:r>
      <w:r w:rsidR="004A3C39">
        <w:rPr>
          <w:color w:val="0000FF"/>
        </w:rPr>
        <w:t>This</w:t>
      </w:r>
      <w:r w:rsidR="00AD7F67">
        <w:rPr>
          <w:color w:val="0000FF"/>
        </w:rPr>
        <w:t xml:space="preserve"> determination will be made </w:t>
      </w:r>
      <w:r w:rsidR="001F12E9">
        <w:rPr>
          <w:color w:val="0000FF"/>
        </w:rPr>
        <w:t xml:space="preserve"> on a case by case basis during the transitional</w:t>
      </w:r>
      <w:r w:rsidR="001425E6">
        <w:rPr>
          <w:color w:val="0000FF"/>
        </w:rPr>
        <w:t xml:space="preserve"> period after selection</w:t>
      </w:r>
      <w:r w:rsidR="00AD7F67">
        <w:rPr>
          <w:color w:val="0000FF"/>
        </w:rPr>
        <w:t xml:space="preserve"> has been finalized</w:t>
      </w:r>
      <w:r w:rsidR="001F12E9">
        <w:rPr>
          <w:color w:val="0000FF"/>
        </w:rPr>
        <w:t xml:space="preserve">.   </w:t>
      </w:r>
    </w:p>
    <w:p w:rsidR="003C5A6D" w:rsidRDefault="003C5A6D" w:rsidP="003C5A6D">
      <w:pPr>
        <w:numPr>
          <w:ilvl w:val="0"/>
          <w:numId w:val="3"/>
        </w:numPr>
        <w:autoSpaceDE w:val="0"/>
        <w:autoSpaceDN w:val="0"/>
        <w:adjustRightInd w:val="0"/>
        <w:spacing w:after="240"/>
        <w:ind w:hanging="720"/>
      </w:pPr>
      <w:r>
        <w:t>When is the last information you have on client count in this county and what is the breakdown by parents and children?  That information does not appear to have been included for Imperial County and it is difficult to prepare an RFP without this information.</w:t>
      </w:r>
    </w:p>
    <w:p w:rsidR="003C5A6D" w:rsidRPr="00AB4952" w:rsidRDefault="003C5A6D" w:rsidP="003C5A6D">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sidR="004371AF">
        <w:rPr>
          <w:color w:val="0000FF"/>
        </w:rPr>
        <w:t>Caseload information for Imperial County can be found in Attachment 4, Section 9</w:t>
      </w:r>
      <w:r w:rsidR="00AD7F67">
        <w:rPr>
          <w:color w:val="0000FF"/>
        </w:rPr>
        <w:t xml:space="preserve"> of the solicitation document</w:t>
      </w:r>
      <w:r w:rsidR="004371AF">
        <w:rPr>
          <w:color w:val="0000FF"/>
        </w:rPr>
        <w:t xml:space="preserve">.  </w:t>
      </w:r>
    </w:p>
    <w:p w:rsidR="003C5A6D" w:rsidRDefault="003C5A6D" w:rsidP="003C5A6D">
      <w:pPr>
        <w:numPr>
          <w:ilvl w:val="0"/>
          <w:numId w:val="3"/>
        </w:numPr>
        <w:autoSpaceDE w:val="0"/>
        <w:autoSpaceDN w:val="0"/>
        <w:adjustRightInd w:val="0"/>
        <w:spacing w:after="240"/>
        <w:ind w:hanging="720"/>
      </w:pPr>
      <w:r>
        <w:t>A key question is to clear up an ambiguity.  For example, when the RFP requests representation of ALL parents does it mean that the funds provided are to pay for that?  Or, for example, since there are us</w:t>
      </w:r>
      <w:r w:rsidR="00B23E2C">
        <w:t>u</w:t>
      </w:r>
      <w:r>
        <w:t>ally two parents in most cases is the funding for Lot 1 only for parent 1 and then the AOC will reimburse for conflict counsel for second parent, third parent etc?  The same applies for children.</w:t>
      </w:r>
    </w:p>
    <w:p w:rsidR="003C5A6D" w:rsidRPr="00AB4952" w:rsidRDefault="003C5A6D" w:rsidP="003C5A6D">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sidR="00BF3830">
        <w:rPr>
          <w:color w:val="0000FF"/>
        </w:rPr>
        <w:t xml:space="preserve">See the response to Question 1.  </w:t>
      </w:r>
    </w:p>
    <w:p w:rsidR="003C5A6D" w:rsidRDefault="003C5A6D" w:rsidP="003C5A6D">
      <w:pPr>
        <w:numPr>
          <w:ilvl w:val="0"/>
          <w:numId w:val="3"/>
        </w:numPr>
        <w:autoSpaceDE w:val="0"/>
        <w:autoSpaceDN w:val="0"/>
        <w:adjustRightInd w:val="0"/>
        <w:spacing w:after="240"/>
        <w:ind w:hanging="720"/>
      </w:pPr>
      <w:r>
        <w:t>Who pays for old contractors who do not win a bid whose cases may linger for awhile, months etc?</w:t>
      </w:r>
    </w:p>
    <w:p w:rsidR="003C5A6D" w:rsidRPr="00AB4952" w:rsidRDefault="003C5A6D" w:rsidP="003C5A6D">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sidR="001A7BE7">
        <w:rPr>
          <w:color w:val="0000FF"/>
        </w:rPr>
        <w:t>See the response to Question 2.</w:t>
      </w:r>
      <w:r w:rsidR="004371AF">
        <w:rPr>
          <w:color w:val="0000FF"/>
        </w:rPr>
        <w:t xml:space="preserve">  </w:t>
      </w:r>
    </w:p>
    <w:p w:rsidR="003C5A6D" w:rsidRDefault="003C5A6D" w:rsidP="003C5A6D">
      <w:pPr>
        <w:numPr>
          <w:ilvl w:val="0"/>
          <w:numId w:val="3"/>
        </w:numPr>
        <w:autoSpaceDE w:val="0"/>
        <w:autoSpaceDN w:val="0"/>
        <w:adjustRightInd w:val="0"/>
        <w:spacing w:after="240"/>
        <w:ind w:hanging="720"/>
      </w:pPr>
      <w:r>
        <w:t>What happens if a winning bidder is already a contractor and has mixed cases?  For example, they win the parent bid will they be able to transfer all children clients to the “new” child contractor?</w:t>
      </w:r>
    </w:p>
    <w:p w:rsidR="003C5A6D" w:rsidRPr="00AB4952" w:rsidRDefault="003C5A6D" w:rsidP="003C5A6D">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sidR="001A7BE7">
        <w:rPr>
          <w:color w:val="0000FF"/>
        </w:rPr>
        <w:t xml:space="preserve">See the response to Question 3.  </w:t>
      </w:r>
    </w:p>
    <w:p w:rsidR="003C5A6D" w:rsidRDefault="003C5A6D" w:rsidP="003C5A6D">
      <w:pPr>
        <w:numPr>
          <w:ilvl w:val="0"/>
          <w:numId w:val="3"/>
        </w:numPr>
        <w:autoSpaceDE w:val="0"/>
        <w:autoSpaceDN w:val="0"/>
        <w:adjustRightInd w:val="0"/>
        <w:spacing w:after="240"/>
        <w:ind w:hanging="720"/>
      </w:pPr>
      <w:r>
        <w:t>Finally, and very important, we need the current count of open child and parent cases ASAP so we can start working on budgets.</w:t>
      </w:r>
    </w:p>
    <w:p w:rsidR="003C5A6D" w:rsidRPr="00AB4952" w:rsidRDefault="003C5A6D" w:rsidP="003C5A6D">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sidR="001A7BE7">
        <w:rPr>
          <w:color w:val="0000FF"/>
        </w:rPr>
        <w:t>See the response to Question 4</w:t>
      </w:r>
    </w:p>
    <w:p w:rsidR="003C5A6D" w:rsidRDefault="003C5A6D" w:rsidP="003C5A6D">
      <w:pPr>
        <w:numPr>
          <w:ilvl w:val="0"/>
          <w:numId w:val="3"/>
        </w:numPr>
        <w:autoSpaceDE w:val="0"/>
        <w:autoSpaceDN w:val="0"/>
        <w:adjustRightInd w:val="0"/>
        <w:spacing w:after="240"/>
        <w:ind w:hanging="720"/>
      </w:pPr>
      <w:r w:rsidRPr="003C5A6D">
        <w:t>The proposal is somewhat ambiguous because on the one-hand it appears that the proposed budget for each lot contemplates that all counsel will be paid from the budgeted amount.  But, there are provisions for payment of conflict counsel outside of the contracted amount.  Therefore, the question is in Lot 1 does the budgeted amount contemplate that contractor will pay for first and second parent and all others will be conflict and reimbursed?  Or, does the contract for Lot 1 cover just first parent counsel and all others are conflict and reimbursed?  Or, are all counsel, regardless of the number of parents and/or guardians to be paid out of the contracted amount and the conflict info in the RFP is a mistake and should not have been included?</w:t>
      </w:r>
    </w:p>
    <w:p w:rsidR="003C5A6D" w:rsidRPr="00AB4952" w:rsidRDefault="003C5A6D" w:rsidP="003C5A6D">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sidR="001A7BE7">
        <w:rPr>
          <w:color w:val="0000FF"/>
        </w:rPr>
        <w:t>See the response to Question 1.</w:t>
      </w:r>
    </w:p>
    <w:p w:rsidR="003C5A6D" w:rsidRDefault="003C5A6D" w:rsidP="003C5A6D">
      <w:pPr>
        <w:numPr>
          <w:ilvl w:val="0"/>
          <w:numId w:val="3"/>
        </w:numPr>
        <w:autoSpaceDE w:val="0"/>
        <w:autoSpaceDN w:val="0"/>
        <w:adjustRightInd w:val="0"/>
        <w:spacing w:after="240"/>
        <w:ind w:hanging="720"/>
      </w:pPr>
      <w:r w:rsidRPr="003C5A6D">
        <w:t>The same question applies to Lots 2 and 3.</w:t>
      </w:r>
    </w:p>
    <w:p w:rsidR="003C5A6D" w:rsidRPr="00AB4952" w:rsidRDefault="003C5A6D" w:rsidP="003C5A6D">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sidR="001A7BE7">
        <w:rPr>
          <w:color w:val="0000FF"/>
        </w:rPr>
        <w:t>See the response to Question 1.</w:t>
      </w:r>
    </w:p>
    <w:p w:rsidR="003C5A6D" w:rsidRDefault="003C5A6D" w:rsidP="003C5A6D">
      <w:pPr>
        <w:numPr>
          <w:ilvl w:val="0"/>
          <w:numId w:val="3"/>
        </w:numPr>
        <w:autoSpaceDE w:val="0"/>
        <w:autoSpaceDN w:val="0"/>
        <w:adjustRightInd w:val="0"/>
        <w:spacing w:after="240"/>
        <w:ind w:hanging="720"/>
      </w:pPr>
      <w:r w:rsidRPr="003C5A6D">
        <w:t>Who pays for the old contractors who do not win a bid and whose cases cannot be transferred right away to new contractors?  AOC?  Or, will this amount come out of the budgeted/contracted amount of the new contractors?</w:t>
      </w:r>
    </w:p>
    <w:p w:rsidR="003C5A6D" w:rsidRPr="00AB4952" w:rsidRDefault="003C5A6D" w:rsidP="003C5A6D">
      <w:pPr>
        <w:tabs>
          <w:tab w:val="left" w:pos="1800"/>
        </w:tabs>
        <w:autoSpaceDE w:val="0"/>
        <w:autoSpaceDN w:val="0"/>
        <w:adjustRightInd w:val="0"/>
        <w:spacing w:after="240"/>
        <w:ind w:left="1800" w:hanging="1080"/>
        <w:rPr>
          <w:color w:val="0000FF"/>
        </w:rPr>
      </w:pPr>
      <w:r w:rsidRPr="00AB4952">
        <w:rPr>
          <w:color w:val="0000FF"/>
        </w:rPr>
        <w:lastRenderedPageBreak/>
        <w:t>Answer:</w:t>
      </w:r>
      <w:r w:rsidRPr="00AB4952">
        <w:rPr>
          <w:color w:val="0000FF"/>
        </w:rPr>
        <w:tab/>
      </w:r>
      <w:r w:rsidR="001A7BE7">
        <w:rPr>
          <w:color w:val="0000FF"/>
        </w:rPr>
        <w:t xml:space="preserve">See the response to Question 2.  </w:t>
      </w:r>
    </w:p>
    <w:p w:rsidR="003C5A6D" w:rsidRDefault="003C5A6D" w:rsidP="003C5A6D">
      <w:pPr>
        <w:numPr>
          <w:ilvl w:val="0"/>
          <w:numId w:val="3"/>
        </w:numPr>
        <w:autoSpaceDE w:val="0"/>
        <w:autoSpaceDN w:val="0"/>
        <w:adjustRightInd w:val="0"/>
        <w:spacing w:after="240"/>
        <w:ind w:hanging="720"/>
      </w:pPr>
      <w:r w:rsidRPr="003C5A6D">
        <w:t>What happens if a winning bidder is already a contractor who wins Lot 1 but is also currently representing children?  Will they be able to transfer the children to new children counsel or will they be required to be continue representation but paid outside of their contract on an hourly basis or expected to continue representation within the new contract?</w:t>
      </w:r>
    </w:p>
    <w:p w:rsidR="00C20BF5" w:rsidRPr="00AB4952" w:rsidRDefault="00C20BF5" w:rsidP="00C20BF5">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sidR="001A7BE7">
        <w:rPr>
          <w:color w:val="0000FF"/>
        </w:rPr>
        <w:t xml:space="preserve">See the response to Question 3.  </w:t>
      </w:r>
    </w:p>
    <w:p w:rsidR="00AA4012" w:rsidRPr="0043407B" w:rsidRDefault="00AA4012" w:rsidP="00AA4012">
      <w:pPr>
        <w:autoSpaceDE w:val="0"/>
        <w:autoSpaceDN w:val="0"/>
        <w:adjustRightInd w:val="0"/>
        <w:spacing w:after="240"/>
      </w:pPr>
    </w:p>
    <w:p w:rsidR="0043407B" w:rsidRDefault="0043407B" w:rsidP="00A45EB1">
      <w:pPr>
        <w:autoSpaceDE w:val="0"/>
        <w:autoSpaceDN w:val="0"/>
        <w:adjustRightInd w:val="0"/>
        <w:spacing w:after="240"/>
        <w:jc w:val="center"/>
        <w:rPr>
          <w:i/>
        </w:rPr>
      </w:pPr>
    </w:p>
    <w:p w:rsidR="00A45EB1" w:rsidRPr="00A45EB1" w:rsidRDefault="00A45EB1" w:rsidP="00A45EB1">
      <w:pPr>
        <w:autoSpaceDE w:val="0"/>
        <w:autoSpaceDN w:val="0"/>
        <w:adjustRightInd w:val="0"/>
        <w:spacing w:after="240"/>
        <w:jc w:val="center"/>
        <w:rPr>
          <w:i/>
        </w:rPr>
      </w:pPr>
      <w:r w:rsidRPr="00A45EB1">
        <w:rPr>
          <w:i/>
        </w:rPr>
        <w:t>[END OF QUESTIONS AND ANSWERS]</w:t>
      </w:r>
    </w:p>
    <w:sectPr w:rsidR="00A45EB1" w:rsidRPr="00A45EB1" w:rsidSect="00A45EB1">
      <w:headerReference w:type="default" r:id="rId8"/>
      <w:footerReference w:type="default" r:id="rId9"/>
      <w:footerReference w:type="first" r:id="rId10"/>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E84" w:rsidRDefault="007F4E84">
      <w:r>
        <w:separator/>
      </w:r>
    </w:p>
  </w:endnote>
  <w:endnote w:type="continuationSeparator" w:id="0">
    <w:p w:rsidR="007F4E84" w:rsidRDefault="007F4E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832" w:rsidRDefault="00B90832" w:rsidP="00A45EB1">
    <w:pPr>
      <w:pStyle w:val="Footer"/>
      <w:jc w:val="center"/>
    </w:pPr>
    <w:r>
      <w:t xml:space="preserve">Page </w:t>
    </w:r>
    <w:fldSimple w:instr=" PAGE ">
      <w:r w:rsidR="007A1FB7">
        <w:rPr>
          <w:noProof/>
        </w:rPr>
        <w:t>3</w:t>
      </w:r>
    </w:fldSimple>
    <w:r>
      <w:t xml:space="preserve"> of </w:t>
    </w:r>
    <w:fldSimple w:instr=" NUMPAGES ">
      <w:r w:rsidR="007A1FB7">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832" w:rsidRDefault="00B90832" w:rsidP="00A45EB1">
    <w:pPr>
      <w:pStyle w:val="Footer"/>
      <w:jc w:val="center"/>
    </w:pPr>
    <w:r>
      <w:t xml:space="preserve">Page </w:t>
    </w:r>
    <w:fldSimple w:instr=" PAGE ">
      <w:r w:rsidR="007A1FB7">
        <w:rPr>
          <w:noProof/>
        </w:rPr>
        <w:t>1</w:t>
      </w:r>
    </w:fldSimple>
    <w:r>
      <w:t xml:space="preserve"> of </w:t>
    </w:r>
    <w:fldSimple w:instr=" NUMPAGES ">
      <w:r w:rsidR="007A1FB7">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E84" w:rsidRDefault="007F4E84">
      <w:r>
        <w:separator/>
      </w:r>
    </w:p>
  </w:footnote>
  <w:footnote w:type="continuationSeparator" w:id="0">
    <w:p w:rsidR="007F4E84" w:rsidRDefault="007F4E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832" w:rsidRDefault="00B90832" w:rsidP="00610910">
    <w:pPr>
      <w:autoSpaceDE w:val="0"/>
      <w:autoSpaceDN w:val="0"/>
      <w:adjustRightInd w:val="0"/>
      <w:jc w:val="center"/>
      <w:rPr>
        <w:b/>
        <w:bCs/>
        <w:color w:val="auto"/>
        <w:sz w:val="28"/>
        <w:szCs w:val="28"/>
      </w:rPr>
    </w:pPr>
    <w:r w:rsidRPr="00C07721">
      <w:rPr>
        <w:b/>
        <w:bCs/>
        <w:color w:val="auto"/>
        <w:sz w:val="28"/>
        <w:szCs w:val="28"/>
      </w:rPr>
      <w:t xml:space="preserve">Administrative Office of the Courts </w:t>
    </w:r>
  </w:p>
  <w:p w:rsidR="00B90832" w:rsidRPr="00263C8D" w:rsidRDefault="00B90832" w:rsidP="00610910">
    <w:pPr>
      <w:autoSpaceDE w:val="0"/>
      <w:autoSpaceDN w:val="0"/>
      <w:adjustRightInd w:val="0"/>
      <w:jc w:val="center"/>
      <w:rPr>
        <w:b/>
        <w:bCs/>
        <w:color w:val="auto"/>
        <w:sz w:val="28"/>
        <w:szCs w:val="28"/>
      </w:rPr>
    </w:pPr>
    <w:r w:rsidRPr="00263C8D">
      <w:rPr>
        <w:b/>
        <w:bCs/>
        <w:color w:val="auto"/>
        <w:sz w:val="28"/>
        <w:szCs w:val="28"/>
      </w:rPr>
      <w:t xml:space="preserve">RFP Number: </w:t>
    </w:r>
    <w:r>
      <w:rPr>
        <w:b/>
        <w:bCs/>
        <w:color w:val="auto"/>
        <w:sz w:val="28"/>
        <w:szCs w:val="28"/>
      </w:rPr>
      <w:t>CFCC 2012-01-RB</w:t>
    </w:r>
  </w:p>
  <w:p w:rsidR="00B90832" w:rsidRPr="00263C8D" w:rsidRDefault="00B90832" w:rsidP="00610910">
    <w:pPr>
      <w:autoSpaceDE w:val="0"/>
      <w:autoSpaceDN w:val="0"/>
      <w:adjustRightInd w:val="0"/>
      <w:jc w:val="center"/>
      <w:rPr>
        <w:b/>
        <w:bCs/>
        <w:color w:val="auto"/>
        <w:sz w:val="28"/>
        <w:szCs w:val="28"/>
      </w:rPr>
    </w:pPr>
    <w:r>
      <w:rPr>
        <w:b/>
        <w:bCs/>
        <w:color w:val="auto"/>
        <w:sz w:val="28"/>
        <w:szCs w:val="28"/>
      </w:rPr>
      <w:t>Imperial County Dependency Representation</w:t>
    </w:r>
  </w:p>
  <w:p w:rsidR="00B90832" w:rsidRDefault="00B90832" w:rsidP="00A45EB1">
    <w:pPr>
      <w:pBdr>
        <w:bottom w:val="thinThickSmallGap" w:sz="24" w:space="1" w:color="auto"/>
      </w:pBdr>
      <w:autoSpaceDE w:val="0"/>
      <w:autoSpaceDN w:val="0"/>
      <w:adjustRightInd w:val="0"/>
      <w:spacing w:after="240"/>
    </w:pPr>
  </w:p>
  <w:p w:rsidR="00B90832" w:rsidRDefault="00B90832" w:rsidP="00A45E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4464"/>
    <w:multiLevelType w:val="hybridMultilevel"/>
    <w:tmpl w:val="FCFAA4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5A5D2A"/>
    <w:multiLevelType w:val="hybridMultilevel"/>
    <w:tmpl w:val="9A82E7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0355BCE"/>
    <w:multiLevelType w:val="multilevel"/>
    <w:tmpl w:val="76F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97AA0"/>
    <w:multiLevelType w:val="multilevel"/>
    <w:tmpl w:val="25E8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EE55E8"/>
    <w:multiLevelType w:val="hybridMultilevel"/>
    <w:tmpl w:val="4AFC23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78A106F"/>
    <w:multiLevelType w:val="multilevel"/>
    <w:tmpl w:val="67B4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857ED9"/>
    <w:multiLevelType w:val="multilevel"/>
    <w:tmpl w:val="38E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6"/>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cumentProtection w:edit="readOnly" w:enforcement="1" w:cryptProviderType="rsaFull" w:cryptAlgorithmClass="hash" w:cryptAlgorithmType="typeAny" w:cryptAlgorithmSid="4" w:cryptSpinCount="50000" w:hash="BNorIUS6cQTu75RzpgdnKXvvBEE=" w:salt="kzskkXCfNUIqVZeBdqSW+g=="/>
  <w:defaultTabStop w:val="720"/>
  <w:characterSpacingControl w:val="doNotCompress"/>
  <w:hdrShapeDefaults>
    <o:shapedefaults v:ext="edit" spidmax="5122"/>
  </w:hdrShapeDefaults>
  <w:footnotePr>
    <w:footnote w:id="-1"/>
    <w:footnote w:id="0"/>
  </w:footnotePr>
  <w:endnotePr>
    <w:endnote w:id="-1"/>
    <w:endnote w:id="0"/>
  </w:endnotePr>
  <w:compat/>
  <w:rsids>
    <w:rsidRoot w:val="00FE288B"/>
    <w:rsid w:val="00003E81"/>
    <w:rsid w:val="00004A1E"/>
    <w:rsid w:val="000076E6"/>
    <w:rsid w:val="00016886"/>
    <w:rsid w:val="00022B9F"/>
    <w:rsid w:val="00034159"/>
    <w:rsid w:val="00034D65"/>
    <w:rsid w:val="00060427"/>
    <w:rsid w:val="00086750"/>
    <w:rsid w:val="00094B12"/>
    <w:rsid w:val="000A6972"/>
    <w:rsid w:val="000A6D1A"/>
    <w:rsid w:val="000B1398"/>
    <w:rsid w:val="000C06BD"/>
    <w:rsid w:val="000E29E0"/>
    <w:rsid w:val="000E4416"/>
    <w:rsid w:val="000E769D"/>
    <w:rsid w:val="000F1E1D"/>
    <w:rsid w:val="000F44A4"/>
    <w:rsid w:val="00105FDC"/>
    <w:rsid w:val="00115196"/>
    <w:rsid w:val="00117FD0"/>
    <w:rsid w:val="00120F96"/>
    <w:rsid w:val="0012601D"/>
    <w:rsid w:val="001271EB"/>
    <w:rsid w:val="00131CFB"/>
    <w:rsid w:val="001425E6"/>
    <w:rsid w:val="0014582A"/>
    <w:rsid w:val="001468AC"/>
    <w:rsid w:val="001502DD"/>
    <w:rsid w:val="00155890"/>
    <w:rsid w:val="001605D9"/>
    <w:rsid w:val="00167E11"/>
    <w:rsid w:val="00172235"/>
    <w:rsid w:val="00183D34"/>
    <w:rsid w:val="001A7BE7"/>
    <w:rsid w:val="001A7BF4"/>
    <w:rsid w:val="001B0373"/>
    <w:rsid w:val="001B1AA1"/>
    <w:rsid w:val="001B79D4"/>
    <w:rsid w:val="001C0B54"/>
    <w:rsid w:val="001C46C3"/>
    <w:rsid w:val="001C6ECA"/>
    <w:rsid w:val="001E0DFC"/>
    <w:rsid w:val="001E7ABB"/>
    <w:rsid w:val="001F12E9"/>
    <w:rsid w:val="001F3AD9"/>
    <w:rsid w:val="001F3D5D"/>
    <w:rsid w:val="001F441D"/>
    <w:rsid w:val="001F484F"/>
    <w:rsid w:val="001F5C4C"/>
    <w:rsid w:val="00227F47"/>
    <w:rsid w:val="00230614"/>
    <w:rsid w:val="00240027"/>
    <w:rsid w:val="0024595B"/>
    <w:rsid w:val="002602F5"/>
    <w:rsid w:val="00263426"/>
    <w:rsid w:val="00263C8D"/>
    <w:rsid w:val="002648AA"/>
    <w:rsid w:val="002667F6"/>
    <w:rsid w:val="002671B5"/>
    <w:rsid w:val="002801EE"/>
    <w:rsid w:val="00297B14"/>
    <w:rsid w:val="002A3361"/>
    <w:rsid w:val="002A613C"/>
    <w:rsid w:val="002A6568"/>
    <w:rsid w:val="002A6C06"/>
    <w:rsid w:val="002A7C04"/>
    <w:rsid w:val="002C069B"/>
    <w:rsid w:val="002C0B5B"/>
    <w:rsid w:val="002C1118"/>
    <w:rsid w:val="002C294F"/>
    <w:rsid w:val="002C4F09"/>
    <w:rsid w:val="002D3DA7"/>
    <w:rsid w:val="002E0E21"/>
    <w:rsid w:val="002E2A78"/>
    <w:rsid w:val="002E321D"/>
    <w:rsid w:val="002F1E7B"/>
    <w:rsid w:val="002F5EFC"/>
    <w:rsid w:val="0030067A"/>
    <w:rsid w:val="003165B2"/>
    <w:rsid w:val="003169EB"/>
    <w:rsid w:val="00322457"/>
    <w:rsid w:val="003245A0"/>
    <w:rsid w:val="00327A61"/>
    <w:rsid w:val="003346DD"/>
    <w:rsid w:val="003353C6"/>
    <w:rsid w:val="00344121"/>
    <w:rsid w:val="0035097C"/>
    <w:rsid w:val="00362274"/>
    <w:rsid w:val="003677BB"/>
    <w:rsid w:val="003678D4"/>
    <w:rsid w:val="003751BD"/>
    <w:rsid w:val="00376322"/>
    <w:rsid w:val="00376C2A"/>
    <w:rsid w:val="003865D3"/>
    <w:rsid w:val="003879B6"/>
    <w:rsid w:val="00391931"/>
    <w:rsid w:val="003945DB"/>
    <w:rsid w:val="00395DBD"/>
    <w:rsid w:val="003A1A70"/>
    <w:rsid w:val="003A5C17"/>
    <w:rsid w:val="003B1B9F"/>
    <w:rsid w:val="003B2D2C"/>
    <w:rsid w:val="003B3192"/>
    <w:rsid w:val="003B5FEE"/>
    <w:rsid w:val="003B7A81"/>
    <w:rsid w:val="003C19AB"/>
    <w:rsid w:val="003C5A6D"/>
    <w:rsid w:val="003D1A32"/>
    <w:rsid w:val="003D40E5"/>
    <w:rsid w:val="003D4949"/>
    <w:rsid w:val="003E1335"/>
    <w:rsid w:val="003E313F"/>
    <w:rsid w:val="003F7FC2"/>
    <w:rsid w:val="004117C3"/>
    <w:rsid w:val="0043407B"/>
    <w:rsid w:val="004371AF"/>
    <w:rsid w:val="00437BF6"/>
    <w:rsid w:val="00442090"/>
    <w:rsid w:val="00442D58"/>
    <w:rsid w:val="00445729"/>
    <w:rsid w:val="00447024"/>
    <w:rsid w:val="00457349"/>
    <w:rsid w:val="004757A5"/>
    <w:rsid w:val="00481F70"/>
    <w:rsid w:val="00484CCB"/>
    <w:rsid w:val="00494900"/>
    <w:rsid w:val="004A0AB2"/>
    <w:rsid w:val="004A24C0"/>
    <w:rsid w:val="004A3C39"/>
    <w:rsid w:val="004A5C55"/>
    <w:rsid w:val="004A603A"/>
    <w:rsid w:val="004B6893"/>
    <w:rsid w:val="004B68BF"/>
    <w:rsid w:val="004C4F31"/>
    <w:rsid w:val="004C5393"/>
    <w:rsid w:val="004D56FD"/>
    <w:rsid w:val="004F33F6"/>
    <w:rsid w:val="005002B5"/>
    <w:rsid w:val="005005A9"/>
    <w:rsid w:val="00506289"/>
    <w:rsid w:val="005078F2"/>
    <w:rsid w:val="0053510D"/>
    <w:rsid w:val="0054673C"/>
    <w:rsid w:val="00552199"/>
    <w:rsid w:val="00553F89"/>
    <w:rsid w:val="005573EA"/>
    <w:rsid w:val="005730FF"/>
    <w:rsid w:val="005756C5"/>
    <w:rsid w:val="00585E86"/>
    <w:rsid w:val="00594CD6"/>
    <w:rsid w:val="00597808"/>
    <w:rsid w:val="00597AFC"/>
    <w:rsid w:val="005A2D3A"/>
    <w:rsid w:val="005C0866"/>
    <w:rsid w:val="005C5AF7"/>
    <w:rsid w:val="005C6A3D"/>
    <w:rsid w:val="005D74A3"/>
    <w:rsid w:val="005E2D2D"/>
    <w:rsid w:val="005E715A"/>
    <w:rsid w:val="006008D8"/>
    <w:rsid w:val="00610910"/>
    <w:rsid w:val="0061444D"/>
    <w:rsid w:val="00614ED0"/>
    <w:rsid w:val="00614ED8"/>
    <w:rsid w:val="0062332E"/>
    <w:rsid w:val="00623A82"/>
    <w:rsid w:val="00636010"/>
    <w:rsid w:val="00641448"/>
    <w:rsid w:val="006438C5"/>
    <w:rsid w:val="00664699"/>
    <w:rsid w:val="006771D9"/>
    <w:rsid w:val="00680F7F"/>
    <w:rsid w:val="00681903"/>
    <w:rsid w:val="00682629"/>
    <w:rsid w:val="00687F3E"/>
    <w:rsid w:val="006978E2"/>
    <w:rsid w:val="006A3255"/>
    <w:rsid w:val="006B0DB7"/>
    <w:rsid w:val="006B211D"/>
    <w:rsid w:val="006C02BE"/>
    <w:rsid w:val="006C5AF2"/>
    <w:rsid w:val="006E4816"/>
    <w:rsid w:val="006E6FE9"/>
    <w:rsid w:val="006F6E47"/>
    <w:rsid w:val="00700D37"/>
    <w:rsid w:val="007055EA"/>
    <w:rsid w:val="00714696"/>
    <w:rsid w:val="007356D0"/>
    <w:rsid w:val="00736279"/>
    <w:rsid w:val="007420CA"/>
    <w:rsid w:val="007456C2"/>
    <w:rsid w:val="00745E64"/>
    <w:rsid w:val="0075410F"/>
    <w:rsid w:val="00756D6B"/>
    <w:rsid w:val="00757505"/>
    <w:rsid w:val="00765C87"/>
    <w:rsid w:val="00766723"/>
    <w:rsid w:val="0077472D"/>
    <w:rsid w:val="00776831"/>
    <w:rsid w:val="0078033B"/>
    <w:rsid w:val="00783A4A"/>
    <w:rsid w:val="007859CB"/>
    <w:rsid w:val="00785E1C"/>
    <w:rsid w:val="00791408"/>
    <w:rsid w:val="007979EE"/>
    <w:rsid w:val="007A17F3"/>
    <w:rsid w:val="007A1FB7"/>
    <w:rsid w:val="007A38B4"/>
    <w:rsid w:val="007A68F8"/>
    <w:rsid w:val="007A6DA1"/>
    <w:rsid w:val="007A7FB2"/>
    <w:rsid w:val="007B33DD"/>
    <w:rsid w:val="007D0AAA"/>
    <w:rsid w:val="007D1FD9"/>
    <w:rsid w:val="007E27CA"/>
    <w:rsid w:val="007E6185"/>
    <w:rsid w:val="007F0E6F"/>
    <w:rsid w:val="007F34A4"/>
    <w:rsid w:val="007F4E84"/>
    <w:rsid w:val="00800578"/>
    <w:rsid w:val="00802BBF"/>
    <w:rsid w:val="008035B9"/>
    <w:rsid w:val="00805DE7"/>
    <w:rsid w:val="0081146E"/>
    <w:rsid w:val="00811E15"/>
    <w:rsid w:val="008151E2"/>
    <w:rsid w:val="00834FFF"/>
    <w:rsid w:val="00835DDD"/>
    <w:rsid w:val="00835EA4"/>
    <w:rsid w:val="0084176A"/>
    <w:rsid w:val="00842F47"/>
    <w:rsid w:val="00844968"/>
    <w:rsid w:val="00845A82"/>
    <w:rsid w:val="008516C5"/>
    <w:rsid w:val="0085438D"/>
    <w:rsid w:val="008657E8"/>
    <w:rsid w:val="00866C3E"/>
    <w:rsid w:val="00885203"/>
    <w:rsid w:val="00891BAC"/>
    <w:rsid w:val="008A0452"/>
    <w:rsid w:val="008A0E82"/>
    <w:rsid w:val="008A283C"/>
    <w:rsid w:val="008A3047"/>
    <w:rsid w:val="008A3D56"/>
    <w:rsid w:val="008A52D2"/>
    <w:rsid w:val="008C1955"/>
    <w:rsid w:val="008E067B"/>
    <w:rsid w:val="008E4EB7"/>
    <w:rsid w:val="008E5A91"/>
    <w:rsid w:val="008E5C86"/>
    <w:rsid w:val="0090210B"/>
    <w:rsid w:val="009052BC"/>
    <w:rsid w:val="00911D19"/>
    <w:rsid w:val="00917943"/>
    <w:rsid w:val="00921A37"/>
    <w:rsid w:val="009240EB"/>
    <w:rsid w:val="009377A0"/>
    <w:rsid w:val="0094336D"/>
    <w:rsid w:val="0095284F"/>
    <w:rsid w:val="00953390"/>
    <w:rsid w:val="00963629"/>
    <w:rsid w:val="00965DA7"/>
    <w:rsid w:val="00967774"/>
    <w:rsid w:val="00967EF9"/>
    <w:rsid w:val="00970715"/>
    <w:rsid w:val="009714E0"/>
    <w:rsid w:val="00972CA6"/>
    <w:rsid w:val="0099120A"/>
    <w:rsid w:val="0099357C"/>
    <w:rsid w:val="00995A0F"/>
    <w:rsid w:val="00995D09"/>
    <w:rsid w:val="009974AD"/>
    <w:rsid w:val="009A0135"/>
    <w:rsid w:val="009A7C11"/>
    <w:rsid w:val="009B22F8"/>
    <w:rsid w:val="009B7A82"/>
    <w:rsid w:val="009C096E"/>
    <w:rsid w:val="009C512A"/>
    <w:rsid w:val="009C6A01"/>
    <w:rsid w:val="009C6A8F"/>
    <w:rsid w:val="009D4B90"/>
    <w:rsid w:val="009E2EAC"/>
    <w:rsid w:val="009E7C40"/>
    <w:rsid w:val="009F322A"/>
    <w:rsid w:val="009F620B"/>
    <w:rsid w:val="009F76B4"/>
    <w:rsid w:val="00A001BF"/>
    <w:rsid w:val="00A00351"/>
    <w:rsid w:val="00A05114"/>
    <w:rsid w:val="00A07F0F"/>
    <w:rsid w:val="00A1190A"/>
    <w:rsid w:val="00A214C6"/>
    <w:rsid w:val="00A21ABA"/>
    <w:rsid w:val="00A346B6"/>
    <w:rsid w:val="00A45EB1"/>
    <w:rsid w:val="00A46C2A"/>
    <w:rsid w:val="00A55A36"/>
    <w:rsid w:val="00A74129"/>
    <w:rsid w:val="00A9147A"/>
    <w:rsid w:val="00A91D03"/>
    <w:rsid w:val="00AA0A4C"/>
    <w:rsid w:val="00AA4012"/>
    <w:rsid w:val="00AB1657"/>
    <w:rsid w:val="00AB587A"/>
    <w:rsid w:val="00AC09CE"/>
    <w:rsid w:val="00AC2791"/>
    <w:rsid w:val="00AC76C8"/>
    <w:rsid w:val="00AC7AEC"/>
    <w:rsid w:val="00AD67EB"/>
    <w:rsid w:val="00AD7F67"/>
    <w:rsid w:val="00AE10C9"/>
    <w:rsid w:val="00AE2A12"/>
    <w:rsid w:val="00AE3ADA"/>
    <w:rsid w:val="00AE4F76"/>
    <w:rsid w:val="00AE5276"/>
    <w:rsid w:val="00AF154A"/>
    <w:rsid w:val="00B07EFD"/>
    <w:rsid w:val="00B10BB6"/>
    <w:rsid w:val="00B23383"/>
    <w:rsid w:val="00B23E2C"/>
    <w:rsid w:val="00B251E3"/>
    <w:rsid w:val="00B25DD8"/>
    <w:rsid w:val="00B3289B"/>
    <w:rsid w:val="00B3410E"/>
    <w:rsid w:val="00B40DE3"/>
    <w:rsid w:val="00B437BF"/>
    <w:rsid w:val="00B51DAF"/>
    <w:rsid w:val="00B61D7B"/>
    <w:rsid w:val="00B67F11"/>
    <w:rsid w:val="00B72BE5"/>
    <w:rsid w:val="00B81917"/>
    <w:rsid w:val="00B849ED"/>
    <w:rsid w:val="00B90832"/>
    <w:rsid w:val="00B95D9C"/>
    <w:rsid w:val="00BB7C1B"/>
    <w:rsid w:val="00BC09B2"/>
    <w:rsid w:val="00BC2B14"/>
    <w:rsid w:val="00BD0A1E"/>
    <w:rsid w:val="00BE3A09"/>
    <w:rsid w:val="00BF3830"/>
    <w:rsid w:val="00BF7815"/>
    <w:rsid w:val="00BF7882"/>
    <w:rsid w:val="00BF7988"/>
    <w:rsid w:val="00C0029E"/>
    <w:rsid w:val="00C05A3D"/>
    <w:rsid w:val="00C07721"/>
    <w:rsid w:val="00C111CF"/>
    <w:rsid w:val="00C14F65"/>
    <w:rsid w:val="00C20BF5"/>
    <w:rsid w:val="00C22B59"/>
    <w:rsid w:val="00C2391C"/>
    <w:rsid w:val="00C30B1B"/>
    <w:rsid w:val="00C41B2F"/>
    <w:rsid w:val="00C42377"/>
    <w:rsid w:val="00C51783"/>
    <w:rsid w:val="00C55D55"/>
    <w:rsid w:val="00C56111"/>
    <w:rsid w:val="00C66D68"/>
    <w:rsid w:val="00C721BE"/>
    <w:rsid w:val="00C72370"/>
    <w:rsid w:val="00C72884"/>
    <w:rsid w:val="00C8004E"/>
    <w:rsid w:val="00C841A0"/>
    <w:rsid w:val="00C86F9E"/>
    <w:rsid w:val="00C90DD4"/>
    <w:rsid w:val="00C97080"/>
    <w:rsid w:val="00C97B5A"/>
    <w:rsid w:val="00CC28AB"/>
    <w:rsid w:val="00CC32BB"/>
    <w:rsid w:val="00CC3F5F"/>
    <w:rsid w:val="00CC43CA"/>
    <w:rsid w:val="00CD0669"/>
    <w:rsid w:val="00CD5591"/>
    <w:rsid w:val="00CE3B30"/>
    <w:rsid w:val="00CF7404"/>
    <w:rsid w:val="00D013D8"/>
    <w:rsid w:val="00D01F0A"/>
    <w:rsid w:val="00D10A78"/>
    <w:rsid w:val="00D159CE"/>
    <w:rsid w:val="00D303F1"/>
    <w:rsid w:val="00D32126"/>
    <w:rsid w:val="00D361BD"/>
    <w:rsid w:val="00D362AD"/>
    <w:rsid w:val="00D45AAF"/>
    <w:rsid w:val="00D8389C"/>
    <w:rsid w:val="00D93A3C"/>
    <w:rsid w:val="00D93FDE"/>
    <w:rsid w:val="00D953F2"/>
    <w:rsid w:val="00DA0E0F"/>
    <w:rsid w:val="00DA7926"/>
    <w:rsid w:val="00DB1C06"/>
    <w:rsid w:val="00DB3236"/>
    <w:rsid w:val="00DC2719"/>
    <w:rsid w:val="00DD1388"/>
    <w:rsid w:val="00DD1A10"/>
    <w:rsid w:val="00DD2600"/>
    <w:rsid w:val="00DD5EAD"/>
    <w:rsid w:val="00DF1728"/>
    <w:rsid w:val="00E07604"/>
    <w:rsid w:val="00E11CB9"/>
    <w:rsid w:val="00E13674"/>
    <w:rsid w:val="00E23B25"/>
    <w:rsid w:val="00E254CA"/>
    <w:rsid w:val="00E26DC1"/>
    <w:rsid w:val="00E32047"/>
    <w:rsid w:val="00E33CD4"/>
    <w:rsid w:val="00E36201"/>
    <w:rsid w:val="00E4010B"/>
    <w:rsid w:val="00E53180"/>
    <w:rsid w:val="00E57B55"/>
    <w:rsid w:val="00E57E5D"/>
    <w:rsid w:val="00E609DE"/>
    <w:rsid w:val="00E618CB"/>
    <w:rsid w:val="00E93214"/>
    <w:rsid w:val="00EA3BCD"/>
    <w:rsid w:val="00EA56FC"/>
    <w:rsid w:val="00EC22A0"/>
    <w:rsid w:val="00ED059A"/>
    <w:rsid w:val="00ED64B4"/>
    <w:rsid w:val="00ED6A63"/>
    <w:rsid w:val="00ED7252"/>
    <w:rsid w:val="00EE0F56"/>
    <w:rsid w:val="00EE44C6"/>
    <w:rsid w:val="00EF04E7"/>
    <w:rsid w:val="00F0023B"/>
    <w:rsid w:val="00F003DC"/>
    <w:rsid w:val="00F07777"/>
    <w:rsid w:val="00F1331E"/>
    <w:rsid w:val="00F229FE"/>
    <w:rsid w:val="00F234EC"/>
    <w:rsid w:val="00F2617E"/>
    <w:rsid w:val="00F32312"/>
    <w:rsid w:val="00F331C6"/>
    <w:rsid w:val="00F37B47"/>
    <w:rsid w:val="00F562E5"/>
    <w:rsid w:val="00F73EE1"/>
    <w:rsid w:val="00F85955"/>
    <w:rsid w:val="00F9561F"/>
    <w:rsid w:val="00FA69C0"/>
    <w:rsid w:val="00FB02E6"/>
    <w:rsid w:val="00FB3A84"/>
    <w:rsid w:val="00FB595E"/>
    <w:rsid w:val="00FB5D5B"/>
    <w:rsid w:val="00FB693E"/>
    <w:rsid w:val="00FB6C72"/>
    <w:rsid w:val="00FC493D"/>
    <w:rsid w:val="00FD0303"/>
    <w:rsid w:val="00FD2D54"/>
    <w:rsid w:val="00FD3434"/>
    <w:rsid w:val="00FD599C"/>
    <w:rsid w:val="00FE288B"/>
    <w:rsid w:val="00FF1ADE"/>
    <w:rsid w:val="00FF3D00"/>
    <w:rsid w:val="00FF3E16"/>
    <w:rsid w:val="00FF439C"/>
    <w:rsid w:val="00FF4A5A"/>
    <w:rsid w:val="00FF5D7F"/>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F5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288B"/>
    <w:pPr>
      <w:spacing w:before="100" w:beforeAutospacing="1" w:after="100" w:afterAutospacing="1"/>
    </w:pPr>
    <w:rPr>
      <w:color w:val="auto"/>
      <w:sz w:val="24"/>
      <w:szCs w:val="24"/>
    </w:rPr>
  </w:style>
  <w:style w:type="paragraph" w:styleId="Header">
    <w:name w:val="header"/>
    <w:basedOn w:val="Normal"/>
    <w:rsid w:val="00A45EB1"/>
    <w:pPr>
      <w:tabs>
        <w:tab w:val="center" w:pos="4320"/>
        <w:tab w:val="right" w:pos="8640"/>
      </w:tabs>
    </w:pPr>
  </w:style>
  <w:style w:type="paragraph" w:styleId="Footer">
    <w:name w:val="footer"/>
    <w:basedOn w:val="Normal"/>
    <w:rsid w:val="00A45EB1"/>
    <w:pPr>
      <w:tabs>
        <w:tab w:val="center" w:pos="4320"/>
        <w:tab w:val="right" w:pos="8640"/>
      </w:tabs>
    </w:pPr>
  </w:style>
  <w:style w:type="paragraph" w:styleId="BalloonText">
    <w:name w:val="Balloon Text"/>
    <w:basedOn w:val="Normal"/>
    <w:semiHidden/>
    <w:rsid w:val="00BC09B2"/>
    <w:rPr>
      <w:rFonts w:ascii="Tahoma" w:hAnsi="Tahoma" w:cs="Tahoma"/>
      <w:sz w:val="16"/>
      <w:szCs w:val="16"/>
    </w:rPr>
  </w:style>
  <w:style w:type="paragraph" w:styleId="ListParagraph">
    <w:name w:val="List Paragraph"/>
    <w:basedOn w:val="Normal"/>
    <w:uiPriority w:val="34"/>
    <w:qFormat/>
    <w:rsid w:val="003C5A6D"/>
    <w:pPr>
      <w:ind w:left="720"/>
    </w:pPr>
    <w:rPr>
      <w:rFonts w:ascii="Calibri" w:eastAsiaTheme="minorHAnsi" w:hAnsi="Calibri"/>
      <w:color w:val="auto"/>
      <w:sz w:val="22"/>
      <w:szCs w:val="22"/>
    </w:rPr>
  </w:style>
</w:styles>
</file>

<file path=word/webSettings.xml><?xml version="1.0" encoding="utf-8"?>
<w:webSettings xmlns:r="http://schemas.openxmlformats.org/officeDocument/2006/relationships" xmlns:w="http://schemas.openxmlformats.org/wordprocessingml/2006/main">
  <w:divs>
    <w:div w:id="171377684">
      <w:bodyDiv w:val="1"/>
      <w:marLeft w:val="0"/>
      <w:marRight w:val="0"/>
      <w:marTop w:val="0"/>
      <w:marBottom w:val="0"/>
      <w:divBdr>
        <w:top w:val="none" w:sz="0" w:space="0" w:color="auto"/>
        <w:left w:val="none" w:sz="0" w:space="0" w:color="auto"/>
        <w:bottom w:val="none" w:sz="0" w:space="0" w:color="auto"/>
        <w:right w:val="none" w:sz="0" w:space="0" w:color="auto"/>
      </w:divBdr>
    </w:div>
    <w:div w:id="244339349">
      <w:bodyDiv w:val="1"/>
      <w:marLeft w:val="0"/>
      <w:marRight w:val="0"/>
      <w:marTop w:val="0"/>
      <w:marBottom w:val="0"/>
      <w:divBdr>
        <w:top w:val="none" w:sz="0" w:space="0" w:color="auto"/>
        <w:left w:val="none" w:sz="0" w:space="0" w:color="auto"/>
        <w:bottom w:val="none" w:sz="0" w:space="0" w:color="auto"/>
        <w:right w:val="none" w:sz="0" w:space="0" w:color="auto"/>
      </w:divBdr>
    </w:div>
    <w:div w:id="476149464">
      <w:bodyDiv w:val="1"/>
      <w:marLeft w:val="0"/>
      <w:marRight w:val="0"/>
      <w:marTop w:val="0"/>
      <w:marBottom w:val="0"/>
      <w:divBdr>
        <w:top w:val="none" w:sz="0" w:space="0" w:color="auto"/>
        <w:left w:val="none" w:sz="0" w:space="0" w:color="auto"/>
        <w:bottom w:val="none" w:sz="0" w:space="0" w:color="auto"/>
        <w:right w:val="none" w:sz="0" w:space="0" w:color="auto"/>
      </w:divBdr>
      <w:divsChild>
        <w:div w:id="984627231">
          <w:marLeft w:val="0"/>
          <w:marRight w:val="0"/>
          <w:marTop w:val="0"/>
          <w:marBottom w:val="0"/>
          <w:divBdr>
            <w:top w:val="none" w:sz="0" w:space="0" w:color="auto"/>
            <w:left w:val="none" w:sz="0" w:space="0" w:color="auto"/>
            <w:bottom w:val="none" w:sz="0" w:space="0" w:color="auto"/>
            <w:right w:val="none" w:sz="0" w:space="0" w:color="auto"/>
          </w:divBdr>
          <w:divsChild>
            <w:div w:id="484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4846">
      <w:bodyDiv w:val="1"/>
      <w:marLeft w:val="0"/>
      <w:marRight w:val="0"/>
      <w:marTop w:val="0"/>
      <w:marBottom w:val="0"/>
      <w:divBdr>
        <w:top w:val="none" w:sz="0" w:space="0" w:color="auto"/>
        <w:left w:val="none" w:sz="0" w:space="0" w:color="auto"/>
        <w:bottom w:val="none" w:sz="0" w:space="0" w:color="auto"/>
        <w:right w:val="none" w:sz="0" w:space="0" w:color="auto"/>
      </w:divBdr>
    </w:div>
    <w:div w:id="685519523">
      <w:bodyDiv w:val="1"/>
      <w:marLeft w:val="0"/>
      <w:marRight w:val="0"/>
      <w:marTop w:val="0"/>
      <w:marBottom w:val="0"/>
      <w:divBdr>
        <w:top w:val="none" w:sz="0" w:space="0" w:color="auto"/>
        <w:left w:val="none" w:sz="0" w:space="0" w:color="auto"/>
        <w:bottom w:val="none" w:sz="0" w:space="0" w:color="auto"/>
        <w:right w:val="none" w:sz="0" w:space="0" w:color="auto"/>
      </w:divBdr>
    </w:div>
    <w:div w:id="719936622">
      <w:bodyDiv w:val="1"/>
      <w:marLeft w:val="0"/>
      <w:marRight w:val="0"/>
      <w:marTop w:val="0"/>
      <w:marBottom w:val="0"/>
      <w:divBdr>
        <w:top w:val="none" w:sz="0" w:space="0" w:color="auto"/>
        <w:left w:val="none" w:sz="0" w:space="0" w:color="auto"/>
        <w:bottom w:val="none" w:sz="0" w:space="0" w:color="auto"/>
        <w:right w:val="none" w:sz="0" w:space="0" w:color="auto"/>
      </w:divBdr>
    </w:div>
    <w:div w:id="805975129">
      <w:bodyDiv w:val="1"/>
      <w:marLeft w:val="0"/>
      <w:marRight w:val="0"/>
      <w:marTop w:val="0"/>
      <w:marBottom w:val="0"/>
      <w:divBdr>
        <w:top w:val="none" w:sz="0" w:space="0" w:color="auto"/>
        <w:left w:val="none" w:sz="0" w:space="0" w:color="auto"/>
        <w:bottom w:val="none" w:sz="0" w:space="0" w:color="auto"/>
        <w:right w:val="none" w:sz="0" w:space="0" w:color="auto"/>
      </w:divBdr>
      <w:divsChild>
        <w:div w:id="114831000">
          <w:marLeft w:val="0"/>
          <w:marRight w:val="0"/>
          <w:marTop w:val="0"/>
          <w:marBottom w:val="0"/>
          <w:divBdr>
            <w:top w:val="none" w:sz="0" w:space="0" w:color="auto"/>
            <w:left w:val="none" w:sz="0" w:space="0" w:color="auto"/>
            <w:bottom w:val="none" w:sz="0" w:space="0" w:color="auto"/>
            <w:right w:val="none" w:sz="0" w:space="0" w:color="auto"/>
          </w:divBdr>
        </w:div>
        <w:div w:id="129523602">
          <w:marLeft w:val="0"/>
          <w:marRight w:val="0"/>
          <w:marTop w:val="0"/>
          <w:marBottom w:val="0"/>
          <w:divBdr>
            <w:top w:val="none" w:sz="0" w:space="0" w:color="auto"/>
            <w:left w:val="none" w:sz="0" w:space="0" w:color="auto"/>
            <w:bottom w:val="none" w:sz="0" w:space="0" w:color="auto"/>
            <w:right w:val="none" w:sz="0" w:space="0" w:color="auto"/>
          </w:divBdr>
        </w:div>
        <w:div w:id="290600009">
          <w:marLeft w:val="0"/>
          <w:marRight w:val="0"/>
          <w:marTop w:val="0"/>
          <w:marBottom w:val="0"/>
          <w:divBdr>
            <w:top w:val="none" w:sz="0" w:space="0" w:color="auto"/>
            <w:left w:val="none" w:sz="0" w:space="0" w:color="auto"/>
            <w:bottom w:val="none" w:sz="0" w:space="0" w:color="auto"/>
            <w:right w:val="none" w:sz="0" w:space="0" w:color="auto"/>
          </w:divBdr>
        </w:div>
        <w:div w:id="554586145">
          <w:marLeft w:val="0"/>
          <w:marRight w:val="0"/>
          <w:marTop w:val="0"/>
          <w:marBottom w:val="0"/>
          <w:divBdr>
            <w:top w:val="none" w:sz="0" w:space="0" w:color="auto"/>
            <w:left w:val="none" w:sz="0" w:space="0" w:color="auto"/>
            <w:bottom w:val="none" w:sz="0" w:space="0" w:color="auto"/>
            <w:right w:val="none" w:sz="0" w:space="0" w:color="auto"/>
          </w:divBdr>
        </w:div>
        <w:div w:id="1861355361">
          <w:marLeft w:val="0"/>
          <w:marRight w:val="0"/>
          <w:marTop w:val="0"/>
          <w:marBottom w:val="0"/>
          <w:divBdr>
            <w:top w:val="none" w:sz="0" w:space="0" w:color="auto"/>
            <w:left w:val="none" w:sz="0" w:space="0" w:color="auto"/>
            <w:bottom w:val="none" w:sz="0" w:space="0" w:color="auto"/>
            <w:right w:val="none" w:sz="0" w:space="0" w:color="auto"/>
          </w:divBdr>
        </w:div>
      </w:divsChild>
    </w:div>
    <w:div w:id="910506073">
      <w:bodyDiv w:val="1"/>
      <w:marLeft w:val="0"/>
      <w:marRight w:val="0"/>
      <w:marTop w:val="0"/>
      <w:marBottom w:val="0"/>
      <w:divBdr>
        <w:top w:val="none" w:sz="0" w:space="0" w:color="auto"/>
        <w:left w:val="none" w:sz="0" w:space="0" w:color="auto"/>
        <w:bottom w:val="none" w:sz="0" w:space="0" w:color="auto"/>
        <w:right w:val="none" w:sz="0" w:space="0" w:color="auto"/>
      </w:divBdr>
    </w:div>
    <w:div w:id="955527673">
      <w:bodyDiv w:val="1"/>
      <w:marLeft w:val="0"/>
      <w:marRight w:val="0"/>
      <w:marTop w:val="0"/>
      <w:marBottom w:val="0"/>
      <w:divBdr>
        <w:top w:val="none" w:sz="0" w:space="0" w:color="auto"/>
        <w:left w:val="none" w:sz="0" w:space="0" w:color="auto"/>
        <w:bottom w:val="none" w:sz="0" w:space="0" w:color="auto"/>
        <w:right w:val="none" w:sz="0" w:space="0" w:color="auto"/>
      </w:divBdr>
    </w:div>
    <w:div w:id="1398744578">
      <w:bodyDiv w:val="1"/>
      <w:marLeft w:val="0"/>
      <w:marRight w:val="0"/>
      <w:marTop w:val="0"/>
      <w:marBottom w:val="0"/>
      <w:divBdr>
        <w:top w:val="none" w:sz="0" w:space="0" w:color="auto"/>
        <w:left w:val="none" w:sz="0" w:space="0" w:color="auto"/>
        <w:bottom w:val="none" w:sz="0" w:space="0" w:color="auto"/>
        <w:right w:val="none" w:sz="0" w:space="0" w:color="auto"/>
      </w:divBdr>
    </w:div>
    <w:div w:id="1560554559">
      <w:bodyDiv w:val="1"/>
      <w:marLeft w:val="0"/>
      <w:marRight w:val="0"/>
      <w:marTop w:val="0"/>
      <w:marBottom w:val="0"/>
      <w:divBdr>
        <w:top w:val="none" w:sz="0" w:space="0" w:color="auto"/>
        <w:left w:val="none" w:sz="0" w:space="0" w:color="auto"/>
        <w:bottom w:val="none" w:sz="0" w:space="0" w:color="auto"/>
        <w:right w:val="none" w:sz="0" w:space="0" w:color="auto"/>
      </w:divBdr>
    </w:div>
    <w:div w:id="15731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92BFF-52B4-4698-A12D-DBAA3B86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833</Words>
  <Characters>4750</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The following are our questions regarding the RFP:</vt:lpstr>
    </vt:vector>
  </TitlesOfParts>
  <Company>Administrative Office of the Courts</Company>
  <LinksUpToDate>false</LinksUpToDate>
  <CharactersWithSpaces>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our questions regarding the RFP:</dc:title>
  <dc:creator>Administrative Office of the Courts</dc:creator>
  <cp:lastModifiedBy> Ron Bacurin</cp:lastModifiedBy>
  <cp:revision>3</cp:revision>
  <cp:lastPrinted>2012-08-13T18:06:00Z</cp:lastPrinted>
  <dcterms:created xsi:type="dcterms:W3CDTF">2012-08-15T20:47:00Z</dcterms:created>
  <dcterms:modified xsi:type="dcterms:W3CDTF">2012-08-15T20:51:00Z</dcterms:modified>
</cp:coreProperties>
</file>