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B139E1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 1</w:t>
            </w:r>
          </w:p>
        </w:tc>
        <w:tc>
          <w:tcPr>
            <w:tcW w:w="5357" w:type="dxa"/>
          </w:tcPr>
          <w:p w:rsidR="00A66746" w:rsidRPr="00920D4A" w:rsidRDefault="00B139E1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 w:rsidRPr="00920D4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 am a concerned Redding citizen who would like to ask if there is any way the historic </w:t>
            </w:r>
            <w:proofErr w:type="spellStart"/>
            <w:r w:rsidRPr="00920D4A">
              <w:rPr>
                <w:rFonts w:ascii="Helvetica" w:hAnsi="Helvetica" w:cs="Helvetica"/>
                <w:color w:val="000000"/>
                <w:sz w:val="20"/>
                <w:szCs w:val="20"/>
              </w:rPr>
              <w:t>Dobrosky</w:t>
            </w:r>
            <w:proofErr w:type="spellEnd"/>
            <w:r w:rsidRPr="00920D4A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house can be relocated rather than destroyed. Is there any group organized to spearhead such an effort? If so, can you provide contact information? I would like to volunteer to help.</w:t>
            </w:r>
          </w:p>
        </w:tc>
        <w:tc>
          <w:tcPr>
            <w:tcW w:w="4163" w:type="dxa"/>
            <w:shd w:val="clear" w:color="auto" w:fill="auto"/>
          </w:tcPr>
          <w:p w:rsidR="00A66746" w:rsidRPr="003B5DA3" w:rsidRDefault="008D56D2" w:rsidP="008D56D2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 have received some interest in the property from the McConnell Foundation. You can try contacting them at 530-226-6200. </w:t>
            </w:r>
            <w:r>
              <w:rPr>
                <w:rFonts w:ascii="Georgia" w:hAnsi="Georgia"/>
                <w:color w:val="7D7C70"/>
                <w:sz w:val="18"/>
                <w:szCs w:val="18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E1" w:rsidRDefault="00030EE1">
      <w:r>
        <w:separator/>
      </w:r>
    </w:p>
  </w:endnote>
  <w:endnote w:type="continuationSeparator" w:id="0">
    <w:p w:rsidR="00030EE1" w:rsidRDefault="0003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E1" w:rsidRDefault="00030EE1">
      <w:r>
        <w:separator/>
      </w:r>
    </w:p>
  </w:footnote>
  <w:footnote w:type="continuationSeparator" w:id="0">
    <w:p w:rsidR="00030EE1" w:rsidRDefault="0003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E1" w:rsidRPr="008E7D20" w:rsidRDefault="00B139E1" w:rsidP="00B139E1">
    <w:pPr>
      <w:pStyle w:val="JCCReportCoverSubhead"/>
      <w:jc w:val="center"/>
    </w:pPr>
    <w:r>
      <w:t>RFI REFM2015-01-DM</w:t>
    </w:r>
  </w:p>
  <w:p w:rsidR="00C33425" w:rsidRDefault="00C33425" w:rsidP="00C33425">
    <w:pPr>
      <w:pStyle w:val="Header"/>
      <w:rPr>
        <w:szCs w:val="22"/>
      </w:rPr>
    </w:pPr>
    <w:r>
      <w:rPr>
        <w:szCs w:val="22"/>
      </w:rPr>
      <w:tab/>
      <w:t xml:space="preserve">                                                                                       </w:t>
    </w:r>
    <w:r w:rsidR="0088303C">
      <w:rPr>
        <w:szCs w:val="22"/>
      </w:rPr>
      <w:t>Form for Submission of Questions</w:t>
    </w:r>
  </w:p>
  <w:p w:rsidR="00B139E1" w:rsidRPr="00220629" w:rsidRDefault="00B139E1" w:rsidP="00B139E1">
    <w:pPr>
      <w:pStyle w:val="JCCReportCoverSubhead"/>
      <w:jc w:val="center"/>
    </w:pPr>
    <w:r w:rsidRPr="008E7D20">
      <w:t xml:space="preserve">DISPOSITION OF </w:t>
    </w:r>
    <w:r w:rsidRPr="00220629">
      <w:t>STRUCTURE ON NEW REDDING COURTHOUSE site</w:t>
    </w:r>
  </w:p>
  <w:p w:rsidR="00D1128C" w:rsidRDefault="00D11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6"/>
    <w:rsid w:val="00002109"/>
    <w:rsid w:val="00003180"/>
    <w:rsid w:val="000246A2"/>
    <w:rsid w:val="00030EE1"/>
    <w:rsid w:val="000724F2"/>
    <w:rsid w:val="00076CE7"/>
    <w:rsid w:val="00086084"/>
    <w:rsid w:val="00091F85"/>
    <w:rsid w:val="00094794"/>
    <w:rsid w:val="000C612B"/>
    <w:rsid w:val="000E099C"/>
    <w:rsid w:val="000F008A"/>
    <w:rsid w:val="000F5755"/>
    <w:rsid w:val="000F5AA3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EB0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E533D"/>
    <w:rsid w:val="003F66F6"/>
    <w:rsid w:val="00412010"/>
    <w:rsid w:val="00417FD9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514C1"/>
    <w:rsid w:val="00553331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8303C"/>
    <w:rsid w:val="00894D5D"/>
    <w:rsid w:val="008C06B9"/>
    <w:rsid w:val="008C1C35"/>
    <w:rsid w:val="008D0194"/>
    <w:rsid w:val="008D44A2"/>
    <w:rsid w:val="008D56D2"/>
    <w:rsid w:val="008E072E"/>
    <w:rsid w:val="00920D4A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139E1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96DF1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737A"/>
    <w:rsid w:val="00C33425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3351A"/>
    <w:rsid w:val="00EA64FA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locked/>
    <w:rsid w:val="00C33425"/>
    <w:rPr>
      <w:rFonts w:ascii="Garamond" w:hAnsi="Garamond"/>
      <w:sz w:val="22"/>
    </w:rPr>
  </w:style>
  <w:style w:type="paragraph" w:customStyle="1" w:styleId="JCCReportCoverSubhead">
    <w:name w:val="JCC Report Cover Subhead"/>
    <w:basedOn w:val="Normal"/>
    <w:qFormat/>
    <w:rsid w:val="00B139E1"/>
    <w:pPr>
      <w:spacing w:line="400" w:lineRule="atLeast"/>
    </w:pPr>
    <w:rPr>
      <w:rFonts w:ascii="Goudy Old Style" w:hAnsi="Goudy Old Style"/>
      <w:caps/>
      <w:spacing w:val="2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5D05-6E64-41FC-AA60-C82DB06A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D'Ann Moore</cp:lastModifiedBy>
  <cp:revision>2</cp:revision>
  <cp:lastPrinted>2006-03-16T19:46:00Z</cp:lastPrinted>
  <dcterms:created xsi:type="dcterms:W3CDTF">2015-03-16T22:23:00Z</dcterms:created>
  <dcterms:modified xsi:type="dcterms:W3CDTF">2015-03-16T22:23:00Z</dcterms:modified>
</cp:coreProperties>
</file>