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Layout w:type="fixed"/>
        <w:tblCellMar>
          <w:left w:w="115" w:type="dxa"/>
          <w:right w:w="115" w:type="dxa"/>
        </w:tblCellMar>
        <w:tblLook w:val="0000"/>
      </w:tblPr>
      <w:tblGrid>
        <w:gridCol w:w="2880"/>
        <w:gridCol w:w="270"/>
        <w:gridCol w:w="6300"/>
      </w:tblGrid>
      <w:tr w:rsidR="00C37FF7" w:rsidRPr="00F45FCC" w:rsidTr="00A53A7D">
        <w:trPr>
          <w:cantSplit/>
          <w:trHeight w:hRule="exact" w:val="4860"/>
        </w:trPr>
        <w:tc>
          <w:tcPr>
            <w:tcW w:w="2880" w:type="dxa"/>
            <w:vMerge w:val="restart"/>
            <w:tcMar>
              <w:left w:w="0" w:type="dxa"/>
              <w:right w:w="0" w:type="dxa"/>
            </w:tcMar>
          </w:tcPr>
          <w:p w:rsidR="00C37FF7" w:rsidRPr="00F45FCC" w:rsidRDefault="00C37FF7" w:rsidP="00A53A7D">
            <w:pPr>
              <w:rPr>
                <w:rFonts w:ascii="Arial" w:hAnsi="Arial" w:cs="Arial"/>
              </w:rPr>
            </w:pPr>
            <w:r w:rsidRPr="00F45FCC">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F45FCC" w:rsidRDefault="00C37FF7" w:rsidP="00A53A7D">
            <w:pPr>
              <w:rPr>
                <w:rFonts w:ascii="Arial" w:hAnsi="Arial" w:cs="Arial"/>
              </w:rPr>
            </w:pPr>
          </w:p>
        </w:tc>
        <w:tc>
          <w:tcPr>
            <w:tcW w:w="6300" w:type="dxa"/>
            <w:tcBorders>
              <w:bottom w:val="single" w:sz="4" w:space="0" w:color="auto"/>
            </w:tcBorders>
            <w:tcMar>
              <w:left w:w="0" w:type="dxa"/>
              <w:right w:w="0" w:type="dxa"/>
            </w:tcMar>
            <w:vAlign w:val="bottom"/>
          </w:tcPr>
          <w:p w:rsidR="00C37FF7" w:rsidRPr="00F45FCC" w:rsidRDefault="00C37FF7" w:rsidP="00A53A7D">
            <w:pPr>
              <w:pStyle w:val="JCCReportCoverTitle"/>
              <w:rPr>
                <w:rFonts w:ascii="Arial" w:hAnsi="Arial" w:cs="Arial"/>
              </w:rPr>
            </w:pPr>
            <w:r w:rsidRPr="00F45FCC">
              <w:rPr>
                <w:rFonts w:ascii="Arial" w:hAnsi="Arial" w:cs="Arial"/>
              </w:rPr>
              <w:t>REQUEST FOR PROPOSAL</w:t>
            </w:r>
            <w:r w:rsidR="004425FB" w:rsidRPr="00F45FCC">
              <w:rPr>
                <w:rFonts w:ascii="Arial" w:hAnsi="Arial" w:cs="Arial"/>
              </w:rPr>
              <w:t>S</w:t>
            </w:r>
          </w:p>
          <w:p w:rsidR="00C37FF7" w:rsidRPr="00F45FCC" w:rsidRDefault="00C37FF7" w:rsidP="00A53A7D">
            <w:pPr>
              <w:pStyle w:val="JCCReportCoverSpacer"/>
              <w:rPr>
                <w:rFonts w:ascii="Arial" w:hAnsi="Arial" w:cs="Arial"/>
              </w:rPr>
            </w:pPr>
            <w:r w:rsidRPr="00F45FCC">
              <w:rPr>
                <w:rFonts w:ascii="Arial" w:hAnsi="Arial" w:cs="Arial"/>
              </w:rPr>
              <w:t xml:space="preserve"> </w:t>
            </w:r>
          </w:p>
        </w:tc>
      </w:tr>
      <w:tr w:rsidR="00C37FF7" w:rsidRPr="00F45FCC" w:rsidTr="00A53A7D">
        <w:trPr>
          <w:cantSplit/>
          <w:trHeight w:hRule="exact" w:val="6580"/>
        </w:trPr>
        <w:tc>
          <w:tcPr>
            <w:tcW w:w="2880" w:type="dxa"/>
            <w:vMerge/>
            <w:tcMar>
              <w:left w:w="0" w:type="dxa"/>
              <w:right w:w="0" w:type="dxa"/>
            </w:tcMar>
          </w:tcPr>
          <w:p w:rsidR="00C37FF7" w:rsidRPr="00F45FCC" w:rsidRDefault="00C37FF7" w:rsidP="00A53A7D">
            <w:pPr>
              <w:rPr>
                <w:rFonts w:ascii="Arial" w:hAnsi="Arial" w:cs="Arial"/>
              </w:rPr>
            </w:pPr>
          </w:p>
        </w:tc>
        <w:tc>
          <w:tcPr>
            <w:tcW w:w="270" w:type="dxa"/>
            <w:vMerge/>
            <w:tcMar>
              <w:left w:w="0" w:type="dxa"/>
              <w:right w:w="0" w:type="dxa"/>
            </w:tcMar>
          </w:tcPr>
          <w:p w:rsidR="00C37FF7" w:rsidRPr="00F45FCC" w:rsidRDefault="00C37FF7" w:rsidP="00A53A7D">
            <w:pPr>
              <w:rPr>
                <w:rFonts w:ascii="Arial" w:hAnsi="Arial" w:cs="Arial"/>
                <w:b/>
                <w:caps/>
                <w:spacing w:val="20"/>
                <w:sz w:val="28"/>
              </w:rPr>
            </w:pPr>
          </w:p>
        </w:tc>
        <w:tc>
          <w:tcPr>
            <w:tcW w:w="6300" w:type="dxa"/>
            <w:tcBorders>
              <w:top w:val="single" w:sz="4" w:space="0" w:color="auto"/>
            </w:tcBorders>
            <w:tcMar>
              <w:left w:w="0" w:type="dxa"/>
              <w:right w:w="0" w:type="dxa"/>
            </w:tcMar>
          </w:tcPr>
          <w:p w:rsidR="00C37FF7" w:rsidRPr="00F45FCC" w:rsidRDefault="00C37FF7" w:rsidP="00A53A7D">
            <w:pPr>
              <w:pStyle w:val="JCCReportCoverSubhead"/>
              <w:rPr>
                <w:rFonts w:ascii="Arial" w:hAnsi="Arial" w:cs="Arial"/>
                <w:b/>
                <w:szCs w:val="28"/>
              </w:rPr>
            </w:pPr>
            <w:r w:rsidRPr="00F45FCC">
              <w:rPr>
                <w:rFonts w:ascii="Arial" w:hAnsi="Arial" w:cs="Arial"/>
                <w:b/>
                <w:szCs w:val="28"/>
              </w:rPr>
              <w:t>AdministRative Office of the Courts (AOC)</w:t>
            </w:r>
          </w:p>
          <w:p w:rsidR="00C37FF7" w:rsidRPr="00F45FCC" w:rsidRDefault="00C37FF7" w:rsidP="00A53A7D">
            <w:pPr>
              <w:pStyle w:val="JCCReportCoverSubhead"/>
              <w:rPr>
                <w:rFonts w:ascii="Arial" w:hAnsi="Arial" w:cs="Arial"/>
                <w:b/>
                <w:szCs w:val="28"/>
              </w:rPr>
            </w:pPr>
          </w:p>
          <w:p w:rsidR="00C37FF7" w:rsidRPr="00F45FCC" w:rsidRDefault="00C37FF7" w:rsidP="002377D3">
            <w:pPr>
              <w:rPr>
                <w:rFonts w:asciiTheme="minorHAnsi" w:hAnsiTheme="minorHAnsi" w:cstheme="minorHAnsi"/>
                <w:bCs/>
                <w:sz w:val="28"/>
                <w:szCs w:val="28"/>
              </w:rPr>
            </w:pPr>
            <w:r w:rsidRPr="00F45FCC">
              <w:rPr>
                <w:rFonts w:ascii="Arial" w:hAnsi="Arial" w:cs="Arial"/>
                <w:b/>
                <w:szCs w:val="28"/>
              </w:rPr>
              <w:t>Regarding</w:t>
            </w:r>
            <w:proofErr w:type="gramStart"/>
            <w:r w:rsidRPr="00F45FCC">
              <w:rPr>
                <w:rFonts w:ascii="Arial" w:hAnsi="Arial" w:cs="Arial"/>
                <w:b/>
                <w:szCs w:val="28"/>
              </w:rPr>
              <w:t>:</w:t>
            </w:r>
            <w:proofErr w:type="gramEnd"/>
            <w:r w:rsidRPr="00F45FCC">
              <w:rPr>
                <w:rFonts w:ascii="Arial" w:hAnsi="Arial" w:cs="Arial"/>
                <w:b/>
                <w:szCs w:val="28"/>
              </w:rPr>
              <w:br/>
            </w:r>
            <w:r w:rsidR="004B5076" w:rsidRPr="00F45FCC">
              <w:rPr>
                <w:rFonts w:asciiTheme="minorHAnsi" w:hAnsiTheme="minorHAnsi" w:cstheme="minorHAnsi"/>
                <w:bCs/>
                <w:sz w:val="28"/>
                <w:szCs w:val="28"/>
              </w:rPr>
              <w:t>Non-sworn, unarmed, uniformed Security Guard Services</w:t>
            </w:r>
            <w:r w:rsidR="002377D3" w:rsidRPr="00F45FCC">
              <w:rPr>
                <w:rFonts w:asciiTheme="minorHAnsi" w:hAnsiTheme="minorHAnsi" w:cstheme="minorHAnsi"/>
                <w:bCs/>
                <w:sz w:val="28"/>
                <w:szCs w:val="28"/>
              </w:rPr>
              <w:t xml:space="preserve">,  </w:t>
            </w:r>
            <w:r w:rsidR="009A71DD" w:rsidRPr="00F45FCC">
              <w:rPr>
                <w:rFonts w:asciiTheme="minorHAnsi" w:hAnsiTheme="minorHAnsi" w:cstheme="minorHAnsi"/>
                <w:bCs/>
                <w:sz w:val="28"/>
                <w:szCs w:val="28"/>
              </w:rPr>
              <w:t>RFP No. OERS-201101-RB</w:t>
            </w:r>
          </w:p>
          <w:p w:rsidR="00C37FF7" w:rsidRPr="00F45FCC" w:rsidRDefault="00C37FF7" w:rsidP="00A53A7D">
            <w:pPr>
              <w:pStyle w:val="Header"/>
              <w:tabs>
                <w:tab w:val="clear" w:pos="4320"/>
                <w:tab w:val="clear" w:pos="8640"/>
              </w:tabs>
              <w:autoSpaceDE w:val="0"/>
              <w:autoSpaceDN w:val="0"/>
              <w:adjustRightInd w:val="0"/>
              <w:rPr>
                <w:rFonts w:ascii="Arial" w:hAnsi="Arial" w:cs="Arial"/>
                <w:b/>
                <w:bCs/>
                <w:smallCaps/>
                <w:sz w:val="28"/>
                <w:szCs w:val="20"/>
              </w:rPr>
            </w:pPr>
          </w:p>
          <w:p w:rsidR="00C37FF7" w:rsidRPr="00F45FCC" w:rsidRDefault="00C37FF7" w:rsidP="00A53A7D">
            <w:pPr>
              <w:pStyle w:val="Header"/>
              <w:tabs>
                <w:tab w:val="clear" w:pos="4320"/>
                <w:tab w:val="clear" w:pos="8640"/>
              </w:tabs>
              <w:autoSpaceDE w:val="0"/>
              <w:autoSpaceDN w:val="0"/>
              <w:adjustRightInd w:val="0"/>
              <w:rPr>
                <w:rFonts w:ascii="Arial" w:hAnsi="Arial" w:cs="Arial"/>
                <w:b/>
                <w:bCs/>
                <w:smallCaps/>
                <w:sz w:val="28"/>
                <w:szCs w:val="20"/>
              </w:rPr>
            </w:pPr>
          </w:p>
          <w:p w:rsidR="00C37FF7" w:rsidRPr="00F45FCC" w:rsidRDefault="00C37FF7" w:rsidP="00A53A7D">
            <w:pPr>
              <w:pStyle w:val="Header"/>
              <w:tabs>
                <w:tab w:val="clear" w:pos="4320"/>
                <w:tab w:val="clear" w:pos="8640"/>
              </w:tabs>
              <w:autoSpaceDE w:val="0"/>
              <w:autoSpaceDN w:val="0"/>
              <w:adjustRightInd w:val="0"/>
              <w:rPr>
                <w:rFonts w:ascii="Arial" w:hAnsi="Arial" w:cs="Arial"/>
                <w:b/>
                <w:bCs/>
                <w:smallCaps/>
                <w:sz w:val="28"/>
                <w:szCs w:val="20"/>
              </w:rPr>
            </w:pPr>
          </w:p>
          <w:p w:rsidR="00C37FF7" w:rsidRPr="00F45FCC" w:rsidRDefault="00C37FF7" w:rsidP="00A53A7D">
            <w:pPr>
              <w:pStyle w:val="Header"/>
              <w:tabs>
                <w:tab w:val="clear" w:pos="4320"/>
                <w:tab w:val="clear" w:pos="8640"/>
              </w:tabs>
              <w:autoSpaceDE w:val="0"/>
              <w:autoSpaceDN w:val="0"/>
              <w:adjustRightInd w:val="0"/>
              <w:rPr>
                <w:rFonts w:ascii="Arial" w:hAnsi="Arial" w:cs="Arial"/>
                <w:b/>
                <w:bCs/>
                <w:smallCaps/>
                <w:sz w:val="28"/>
                <w:szCs w:val="20"/>
              </w:rPr>
            </w:pPr>
            <w:r w:rsidRPr="00F45FCC">
              <w:rPr>
                <w:rFonts w:ascii="Arial" w:hAnsi="Arial" w:cs="Arial"/>
                <w:b/>
                <w:bCs/>
                <w:smallCaps/>
                <w:sz w:val="28"/>
                <w:szCs w:val="20"/>
              </w:rPr>
              <w:t xml:space="preserve">PROPOSALS DUE:  </w:t>
            </w:r>
          </w:p>
          <w:p w:rsidR="00C37FF7" w:rsidRPr="00F45FCC" w:rsidRDefault="002377D3" w:rsidP="00A53A7D">
            <w:pPr>
              <w:pStyle w:val="Header"/>
              <w:tabs>
                <w:tab w:val="clear" w:pos="4320"/>
                <w:tab w:val="clear" w:pos="8640"/>
              </w:tabs>
              <w:autoSpaceDE w:val="0"/>
              <w:autoSpaceDN w:val="0"/>
              <w:adjustRightInd w:val="0"/>
              <w:rPr>
                <w:rFonts w:asciiTheme="minorHAnsi" w:hAnsiTheme="minorHAnsi" w:cstheme="minorHAnsi"/>
                <w:bCs/>
                <w:sz w:val="28"/>
                <w:szCs w:val="20"/>
              </w:rPr>
            </w:pPr>
            <w:r w:rsidRPr="00F45FCC">
              <w:rPr>
                <w:rFonts w:asciiTheme="minorHAnsi" w:hAnsiTheme="minorHAnsi" w:cstheme="minorHAnsi"/>
                <w:sz w:val="28"/>
                <w:szCs w:val="28"/>
              </w:rPr>
              <w:t>April 27, 2012</w:t>
            </w:r>
            <w:r w:rsidR="00C37FF7" w:rsidRPr="00F45FCC">
              <w:rPr>
                <w:rFonts w:asciiTheme="minorHAnsi" w:hAnsiTheme="minorHAnsi" w:cstheme="minorHAnsi"/>
                <w:bCs/>
                <w:sz w:val="28"/>
                <w:szCs w:val="28"/>
              </w:rPr>
              <w:t xml:space="preserve"> no later than </w:t>
            </w:r>
            <w:r w:rsidRPr="00F45FCC">
              <w:rPr>
                <w:rFonts w:asciiTheme="minorHAnsi" w:hAnsiTheme="minorHAnsi" w:cstheme="minorHAnsi"/>
                <w:sz w:val="28"/>
                <w:szCs w:val="28"/>
              </w:rPr>
              <w:t>1:00</w:t>
            </w:r>
            <w:r w:rsidR="00C37FF7" w:rsidRPr="00F45FCC">
              <w:rPr>
                <w:rFonts w:asciiTheme="minorHAnsi" w:hAnsiTheme="minorHAnsi" w:cstheme="minorHAnsi"/>
                <w:caps/>
                <w:sz w:val="22"/>
                <w:szCs w:val="28"/>
              </w:rPr>
              <w:t xml:space="preserve"> </w:t>
            </w:r>
            <w:r w:rsidR="00C37FF7" w:rsidRPr="00F45FCC">
              <w:rPr>
                <w:rFonts w:asciiTheme="minorHAnsi" w:hAnsiTheme="minorHAnsi" w:cstheme="minorHAnsi"/>
                <w:bCs/>
                <w:sz w:val="28"/>
                <w:szCs w:val="20"/>
              </w:rPr>
              <w:t xml:space="preserve">p.m. Pacific time </w:t>
            </w:r>
          </w:p>
          <w:p w:rsidR="00C37FF7" w:rsidRPr="00F45FCC" w:rsidRDefault="00C37FF7" w:rsidP="00A53A7D">
            <w:pPr>
              <w:pStyle w:val="Header"/>
              <w:tabs>
                <w:tab w:val="clear" w:pos="4320"/>
                <w:tab w:val="clear" w:pos="8640"/>
              </w:tabs>
              <w:autoSpaceDE w:val="0"/>
              <w:autoSpaceDN w:val="0"/>
              <w:adjustRightInd w:val="0"/>
              <w:rPr>
                <w:rFonts w:ascii="Arial" w:hAnsi="Arial" w:cs="Arial"/>
                <w:b/>
                <w:bCs/>
                <w:sz w:val="36"/>
              </w:rPr>
            </w:pPr>
          </w:p>
        </w:tc>
      </w:tr>
    </w:tbl>
    <w:p w:rsidR="00C37FF7" w:rsidRPr="00F45FCC" w:rsidRDefault="00C37FF7" w:rsidP="00C37FF7">
      <w:pPr>
        <w:pStyle w:val="Header"/>
        <w:tabs>
          <w:tab w:val="clear" w:pos="4320"/>
          <w:tab w:val="clear" w:pos="8640"/>
          <w:tab w:val="left" w:pos="2220"/>
        </w:tabs>
        <w:autoSpaceDE w:val="0"/>
        <w:autoSpaceDN w:val="0"/>
        <w:adjustRightInd w:val="0"/>
        <w:rPr>
          <w:rFonts w:ascii="Arial" w:hAnsi="Arial" w:cs="Arial"/>
          <w:b/>
          <w:bCs/>
        </w:rPr>
      </w:pPr>
      <w:r w:rsidRPr="00F45FCC">
        <w:rPr>
          <w:rFonts w:ascii="Arial" w:hAnsi="Arial" w:cs="Arial"/>
        </w:rPr>
        <w:br/>
      </w:r>
      <w:r w:rsidRPr="00F45FCC">
        <w:rPr>
          <w:rFonts w:ascii="Arial" w:hAnsi="Arial" w:cs="Arial"/>
        </w:rPr>
        <w:tab/>
      </w:r>
    </w:p>
    <w:p w:rsidR="00C37FF7" w:rsidRPr="00F45FCC" w:rsidRDefault="00C37FF7" w:rsidP="00C37FF7">
      <w:pPr>
        <w:jc w:val="center"/>
        <w:rPr>
          <w:b/>
          <w:bCs/>
          <w:sz w:val="26"/>
          <w:szCs w:val="26"/>
        </w:rPr>
      </w:pPr>
    </w:p>
    <w:p w:rsidR="00C37FF7" w:rsidRPr="00F45FCC" w:rsidRDefault="00C37FF7" w:rsidP="00C37FF7">
      <w:pPr>
        <w:jc w:val="center"/>
        <w:rPr>
          <w:b/>
          <w:bCs/>
          <w:sz w:val="26"/>
          <w:szCs w:val="26"/>
        </w:rPr>
      </w:pPr>
    </w:p>
    <w:p w:rsidR="00C37FF7" w:rsidRPr="00F45FCC" w:rsidRDefault="00C37FF7" w:rsidP="00C37FF7">
      <w:pPr>
        <w:jc w:val="center"/>
        <w:rPr>
          <w:b/>
          <w:bCs/>
          <w:sz w:val="26"/>
          <w:szCs w:val="26"/>
        </w:rPr>
      </w:pPr>
    </w:p>
    <w:p w:rsidR="00C37FF7" w:rsidRPr="00F45FCC" w:rsidRDefault="00C37FF7" w:rsidP="00C37FF7">
      <w:pPr>
        <w:jc w:val="center"/>
        <w:rPr>
          <w:b/>
          <w:bCs/>
          <w:sz w:val="26"/>
          <w:szCs w:val="26"/>
        </w:rPr>
      </w:pPr>
    </w:p>
    <w:p w:rsidR="00C37FF7" w:rsidRPr="00F45FCC" w:rsidRDefault="00C37FF7" w:rsidP="00CC0831">
      <w:pPr>
        <w:pStyle w:val="ListParagraph"/>
        <w:keepNext/>
        <w:numPr>
          <w:ilvl w:val="0"/>
          <w:numId w:val="32"/>
        </w:numPr>
        <w:rPr>
          <w:b/>
          <w:bCs/>
        </w:rPr>
      </w:pPr>
      <w:r w:rsidRPr="00F45FCC">
        <w:rPr>
          <w:b/>
          <w:bCs/>
        </w:rPr>
        <w:t>BACKGROUND INFORMATION</w:t>
      </w:r>
    </w:p>
    <w:p w:rsidR="00C37FF7" w:rsidRPr="00F45FCC" w:rsidRDefault="00C37FF7" w:rsidP="00C37FF7">
      <w:pPr>
        <w:keepNext/>
      </w:pPr>
    </w:p>
    <w:p w:rsidR="00C37FF7" w:rsidRPr="00F45FCC" w:rsidRDefault="00C37FF7" w:rsidP="00CC0831">
      <w:pPr>
        <w:pStyle w:val="ListParagraph"/>
        <w:numPr>
          <w:ilvl w:val="1"/>
          <w:numId w:val="32"/>
        </w:numPr>
      </w:pPr>
      <w:r w:rsidRPr="00F45FCC">
        <w:rPr>
          <w:u w:val="single"/>
        </w:rPr>
        <w:t xml:space="preserve">Judicial Council of California – </w:t>
      </w:r>
      <w:r w:rsidR="00D22A15" w:rsidRPr="00F45FCC">
        <w:rPr>
          <w:u w:val="single"/>
        </w:rPr>
        <w:t>AOC</w:t>
      </w:r>
      <w:r w:rsidR="00574253" w:rsidRPr="00F45FCC">
        <w:t xml:space="preserve">.  </w:t>
      </w:r>
      <w:r w:rsidRPr="00F45FCC">
        <w:t>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rsidRPr="00F45FCC">
        <w:t xml:space="preserve">ns prescribed by law.  The </w:t>
      </w:r>
      <w:r w:rsidRPr="00F45FCC">
        <w:t>AOC is the staff agency for the council and assists both the council and its chair in performing their duties.</w:t>
      </w:r>
    </w:p>
    <w:p w:rsidR="00C37FF7" w:rsidRPr="00F45FCC" w:rsidRDefault="00C37FF7" w:rsidP="00C37FF7">
      <w:pPr>
        <w:ind w:left="1440"/>
      </w:pPr>
    </w:p>
    <w:p w:rsidR="004B5076" w:rsidRPr="00F45FCC" w:rsidRDefault="00DC4F86" w:rsidP="00CC0831">
      <w:pPr>
        <w:pStyle w:val="ListParagraph"/>
        <w:numPr>
          <w:ilvl w:val="1"/>
          <w:numId w:val="32"/>
        </w:numPr>
      </w:pPr>
      <w:r w:rsidRPr="00F45FCC">
        <w:t xml:space="preserve">Objective.  </w:t>
      </w:r>
      <w:r w:rsidR="004B5076" w:rsidRPr="00F45FCC">
        <w:t xml:space="preserve">The Judicial Council is charged with managing certain administrative functions for the courts in California’s justice system.  Among these is arranging for building security and security of the courtrooms and chambers at certain court locations through the Administrative Office of the Courts’ </w:t>
      </w:r>
      <w:r w:rsidR="002B2AE3" w:rsidRPr="00F45FCC">
        <w:t>Office of</w:t>
      </w:r>
      <w:r w:rsidR="00CF4B5F" w:rsidRPr="00F45FCC">
        <w:t xml:space="preserve"> </w:t>
      </w:r>
      <w:r w:rsidR="004B5076" w:rsidRPr="00F45FCC">
        <w:t xml:space="preserve">Emergency Response and Security (OERS). The services contemplated in this RFP are intended to complement and coordinate with security services already provided by the California Highway Patrol </w:t>
      </w:r>
      <w:r w:rsidR="00CB4CAF" w:rsidRPr="00F45FCC">
        <w:t xml:space="preserve">(CHP) </w:t>
      </w:r>
      <w:r w:rsidR="004B5076" w:rsidRPr="00F45FCC">
        <w:t>from its Judicial Protection</w:t>
      </w:r>
      <w:r w:rsidR="00CA2CE5" w:rsidRPr="00F45FCC">
        <w:t xml:space="preserve"> Section.</w:t>
      </w:r>
    </w:p>
    <w:p w:rsidR="001F3ABF" w:rsidRPr="00F45FCC" w:rsidRDefault="001F3ABF" w:rsidP="00CC0831">
      <w:pPr>
        <w:ind w:left="1440" w:hanging="720"/>
      </w:pPr>
    </w:p>
    <w:p w:rsidR="009732A4" w:rsidRPr="00F45FCC" w:rsidRDefault="009732A4" w:rsidP="00CC0831">
      <w:pPr>
        <w:pStyle w:val="ListParagraph"/>
        <w:numPr>
          <w:ilvl w:val="1"/>
          <w:numId w:val="32"/>
        </w:numPr>
      </w:pPr>
      <w:r w:rsidRPr="00F45FCC">
        <w:rPr>
          <w:u w:val="single"/>
        </w:rPr>
        <w:t>Website</w:t>
      </w:r>
      <w:r w:rsidRPr="00F45FCC">
        <w:t xml:space="preserve">.  For additional information about this solicitation, </w:t>
      </w:r>
      <w:r w:rsidR="002B023A" w:rsidRPr="00F45FCC">
        <w:t xml:space="preserve">including electronic copies of the solicitation documents, </w:t>
      </w:r>
      <w:r w:rsidRPr="00F45FCC">
        <w:t xml:space="preserve">see the California Courts Website located at </w:t>
      </w:r>
      <w:hyperlink r:id="rId9" w:history="1">
        <w:r w:rsidR="00D613D4" w:rsidRPr="00F45FCC">
          <w:rPr>
            <w:rStyle w:val="Hyperlink"/>
            <w:i/>
            <w:color w:val="auto"/>
          </w:rPr>
          <w:t>www.courts.ca.gov/rfps.htm</w:t>
        </w:r>
      </w:hyperlink>
      <w:r w:rsidR="00D613D4" w:rsidRPr="00F45FCC">
        <w:t xml:space="preserve"> (“Courts Website”).</w:t>
      </w:r>
      <w:r w:rsidR="00396FE0" w:rsidRPr="00F45FCC">
        <w:t xml:space="preserve"> </w:t>
      </w:r>
    </w:p>
    <w:p w:rsidR="009732A4" w:rsidRPr="00F45FCC" w:rsidRDefault="009732A4" w:rsidP="00CC0831">
      <w:pPr>
        <w:ind w:left="1440" w:hanging="720"/>
      </w:pPr>
    </w:p>
    <w:p w:rsidR="0088206E" w:rsidRPr="00F45FCC" w:rsidRDefault="0088206E" w:rsidP="00CC0831">
      <w:pPr>
        <w:keepNext/>
        <w:rPr>
          <w:b/>
          <w:bCs/>
        </w:rPr>
      </w:pPr>
    </w:p>
    <w:p w:rsidR="00C37FF7" w:rsidRPr="00F45FCC" w:rsidRDefault="00FC4A81" w:rsidP="00CC0831">
      <w:pPr>
        <w:pStyle w:val="ListParagraph"/>
        <w:keepNext/>
        <w:numPr>
          <w:ilvl w:val="0"/>
          <w:numId w:val="32"/>
        </w:numPr>
        <w:rPr>
          <w:b/>
          <w:bCs/>
        </w:rPr>
      </w:pPr>
      <w:r w:rsidRPr="00F45FCC">
        <w:rPr>
          <w:b/>
          <w:bCs/>
        </w:rPr>
        <w:t xml:space="preserve">DESCRIPTION OF </w:t>
      </w:r>
      <w:r w:rsidR="009C38A6" w:rsidRPr="00F45FCC">
        <w:rPr>
          <w:b/>
          <w:bCs/>
        </w:rPr>
        <w:t xml:space="preserve">SERVICES </w:t>
      </w:r>
      <w:r w:rsidR="005F3F8D" w:rsidRPr="00F45FCC">
        <w:rPr>
          <w:b/>
          <w:bCs/>
        </w:rPr>
        <w:t>AND DELIVERABLES</w:t>
      </w:r>
    </w:p>
    <w:p w:rsidR="00FC4A81" w:rsidRPr="00F45FCC" w:rsidRDefault="00FC4A81" w:rsidP="00CC0831">
      <w:pPr>
        <w:keepNext/>
        <w:rPr>
          <w:b/>
          <w:bCs/>
        </w:rPr>
      </w:pPr>
    </w:p>
    <w:p w:rsidR="001F3ABF" w:rsidRPr="00F45FCC" w:rsidRDefault="004B5076" w:rsidP="00507805">
      <w:pPr>
        <w:pStyle w:val="ListParagraph"/>
        <w:numPr>
          <w:ilvl w:val="1"/>
          <w:numId w:val="32"/>
        </w:numPr>
      </w:pPr>
      <w:r w:rsidRPr="00F45FCC">
        <w:t>The Judicial Council/AOC (the “State”) seeks the services of a qualified contractor to perform non-sworn, unarmed, uniformed security guard services for the offices of the Judicial Council/AOC, the California Supreme Court</w:t>
      </w:r>
      <w:r w:rsidR="00CA2CE5" w:rsidRPr="00F45FCC">
        <w:t>,</w:t>
      </w:r>
      <w:r w:rsidRPr="00F45FCC">
        <w:t xml:space="preserve"> and the California Courts of Appeal, at a total of nine (9) sites across the State, as more specifically set forth and described in Exhibit A, Statement of Work &amp; Responsibilities, Site Coverage Requirements and Proposer Responses &amp; Cost Information (the “Sites”).  </w:t>
      </w:r>
      <w:r w:rsidR="001F3ABF" w:rsidRPr="00F45FCC">
        <w:t xml:space="preserve">One contractor is </w:t>
      </w:r>
      <w:r w:rsidR="004D6C81" w:rsidRPr="00F45FCC">
        <w:t xml:space="preserve">to provide this service statewide.  </w:t>
      </w:r>
      <w:r w:rsidRPr="00F45FCC">
        <w:t>The O</w:t>
      </w:r>
      <w:r w:rsidR="009B3984" w:rsidRPr="00F45FCC">
        <w:t>ERS</w:t>
      </w:r>
      <w:r w:rsidRPr="00F45FCC">
        <w:t xml:space="preserve"> shall schedule and post the Contractor’s personnel at the Sites, in compliance with the </w:t>
      </w:r>
      <w:r w:rsidR="009B3984" w:rsidRPr="00F45FCC">
        <w:t>OERS</w:t>
      </w:r>
      <w:r w:rsidRPr="00F45FCC">
        <w:t xml:space="preserve"> Post &amp; Operation Orders and </w:t>
      </w:r>
      <w:r w:rsidR="009B3984" w:rsidRPr="00F45FCC">
        <w:t>Directives;</w:t>
      </w:r>
      <w:r w:rsidRPr="00F45FCC">
        <w:t xml:space="preserve"> however the Contractor is directly responsible for supervising and instructing its own staff.  The Contractor may also recommend </w:t>
      </w:r>
      <w:r w:rsidR="009B3984" w:rsidRPr="00F45FCC">
        <w:t xml:space="preserve">to OERS and the Court </w:t>
      </w:r>
      <w:r w:rsidRPr="00F45FCC">
        <w:t>either on-site or roving supervisory staff of its own at the Sites</w:t>
      </w:r>
      <w:r w:rsidR="00CF4B5F" w:rsidRPr="00F45FCC">
        <w:t xml:space="preserve"> without further cost.</w:t>
      </w:r>
      <w:r w:rsidR="00507805" w:rsidRPr="00F45FCC">
        <w:t xml:space="preserve">  The estimated annual value for the services in this RFP will be between $900,000 and $1,000,000.</w:t>
      </w:r>
    </w:p>
    <w:p w:rsidR="001F3ABF" w:rsidRPr="00F45FCC" w:rsidRDefault="001F3ABF" w:rsidP="00507805">
      <w:pPr>
        <w:pStyle w:val="RFPText"/>
      </w:pPr>
    </w:p>
    <w:p w:rsidR="001C3290" w:rsidRPr="00F45FCC" w:rsidRDefault="001F3ABF" w:rsidP="00507805">
      <w:pPr>
        <w:pStyle w:val="ListParagraph"/>
        <w:numPr>
          <w:ilvl w:val="1"/>
          <w:numId w:val="32"/>
        </w:numPr>
      </w:pPr>
      <w:r w:rsidRPr="00F45FCC">
        <w:t xml:space="preserve">The Judicial Council of California and the California Appellate Courts are exempt from the personal services contracting requirements in Government Code Sections 19130-19134. </w:t>
      </w:r>
      <w:r w:rsidR="0097773B" w:rsidRPr="00F45FCC">
        <w:t xml:space="preserve"> </w:t>
      </w:r>
      <w:r w:rsidRPr="00F45FCC">
        <w:t xml:space="preserve">Timesheets noting each day worked will be required from each guard at each location and be submitted with </w:t>
      </w:r>
      <w:r w:rsidR="0097773B" w:rsidRPr="00F45FCC">
        <w:t xml:space="preserve">the </w:t>
      </w:r>
      <w:r w:rsidRPr="00F45FCC">
        <w:t>contractor’s invoice.  Coverage for a</w:t>
      </w:r>
      <w:r w:rsidR="0097773B" w:rsidRPr="00F45FCC">
        <w:t>n absent</w:t>
      </w:r>
      <w:r w:rsidRPr="00F45FCC">
        <w:t xml:space="preserve"> guard </w:t>
      </w:r>
      <w:r w:rsidRPr="00F45FCC">
        <w:lastRenderedPageBreak/>
        <w:t>must be at the originally posted guard’s billing rate.</w:t>
      </w:r>
      <w:r w:rsidR="0097773B" w:rsidRPr="00F45FCC">
        <w:t xml:space="preserve">  The State will not be charged for overtime if the Contractor’s relief guard is late for any reason and the current guard’s shift is expended past eight (8) hours or a 40-hour week.  The contractor shall </w:t>
      </w:r>
      <w:proofErr w:type="spellStart"/>
      <w:r w:rsidR="0097773B" w:rsidRPr="00F45FCC">
        <w:t>aborb</w:t>
      </w:r>
      <w:proofErr w:type="spellEnd"/>
      <w:r w:rsidR="0097773B" w:rsidRPr="00F45FCC">
        <w:t xml:space="preserve"> such overtime costs.  Hourly billing rates will be flat rates which include all wages, benefits, allowances, differentials, and are billable for time </w:t>
      </w:r>
      <w:r w:rsidR="0097773B" w:rsidRPr="00F45FCC">
        <w:rPr>
          <w:bCs/>
        </w:rPr>
        <w:t>worked</w:t>
      </w:r>
      <w:r w:rsidR="0097773B" w:rsidRPr="00F45FCC">
        <w:t>.</w:t>
      </w:r>
    </w:p>
    <w:p w:rsidR="001F3ABF" w:rsidRPr="00F45FCC" w:rsidRDefault="001F3ABF" w:rsidP="000B16BD">
      <w:pPr>
        <w:pStyle w:val="RFPText"/>
      </w:pPr>
    </w:p>
    <w:p w:rsidR="00FB5ED0" w:rsidRPr="00F45FCC" w:rsidRDefault="004D2D7E" w:rsidP="00CC0831">
      <w:pPr>
        <w:pStyle w:val="ListParagraph"/>
        <w:keepNext/>
        <w:numPr>
          <w:ilvl w:val="1"/>
          <w:numId w:val="32"/>
        </w:numPr>
      </w:pPr>
      <w:r w:rsidRPr="00F45FCC">
        <w:t>Specifications</w:t>
      </w:r>
    </w:p>
    <w:p w:rsidR="00FB5ED0" w:rsidRPr="00F45FCC" w:rsidRDefault="00FB5ED0" w:rsidP="000B16BD">
      <w:pPr>
        <w:pStyle w:val="RFPText"/>
      </w:pPr>
    </w:p>
    <w:p w:rsidR="00FB5ED0" w:rsidRPr="00F45FCC" w:rsidRDefault="00CC0831" w:rsidP="000B16BD">
      <w:pPr>
        <w:pStyle w:val="RFPText"/>
        <w:rPr>
          <w:szCs w:val="24"/>
        </w:rPr>
      </w:pPr>
      <w:r w:rsidRPr="00F45FCC">
        <w:rPr>
          <w:szCs w:val="24"/>
        </w:rPr>
        <w:t xml:space="preserve">Specifications are set forth in </w:t>
      </w:r>
      <w:r w:rsidR="00C22AB4" w:rsidRPr="00F45FCC">
        <w:rPr>
          <w:szCs w:val="24"/>
        </w:rPr>
        <w:t xml:space="preserve">detail in </w:t>
      </w:r>
      <w:r w:rsidRPr="00F45FCC">
        <w:rPr>
          <w:szCs w:val="24"/>
        </w:rPr>
        <w:t xml:space="preserve">Attachment 2, AOC Standard Terms and Conditions, </w:t>
      </w:r>
      <w:r w:rsidR="00C22AB4" w:rsidRPr="00F45FCC">
        <w:rPr>
          <w:szCs w:val="24"/>
        </w:rPr>
        <w:t>and include:</w:t>
      </w:r>
    </w:p>
    <w:p w:rsidR="000B16BD" w:rsidRPr="00F45FCC" w:rsidRDefault="000B16BD" w:rsidP="000B16BD">
      <w:pPr>
        <w:pStyle w:val="RFPText"/>
        <w:numPr>
          <w:ilvl w:val="0"/>
          <w:numId w:val="38"/>
        </w:numPr>
        <w:ind w:left="1440" w:hanging="720"/>
        <w:rPr>
          <w:szCs w:val="24"/>
        </w:rPr>
      </w:pPr>
      <w:r w:rsidRPr="00F45FCC">
        <w:rPr>
          <w:szCs w:val="24"/>
        </w:rPr>
        <w:t>Overview</w:t>
      </w:r>
    </w:p>
    <w:p w:rsidR="000B16BD" w:rsidRPr="00F45FCC" w:rsidRDefault="000B16BD" w:rsidP="000B16BD">
      <w:pPr>
        <w:pStyle w:val="RFPText"/>
        <w:numPr>
          <w:ilvl w:val="0"/>
          <w:numId w:val="38"/>
        </w:numPr>
        <w:ind w:left="1440" w:hanging="720"/>
        <w:rPr>
          <w:szCs w:val="24"/>
        </w:rPr>
      </w:pPr>
      <w:r w:rsidRPr="00F45FCC">
        <w:rPr>
          <w:szCs w:val="24"/>
        </w:rPr>
        <w:t>Tasks To Be Performed</w:t>
      </w:r>
    </w:p>
    <w:p w:rsidR="000B16BD" w:rsidRPr="00F45FCC" w:rsidRDefault="000B16BD" w:rsidP="000B16BD">
      <w:pPr>
        <w:pStyle w:val="RFPText"/>
        <w:numPr>
          <w:ilvl w:val="0"/>
          <w:numId w:val="38"/>
        </w:numPr>
        <w:ind w:left="1440" w:hanging="720"/>
        <w:rPr>
          <w:szCs w:val="24"/>
        </w:rPr>
      </w:pPr>
      <w:r w:rsidRPr="00F45FCC">
        <w:rPr>
          <w:szCs w:val="24"/>
        </w:rPr>
        <w:t>Guard Requirements</w:t>
      </w:r>
    </w:p>
    <w:p w:rsidR="000B16BD" w:rsidRPr="00F45FCC" w:rsidRDefault="000B16BD" w:rsidP="000B16BD">
      <w:pPr>
        <w:pStyle w:val="Style2"/>
        <w:numPr>
          <w:ilvl w:val="0"/>
          <w:numId w:val="36"/>
        </w:numPr>
        <w:ind w:left="2160" w:hanging="720"/>
        <w:rPr>
          <w:szCs w:val="24"/>
        </w:rPr>
      </w:pPr>
      <w:r w:rsidRPr="00F45FCC">
        <w:rPr>
          <w:szCs w:val="24"/>
        </w:rPr>
        <w:t>Application Approval</w:t>
      </w:r>
    </w:p>
    <w:p w:rsidR="000B16BD" w:rsidRPr="00F45FCC" w:rsidRDefault="000B16BD" w:rsidP="000B16BD">
      <w:pPr>
        <w:pStyle w:val="Style2"/>
        <w:numPr>
          <w:ilvl w:val="0"/>
          <w:numId w:val="36"/>
        </w:numPr>
        <w:ind w:left="2160" w:hanging="720"/>
        <w:rPr>
          <w:szCs w:val="24"/>
        </w:rPr>
      </w:pPr>
      <w:r w:rsidRPr="00F45FCC">
        <w:rPr>
          <w:szCs w:val="24"/>
        </w:rPr>
        <w:t>Supervision</w:t>
      </w:r>
    </w:p>
    <w:p w:rsidR="000B16BD" w:rsidRPr="00F45FCC" w:rsidRDefault="000B16BD" w:rsidP="000B16BD">
      <w:pPr>
        <w:pStyle w:val="Style2"/>
        <w:numPr>
          <w:ilvl w:val="0"/>
          <w:numId w:val="36"/>
        </w:numPr>
        <w:ind w:left="2160" w:hanging="720"/>
        <w:rPr>
          <w:szCs w:val="24"/>
        </w:rPr>
      </w:pPr>
      <w:r w:rsidRPr="00F45FCC">
        <w:rPr>
          <w:szCs w:val="24"/>
        </w:rPr>
        <w:t>Experience</w:t>
      </w:r>
    </w:p>
    <w:p w:rsidR="000B16BD" w:rsidRPr="00F45FCC" w:rsidRDefault="000B16BD" w:rsidP="000B16BD">
      <w:pPr>
        <w:pStyle w:val="Style2"/>
        <w:numPr>
          <w:ilvl w:val="0"/>
          <w:numId w:val="36"/>
        </w:numPr>
        <w:ind w:left="2160" w:hanging="720"/>
        <w:rPr>
          <w:szCs w:val="24"/>
        </w:rPr>
      </w:pPr>
      <w:r w:rsidRPr="00F45FCC">
        <w:rPr>
          <w:szCs w:val="24"/>
        </w:rPr>
        <w:t>Current Permanent Registration Card</w:t>
      </w:r>
    </w:p>
    <w:p w:rsidR="000B16BD" w:rsidRPr="00F45FCC" w:rsidRDefault="000B16BD" w:rsidP="000B16BD">
      <w:pPr>
        <w:pStyle w:val="Style2"/>
        <w:numPr>
          <w:ilvl w:val="0"/>
          <w:numId w:val="36"/>
        </w:numPr>
        <w:ind w:left="2160" w:hanging="720"/>
        <w:rPr>
          <w:szCs w:val="24"/>
        </w:rPr>
      </w:pPr>
      <w:r w:rsidRPr="00F45FCC">
        <w:rPr>
          <w:szCs w:val="24"/>
        </w:rPr>
        <w:t>Physical Qualifications</w:t>
      </w:r>
    </w:p>
    <w:p w:rsidR="000B16BD" w:rsidRPr="00F45FCC" w:rsidRDefault="000B16BD" w:rsidP="000B16BD">
      <w:pPr>
        <w:pStyle w:val="Style2"/>
        <w:numPr>
          <w:ilvl w:val="0"/>
          <w:numId w:val="36"/>
        </w:numPr>
        <w:ind w:left="2160" w:hanging="720"/>
        <w:rPr>
          <w:szCs w:val="24"/>
        </w:rPr>
      </w:pPr>
      <w:r w:rsidRPr="00F45FCC">
        <w:rPr>
          <w:szCs w:val="24"/>
        </w:rPr>
        <w:t>Mental Qualifications</w:t>
      </w:r>
    </w:p>
    <w:p w:rsidR="000B16BD" w:rsidRPr="00F45FCC" w:rsidRDefault="000B16BD" w:rsidP="000B16BD">
      <w:pPr>
        <w:pStyle w:val="Style2"/>
        <w:numPr>
          <w:ilvl w:val="0"/>
          <w:numId w:val="36"/>
        </w:numPr>
        <w:ind w:left="2160" w:hanging="720"/>
        <w:rPr>
          <w:szCs w:val="24"/>
        </w:rPr>
      </w:pPr>
      <w:r w:rsidRPr="00F45FCC">
        <w:rPr>
          <w:szCs w:val="24"/>
        </w:rPr>
        <w:t>Literacy</w:t>
      </w:r>
    </w:p>
    <w:p w:rsidR="000B16BD" w:rsidRPr="00F45FCC" w:rsidRDefault="000B16BD" w:rsidP="000B16BD">
      <w:pPr>
        <w:pStyle w:val="Style2"/>
        <w:numPr>
          <w:ilvl w:val="0"/>
          <w:numId w:val="36"/>
        </w:numPr>
        <w:ind w:left="2160" w:hanging="720"/>
        <w:rPr>
          <w:szCs w:val="24"/>
        </w:rPr>
      </w:pPr>
      <w:r w:rsidRPr="00F45FCC">
        <w:rPr>
          <w:szCs w:val="24"/>
        </w:rPr>
        <w:t>Training</w:t>
      </w:r>
    </w:p>
    <w:p w:rsidR="000B16BD" w:rsidRPr="00F45FCC" w:rsidRDefault="000B16BD" w:rsidP="000B16BD">
      <w:pPr>
        <w:pStyle w:val="Style2"/>
        <w:numPr>
          <w:ilvl w:val="0"/>
          <w:numId w:val="36"/>
        </w:numPr>
        <w:ind w:left="2160" w:hanging="720"/>
        <w:rPr>
          <w:szCs w:val="24"/>
        </w:rPr>
      </w:pPr>
      <w:r w:rsidRPr="00F45FCC">
        <w:rPr>
          <w:szCs w:val="24"/>
        </w:rPr>
        <w:t>Post Instructions</w:t>
      </w:r>
    </w:p>
    <w:p w:rsidR="000B16BD" w:rsidRPr="00F45FCC" w:rsidRDefault="000B16BD" w:rsidP="000B16BD">
      <w:pPr>
        <w:pStyle w:val="Style2"/>
        <w:numPr>
          <w:ilvl w:val="0"/>
          <w:numId w:val="36"/>
        </w:numPr>
        <w:ind w:left="2160" w:hanging="720"/>
        <w:rPr>
          <w:szCs w:val="24"/>
        </w:rPr>
      </w:pPr>
      <w:r w:rsidRPr="00F45FCC">
        <w:rPr>
          <w:szCs w:val="24"/>
        </w:rPr>
        <w:t>Uniform</w:t>
      </w:r>
    </w:p>
    <w:p w:rsidR="000B16BD" w:rsidRPr="00F45FCC" w:rsidRDefault="000B16BD" w:rsidP="000B16BD">
      <w:pPr>
        <w:pStyle w:val="Style2"/>
        <w:numPr>
          <w:ilvl w:val="0"/>
          <w:numId w:val="36"/>
        </w:numPr>
        <w:ind w:left="2160" w:hanging="720"/>
        <w:rPr>
          <w:szCs w:val="24"/>
        </w:rPr>
      </w:pPr>
      <w:r w:rsidRPr="00F45FCC">
        <w:rPr>
          <w:szCs w:val="24"/>
        </w:rPr>
        <w:t>Required and Prohibited Activities</w:t>
      </w:r>
    </w:p>
    <w:p w:rsidR="000B16BD" w:rsidRPr="00F45FCC" w:rsidRDefault="000B16BD" w:rsidP="000B16BD">
      <w:pPr>
        <w:pStyle w:val="Style2"/>
        <w:numPr>
          <w:ilvl w:val="0"/>
          <w:numId w:val="36"/>
        </w:numPr>
        <w:ind w:left="2160" w:hanging="720"/>
        <w:rPr>
          <w:szCs w:val="24"/>
        </w:rPr>
      </w:pPr>
      <w:r w:rsidRPr="00F45FCC">
        <w:rPr>
          <w:szCs w:val="24"/>
        </w:rPr>
        <w:t>Reporting</w:t>
      </w:r>
    </w:p>
    <w:p w:rsidR="000B16BD" w:rsidRPr="00F45FCC" w:rsidRDefault="000B16BD" w:rsidP="000B16BD">
      <w:pPr>
        <w:pStyle w:val="Style2"/>
        <w:numPr>
          <w:ilvl w:val="0"/>
          <w:numId w:val="36"/>
        </w:numPr>
        <w:ind w:left="2160" w:hanging="720"/>
        <w:rPr>
          <w:szCs w:val="24"/>
        </w:rPr>
      </w:pPr>
      <w:r w:rsidRPr="00F45FCC">
        <w:rPr>
          <w:szCs w:val="24"/>
        </w:rPr>
        <w:t>Cooperation</w:t>
      </w:r>
    </w:p>
    <w:p w:rsidR="000B16BD" w:rsidRPr="00F45FCC" w:rsidRDefault="00384866" w:rsidP="00384866">
      <w:pPr>
        <w:pStyle w:val="RFPText"/>
        <w:numPr>
          <w:ilvl w:val="0"/>
          <w:numId w:val="38"/>
        </w:numPr>
        <w:ind w:left="1440" w:hanging="720"/>
        <w:rPr>
          <w:szCs w:val="24"/>
        </w:rPr>
      </w:pPr>
      <w:r w:rsidRPr="00F45FCC">
        <w:rPr>
          <w:szCs w:val="24"/>
        </w:rPr>
        <w:t>Performance</w:t>
      </w:r>
    </w:p>
    <w:p w:rsidR="00384866" w:rsidRPr="00F45FCC" w:rsidRDefault="00384866" w:rsidP="00384866">
      <w:pPr>
        <w:pStyle w:val="RFPText"/>
        <w:numPr>
          <w:ilvl w:val="0"/>
          <w:numId w:val="38"/>
        </w:numPr>
        <w:ind w:left="1440" w:hanging="720"/>
        <w:rPr>
          <w:szCs w:val="24"/>
        </w:rPr>
      </w:pPr>
      <w:r w:rsidRPr="00F45FCC">
        <w:rPr>
          <w:szCs w:val="24"/>
        </w:rPr>
        <w:t>Background Checks</w:t>
      </w:r>
    </w:p>
    <w:p w:rsidR="00384866" w:rsidRPr="00F45FCC" w:rsidRDefault="00384866" w:rsidP="00384866">
      <w:pPr>
        <w:pStyle w:val="RFPText"/>
        <w:numPr>
          <w:ilvl w:val="0"/>
          <w:numId w:val="38"/>
        </w:numPr>
        <w:ind w:left="1440" w:hanging="720"/>
        <w:rPr>
          <w:szCs w:val="24"/>
        </w:rPr>
      </w:pPr>
      <w:r w:rsidRPr="00F45FCC">
        <w:rPr>
          <w:szCs w:val="24"/>
        </w:rPr>
        <w:t>License and Permits</w:t>
      </w:r>
    </w:p>
    <w:p w:rsidR="00384866" w:rsidRPr="00F45FCC" w:rsidRDefault="00384866" w:rsidP="00384866">
      <w:pPr>
        <w:pStyle w:val="RFPText"/>
        <w:numPr>
          <w:ilvl w:val="0"/>
          <w:numId w:val="38"/>
        </w:numPr>
        <w:ind w:left="1440" w:hanging="720"/>
        <w:rPr>
          <w:szCs w:val="24"/>
        </w:rPr>
      </w:pPr>
      <w:r w:rsidRPr="00F45FCC">
        <w:rPr>
          <w:szCs w:val="24"/>
        </w:rPr>
        <w:t>Holidays</w:t>
      </w:r>
    </w:p>
    <w:p w:rsidR="000B16BD" w:rsidRPr="00F45FCC" w:rsidRDefault="000B16BD" w:rsidP="000B16BD">
      <w:pPr>
        <w:pStyle w:val="RFPText"/>
        <w:rPr>
          <w:szCs w:val="24"/>
        </w:rPr>
      </w:pPr>
    </w:p>
    <w:p w:rsidR="000B16BD" w:rsidRPr="00F45FCC" w:rsidRDefault="004D2D7E" w:rsidP="000B16BD">
      <w:pPr>
        <w:pStyle w:val="RFPText"/>
        <w:rPr>
          <w:szCs w:val="24"/>
        </w:rPr>
      </w:pPr>
      <w:r w:rsidRPr="00F45FCC">
        <w:rPr>
          <w:szCs w:val="24"/>
        </w:rPr>
        <w:t xml:space="preserve">The above list is not an all inclusive list of work to be performed.  </w:t>
      </w:r>
      <w:r w:rsidR="00384866" w:rsidRPr="00F45FCC">
        <w:rPr>
          <w:szCs w:val="24"/>
        </w:rPr>
        <w:t>Proposers are to thoroughly review Attachment 2, AOC Standard Terms and Conditions prior to submitting a proposal.</w:t>
      </w:r>
    </w:p>
    <w:p w:rsidR="00F65DD5" w:rsidRPr="00F45FCC" w:rsidRDefault="00F65DD5" w:rsidP="000B16BD">
      <w:pPr>
        <w:pStyle w:val="RFPText"/>
        <w:rPr>
          <w:szCs w:val="24"/>
        </w:rPr>
      </w:pPr>
    </w:p>
    <w:p w:rsidR="00A03405" w:rsidRPr="00F45FCC" w:rsidRDefault="002B2AE3" w:rsidP="00F65DD5">
      <w:pPr>
        <w:pStyle w:val="ListParagraph"/>
        <w:keepNext/>
        <w:numPr>
          <w:ilvl w:val="1"/>
          <w:numId w:val="32"/>
        </w:numPr>
      </w:pPr>
      <w:r w:rsidRPr="00F45FCC">
        <w:t xml:space="preserve">Incumbent Personnel: </w:t>
      </w:r>
      <w:r w:rsidR="001C3290" w:rsidRPr="00F45FCC">
        <w:t>Successful</w:t>
      </w:r>
      <w:r w:rsidR="00A03405" w:rsidRPr="00F45FCC">
        <w:t xml:space="preserve"> bidders will be encouraged to work with OERS and the court</w:t>
      </w:r>
      <w:r w:rsidR="00602F8D" w:rsidRPr="00F45FCC">
        <w:t>s</w:t>
      </w:r>
      <w:r w:rsidR="00A03405" w:rsidRPr="00F45FCC">
        <w:t xml:space="preserve"> on incumbent personnel transfer, if the court indicates that the incumbent meets or exceeds their requirements. Proposers will detail their plans to include this process in their hiring policies if they are successful in gaining this contract.</w:t>
      </w:r>
    </w:p>
    <w:p w:rsidR="00116BD1" w:rsidRPr="00F45FCC" w:rsidRDefault="00116BD1" w:rsidP="00716C7E">
      <w:pPr>
        <w:tabs>
          <w:tab w:val="left" w:pos="2016"/>
          <w:tab w:val="left" w:pos="2592"/>
          <w:tab w:val="left" w:pos="4176"/>
          <w:tab w:val="left" w:pos="10710"/>
        </w:tabs>
        <w:ind w:right="180"/>
        <w:rPr>
          <w:u w:val="single"/>
        </w:rPr>
      </w:pPr>
    </w:p>
    <w:p w:rsidR="00716C7E" w:rsidRPr="00F45FCC" w:rsidRDefault="00716C7E" w:rsidP="00F65DD5">
      <w:pPr>
        <w:pStyle w:val="ListParagraph"/>
        <w:keepNext/>
        <w:numPr>
          <w:ilvl w:val="1"/>
          <w:numId w:val="32"/>
        </w:numPr>
      </w:pPr>
      <w:r w:rsidRPr="00F45FCC">
        <w:t>Site Coverage</w:t>
      </w:r>
    </w:p>
    <w:p w:rsidR="00716C7E" w:rsidRPr="00F45FCC" w:rsidRDefault="00716C7E" w:rsidP="00716C7E"/>
    <w:p w:rsidR="00384866" w:rsidRPr="00F45FCC" w:rsidRDefault="00F65DD5" w:rsidP="00716C7E">
      <w:pPr>
        <w:tabs>
          <w:tab w:val="left" w:pos="10710"/>
        </w:tabs>
        <w:ind w:left="720" w:right="180"/>
      </w:pPr>
      <w:r w:rsidRPr="00F45FCC">
        <w:t xml:space="preserve">Brief description of site coverage is </w:t>
      </w:r>
      <w:r w:rsidR="00716C7E" w:rsidRPr="00F45FCC">
        <w:t xml:space="preserve">set forth </w:t>
      </w:r>
      <w:r w:rsidR="00384866" w:rsidRPr="00F45FCC">
        <w:t>in Attachment 2, Exhibit E</w:t>
      </w:r>
      <w:r w:rsidR="00716C7E" w:rsidRPr="00F45FCC">
        <w:t xml:space="preserve">.  </w:t>
      </w:r>
      <w:r w:rsidRPr="00F45FCC">
        <w:t>Detailed information regarding site coverage will be provided after the State receives a signed Non-Disclosure Agreement</w:t>
      </w:r>
      <w:r w:rsidR="00716C7E" w:rsidRPr="00F45FCC">
        <w:t xml:space="preserve">. Unless expressly required, no work will be performed on State holidays and all overtime must be approved by the </w:t>
      </w:r>
      <w:r w:rsidR="006E3CDE" w:rsidRPr="00F45FCC">
        <w:t>judiciary representative in each location in writing</w:t>
      </w:r>
      <w:r w:rsidR="00716C7E" w:rsidRPr="00F45FCC">
        <w:t xml:space="preserve"> in advance.  </w:t>
      </w:r>
    </w:p>
    <w:p w:rsidR="00384866" w:rsidRPr="00F45FCC" w:rsidRDefault="00384866" w:rsidP="00716C7E">
      <w:pPr>
        <w:tabs>
          <w:tab w:val="left" w:pos="10710"/>
        </w:tabs>
        <w:ind w:left="720" w:right="180"/>
      </w:pPr>
    </w:p>
    <w:p w:rsidR="00C37FF7" w:rsidRPr="00F45FCC" w:rsidRDefault="00C37FF7" w:rsidP="00C37FF7">
      <w:pPr>
        <w:ind w:left="720"/>
      </w:pPr>
    </w:p>
    <w:p w:rsidR="00A50B42" w:rsidRPr="00F45FCC" w:rsidRDefault="00A50B42" w:rsidP="00384866">
      <w:pPr>
        <w:pStyle w:val="ListParagraph"/>
        <w:keepNext/>
        <w:numPr>
          <w:ilvl w:val="0"/>
          <w:numId w:val="32"/>
        </w:numPr>
        <w:rPr>
          <w:b/>
          <w:bCs/>
        </w:rPr>
      </w:pPr>
      <w:r w:rsidRPr="00F45FCC">
        <w:rPr>
          <w:b/>
          <w:bCs/>
        </w:rPr>
        <w:t>TIMELINE FOR THIS RFP</w:t>
      </w:r>
    </w:p>
    <w:p w:rsidR="00A50B42" w:rsidRPr="00F45FCC" w:rsidRDefault="00A50B42" w:rsidP="00A50B42">
      <w:pPr>
        <w:widowControl w:val="0"/>
        <w:rPr>
          <w:bCs/>
        </w:rPr>
      </w:pPr>
    </w:p>
    <w:p w:rsidR="00A50B42" w:rsidRPr="00F45FCC" w:rsidRDefault="00A50B42" w:rsidP="00AB2FC2">
      <w:pPr>
        <w:widowControl w:val="0"/>
        <w:ind w:left="720"/>
        <w:rPr>
          <w:bCs/>
        </w:rPr>
      </w:pPr>
      <w:r w:rsidRPr="00F45FCC">
        <w:rPr>
          <w:bCs/>
        </w:rPr>
        <w:t xml:space="preserve">The AOC has developed the following list of key events </w:t>
      </w:r>
      <w:r w:rsidR="00FC4A81" w:rsidRPr="00F45FCC">
        <w:rPr>
          <w:bCs/>
        </w:rPr>
        <w:t>related to this RFP</w:t>
      </w:r>
      <w:r w:rsidRPr="00F45FCC">
        <w:rPr>
          <w:bCs/>
        </w:rPr>
        <w:t>.  All dates are subject to change at the discretion of the AOC.</w:t>
      </w:r>
    </w:p>
    <w:p w:rsidR="00A50B42" w:rsidRPr="00F45FCC" w:rsidRDefault="00A50B42" w:rsidP="00A50B42">
      <w:pPr>
        <w:widowControl w:val="0"/>
        <w:ind w:left="1440"/>
        <w:rPr>
          <w:bCs/>
        </w:rPr>
      </w:pPr>
    </w:p>
    <w:p w:rsidR="00AB2FC2" w:rsidRPr="00F45FCC" w:rsidRDefault="00AB2FC2" w:rsidP="00A50B42">
      <w:pPr>
        <w:widowControl w:val="0"/>
        <w:ind w:left="1440"/>
        <w:rPr>
          <w:bCs/>
        </w:rPr>
      </w:pP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59"/>
        <w:gridCol w:w="3420"/>
      </w:tblGrid>
      <w:tr w:rsidR="00A50B42" w:rsidRPr="00F45FCC" w:rsidTr="00474D62">
        <w:trPr>
          <w:trHeight w:val="485"/>
          <w:tblHeader/>
        </w:trPr>
        <w:tc>
          <w:tcPr>
            <w:tcW w:w="6459" w:type="dxa"/>
            <w:shd w:val="clear" w:color="auto" w:fill="E6E6E6"/>
            <w:vAlign w:val="center"/>
          </w:tcPr>
          <w:p w:rsidR="00A50B42" w:rsidRPr="00F45FCC" w:rsidRDefault="00A50B42" w:rsidP="00C57C07">
            <w:pPr>
              <w:widowControl w:val="0"/>
              <w:tabs>
                <w:tab w:val="left" w:pos="6354"/>
              </w:tabs>
              <w:ind w:right="-18"/>
              <w:jc w:val="center"/>
              <w:rPr>
                <w:b/>
                <w:bCs/>
              </w:rPr>
            </w:pPr>
            <w:r w:rsidRPr="00F45FCC">
              <w:rPr>
                <w:b/>
                <w:bCs/>
              </w:rPr>
              <w:t>EVENT</w:t>
            </w:r>
          </w:p>
        </w:tc>
        <w:tc>
          <w:tcPr>
            <w:tcW w:w="3420" w:type="dxa"/>
            <w:shd w:val="clear" w:color="auto" w:fill="E6E6E6"/>
            <w:vAlign w:val="center"/>
          </w:tcPr>
          <w:p w:rsidR="00A50B42" w:rsidRPr="00F45FCC" w:rsidRDefault="00A50B42" w:rsidP="00C57C07">
            <w:pPr>
              <w:widowControl w:val="0"/>
              <w:ind w:left="-108" w:right="-108"/>
              <w:jc w:val="center"/>
              <w:rPr>
                <w:b/>
                <w:bCs/>
                <w:sz w:val="22"/>
                <w:szCs w:val="22"/>
              </w:rPr>
            </w:pPr>
            <w:r w:rsidRPr="00F45FCC">
              <w:rPr>
                <w:b/>
                <w:bCs/>
                <w:sz w:val="22"/>
                <w:szCs w:val="22"/>
              </w:rPr>
              <w:t>DATE</w:t>
            </w:r>
          </w:p>
        </w:tc>
      </w:tr>
      <w:tr w:rsidR="00A50B42" w:rsidRPr="00F45FCC" w:rsidTr="00474D62">
        <w:trPr>
          <w:trHeight w:val="575"/>
        </w:trPr>
        <w:tc>
          <w:tcPr>
            <w:tcW w:w="6459" w:type="dxa"/>
            <w:vAlign w:val="center"/>
          </w:tcPr>
          <w:p w:rsidR="00A50B42" w:rsidRPr="00F45FCC" w:rsidRDefault="00A50B42" w:rsidP="00C57C07">
            <w:pPr>
              <w:widowControl w:val="0"/>
              <w:rPr>
                <w:b/>
                <w:bCs/>
                <w:sz w:val="22"/>
                <w:szCs w:val="22"/>
              </w:rPr>
            </w:pPr>
            <w:r w:rsidRPr="00F45FCC">
              <w:rPr>
                <w:bCs/>
                <w:sz w:val="22"/>
                <w:szCs w:val="22"/>
              </w:rPr>
              <w:t>RFP issued</w:t>
            </w:r>
          </w:p>
        </w:tc>
        <w:tc>
          <w:tcPr>
            <w:tcW w:w="3420" w:type="dxa"/>
            <w:vAlign w:val="center"/>
          </w:tcPr>
          <w:p w:rsidR="00A50B42" w:rsidRPr="00F45FCC" w:rsidRDefault="00C57C07" w:rsidP="00CA2E2A">
            <w:pPr>
              <w:widowControl w:val="0"/>
              <w:tabs>
                <w:tab w:val="left" w:pos="2178"/>
              </w:tabs>
              <w:jc w:val="center"/>
              <w:rPr>
                <w:b/>
                <w:bCs/>
                <w:sz w:val="22"/>
                <w:szCs w:val="22"/>
              </w:rPr>
            </w:pPr>
            <w:r w:rsidRPr="00F45FCC">
              <w:rPr>
                <w:b/>
                <w:bCs/>
                <w:sz w:val="22"/>
                <w:szCs w:val="22"/>
              </w:rPr>
              <w:t xml:space="preserve">April </w:t>
            </w:r>
            <w:r w:rsidR="00CA2E2A" w:rsidRPr="00F45FCC">
              <w:rPr>
                <w:b/>
                <w:bCs/>
                <w:sz w:val="22"/>
                <w:szCs w:val="22"/>
              </w:rPr>
              <w:t>9</w:t>
            </w:r>
            <w:r w:rsidRPr="00F45FCC">
              <w:rPr>
                <w:b/>
                <w:bCs/>
                <w:sz w:val="22"/>
                <w:szCs w:val="22"/>
              </w:rPr>
              <w:t>, 2012</w:t>
            </w:r>
          </w:p>
        </w:tc>
      </w:tr>
      <w:tr w:rsidR="00DC7DA6" w:rsidRPr="00F45FCC" w:rsidTr="00474D62">
        <w:trPr>
          <w:trHeight w:val="668"/>
        </w:trPr>
        <w:tc>
          <w:tcPr>
            <w:tcW w:w="6459" w:type="dxa"/>
            <w:vAlign w:val="center"/>
          </w:tcPr>
          <w:p w:rsidR="00DC7DA6" w:rsidRPr="00F45FCC" w:rsidRDefault="00F95136" w:rsidP="00F95136">
            <w:pPr>
              <w:widowControl w:val="0"/>
            </w:pPr>
            <w:r w:rsidRPr="00F45FCC">
              <w:t>In order to attend the Pre-Proposal Conference, Non-Disclosure Agreements must be signed and submitted t</w:t>
            </w:r>
            <w:r w:rsidRPr="00F45FCC">
              <w:rPr>
                <w:bCs/>
              </w:rPr>
              <w:t xml:space="preserve">o </w:t>
            </w:r>
            <w:hyperlink r:id="rId10" w:history="1">
              <w:r w:rsidRPr="00F45FCC">
                <w:rPr>
                  <w:rStyle w:val="Hyperlink"/>
                  <w:bCs/>
                  <w:iCs/>
                  <w:color w:val="auto"/>
                </w:rPr>
                <w:t>solicitations@jud.ca.gov</w:t>
              </w:r>
            </w:hyperlink>
            <w:r w:rsidRPr="00F45FCC">
              <w:t xml:space="preserve"> by:</w:t>
            </w:r>
          </w:p>
        </w:tc>
        <w:tc>
          <w:tcPr>
            <w:tcW w:w="3420" w:type="dxa"/>
            <w:vAlign w:val="center"/>
          </w:tcPr>
          <w:p w:rsidR="00DC7DA6" w:rsidRPr="00F45FCC" w:rsidRDefault="00E81A72" w:rsidP="00DC7DA6">
            <w:pPr>
              <w:widowControl w:val="0"/>
              <w:tabs>
                <w:tab w:val="left" w:pos="2178"/>
              </w:tabs>
              <w:jc w:val="center"/>
              <w:rPr>
                <w:b/>
                <w:bCs/>
                <w:sz w:val="22"/>
                <w:szCs w:val="22"/>
              </w:rPr>
            </w:pPr>
            <w:r w:rsidRPr="00F45FCC">
              <w:rPr>
                <w:b/>
                <w:bCs/>
                <w:sz w:val="22"/>
                <w:szCs w:val="22"/>
              </w:rPr>
              <w:t>Close of business</w:t>
            </w:r>
            <w:r w:rsidRPr="00F45FCC">
              <w:rPr>
                <w:b/>
                <w:bCs/>
                <w:sz w:val="22"/>
                <w:szCs w:val="22"/>
              </w:rPr>
              <w:br/>
              <w:t>April 12, 2012</w:t>
            </w:r>
          </w:p>
        </w:tc>
      </w:tr>
      <w:tr w:rsidR="00DC7DA6" w:rsidRPr="00F45FCC" w:rsidTr="00474D62">
        <w:trPr>
          <w:trHeight w:val="668"/>
        </w:trPr>
        <w:tc>
          <w:tcPr>
            <w:tcW w:w="6459" w:type="dxa"/>
            <w:vAlign w:val="center"/>
          </w:tcPr>
          <w:p w:rsidR="00DC7DA6" w:rsidRPr="00F45FCC" w:rsidRDefault="00DC7DA6" w:rsidP="00DC7DA6">
            <w:pPr>
              <w:widowControl w:val="0"/>
              <w:rPr>
                <w:bCs/>
                <w:sz w:val="22"/>
                <w:szCs w:val="22"/>
              </w:rPr>
            </w:pPr>
            <w:r w:rsidRPr="00F45FCC">
              <w:t xml:space="preserve">Pre-Proposal Conference </w:t>
            </w:r>
          </w:p>
        </w:tc>
        <w:tc>
          <w:tcPr>
            <w:tcW w:w="3420" w:type="dxa"/>
            <w:vAlign w:val="center"/>
          </w:tcPr>
          <w:p w:rsidR="00DC7DA6" w:rsidRPr="00F45FCC" w:rsidRDefault="00DC7DA6" w:rsidP="00DC7DA6">
            <w:pPr>
              <w:widowControl w:val="0"/>
              <w:tabs>
                <w:tab w:val="left" w:pos="2178"/>
              </w:tabs>
              <w:jc w:val="center"/>
              <w:rPr>
                <w:b/>
                <w:bCs/>
                <w:sz w:val="22"/>
                <w:szCs w:val="22"/>
              </w:rPr>
            </w:pPr>
            <w:r w:rsidRPr="00F45FCC">
              <w:rPr>
                <w:b/>
                <w:bCs/>
                <w:sz w:val="22"/>
                <w:szCs w:val="22"/>
              </w:rPr>
              <w:t>April 16, 2012</w:t>
            </w:r>
          </w:p>
          <w:p w:rsidR="00DC7DA6" w:rsidRPr="00F45FCC" w:rsidRDefault="00DC7DA6" w:rsidP="00DC7DA6">
            <w:pPr>
              <w:widowControl w:val="0"/>
              <w:tabs>
                <w:tab w:val="left" w:pos="2178"/>
              </w:tabs>
              <w:jc w:val="center"/>
              <w:rPr>
                <w:b/>
                <w:bCs/>
                <w:i/>
                <w:sz w:val="22"/>
                <w:szCs w:val="22"/>
              </w:rPr>
            </w:pPr>
            <w:r w:rsidRPr="00F45FCC">
              <w:rPr>
                <w:b/>
                <w:bCs/>
                <w:i/>
                <w:sz w:val="22"/>
                <w:szCs w:val="22"/>
              </w:rPr>
              <w:t>Logistics will be provided upon receipt of a signed Attachment 8, Non-Disclosure Agreement.</w:t>
            </w:r>
          </w:p>
        </w:tc>
      </w:tr>
      <w:tr w:rsidR="00A50B42" w:rsidRPr="00F45FCC" w:rsidTr="00474D62">
        <w:trPr>
          <w:trHeight w:val="668"/>
        </w:trPr>
        <w:tc>
          <w:tcPr>
            <w:tcW w:w="6459" w:type="dxa"/>
            <w:vAlign w:val="center"/>
          </w:tcPr>
          <w:p w:rsidR="00A50B42" w:rsidRPr="00F45FCC" w:rsidRDefault="00A50B42" w:rsidP="00C57C07">
            <w:pPr>
              <w:widowControl w:val="0"/>
              <w:rPr>
                <w:bCs/>
                <w:sz w:val="22"/>
                <w:szCs w:val="22"/>
              </w:rPr>
            </w:pPr>
            <w:r w:rsidRPr="00F45FCC">
              <w:rPr>
                <w:bCs/>
                <w:sz w:val="22"/>
                <w:szCs w:val="22"/>
              </w:rPr>
              <w:t xml:space="preserve">Deadline for questions to </w:t>
            </w:r>
            <w:hyperlink r:id="rId11" w:history="1">
              <w:r w:rsidRPr="00F45FCC">
                <w:rPr>
                  <w:rStyle w:val="Hyperlink"/>
                  <w:bCs/>
                  <w:iCs/>
                  <w:color w:val="auto"/>
                  <w:sz w:val="22"/>
                  <w:szCs w:val="22"/>
                </w:rPr>
                <w:t>solicitations@jud.ca.gov</w:t>
              </w:r>
            </w:hyperlink>
          </w:p>
        </w:tc>
        <w:tc>
          <w:tcPr>
            <w:tcW w:w="3420" w:type="dxa"/>
            <w:vAlign w:val="center"/>
          </w:tcPr>
          <w:p w:rsidR="00A50B42" w:rsidRPr="00F45FCC" w:rsidRDefault="00C57C07" w:rsidP="00C57C07">
            <w:pPr>
              <w:widowControl w:val="0"/>
              <w:tabs>
                <w:tab w:val="left" w:pos="2178"/>
              </w:tabs>
              <w:jc w:val="center"/>
              <w:rPr>
                <w:b/>
                <w:bCs/>
                <w:sz w:val="22"/>
                <w:szCs w:val="22"/>
              </w:rPr>
            </w:pPr>
            <w:r w:rsidRPr="00F45FCC">
              <w:rPr>
                <w:b/>
                <w:bCs/>
                <w:sz w:val="22"/>
                <w:szCs w:val="22"/>
              </w:rPr>
              <w:t>April 17, 2012</w:t>
            </w:r>
          </w:p>
        </w:tc>
      </w:tr>
      <w:tr w:rsidR="00D613D4" w:rsidRPr="00F45FCC" w:rsidTr="00474D62">
        <w:trPr>
          <w:trHeight w:val="647"/>
        </w:trPr>
        <w:tc>
          <w:tcPr>
            <w:tcW w:w="6459" w:type="dxa"/>
            <w:vAlign w:val="center"/>
          </w:tcPr>
          <w:p w:rsidR="00D613D4" w:rsidRPr="00F45FCC" w:rsidRDefault="00D613D4" w:rsidP="00C57C07">
            <w:pPr>
              <w:widowControl w:val="0"/>
              <w:rPr>
                <w:bCs/>
                <w:sz w:val="22"/>
                <w:szCs w:val="22"/>
              </w:rPr>
            </w:pPr>
            <w:r w:rsidRPr="00F45FCC">
              <w:rPr>
                <w:bCs/>
                <w:sz w:val="22"/>
                <w:szCs w:val="22"/>
              </w:rPr>
              <w:t>Questions and answers posted</w:t>
            </w:r>
            <w:r w:rsidR="00C57C07" w:rsidRPr="00F45FCC">
              <w:rPr>
                <w:bCs/>
                <w:sz w:val="22"/>
                <w:szCs w:val="22"/>
              </w:rPr>
              <w:t xml:space="preserve"> </w:t>
            </w:r>
            <w:r w:rsidR="00C57C07" w:rsidRPr="00F45FCC">
              <w:rPr>
                <w:bCs/>
                <w:i/>
                <w:sz w:val="22"/>
                <w:szCs w:val="22"/>
              </w:rPr>
              <w:t>(estimate only)</w:t>
            </w:r>
          </w:p>
        </w:tc>
        <w:tc>
          <w:tcPr>
            <w:tcW w:w="3420" w:type="dxa"/>
            <w:vAlign w:val="center"/>
          </w:tcPr>
          <w:p w:rsidR="00D613D4" w:rsidRPr="00F45FCC" w:rsidRDefault="00C57C07" w:rsidP="00C57C07">
            <w:pPr>
              <w:widowControl w:val="0"/>
              <w:tabs>
                <w:tab w:val="left" w:pos="2178"/>
              </w:tabs>
              <w:jc w:val="center"/>
              <w:rPr>
                <w:b/>
                <w:bCs/>
                <w:sz w:val="22"/>
                <w:szCs w:val="22"/>
              </w:rPr>
            </w:pPr>
            <w:r w:rsidRPr="00F45FCC">
              <w:rPr>
                <w:b/>
                <w:bCs/>
                <w:sz w:val="22"/>
                <w:szCs w:val="22"/>
              </w:rPr>
              <w:t>April 19, 2012</w:t>
            </w:r>
          </w:p>
        </w:tc>
      </w:tr>
      <w:tr w:rsidR="00D613D4" w:rsidRPr="00F45FCC" w:rsidTr="00474D62">
        <w:trPr>
          <w:trHeight w:val="662"/>
        </w:trPr>
        <w:tc>
          <w:tcPr>
            <w:tcW w:w="6459" w:type="dxa"/>
            <w:vAlign w:val="center"/>
          </w:tcPr>
          <w:p w:rsidR="00D613D4" w:rsidRPr="00F45FCC" w:rsidRDefault="00732A35" w:rsidP="00C57C07">
            <w:pPr>
              <w:widowControl w:val="0"/>
              <w:rPr>
                <w:bCs/>
                <w:sz w:val="22"/>
                <w:szCs w:val="22"/>
              </w:rPr>
            </w:pPr>
            <w:r w:rsidRPr="00F45FCC">
              <w:rPr>
                <w:bCs/>
                <w:sz w:val="22"/>
                <w:szCs w:val="22"/>
              </w:rPr>
              <w:t xml:space="preserve">Proposal Due Date - </w:t>
            </w:r>
            <w:r w:rsidR="00D613D4" w:rsidRPr="00F45FCC">
              <w:rPr>
                <w:bCs/>
                <w:sz w:val="22"/>
                <w:szCs w:val="22"/>
              </w:rPr>
              <w:t>Latest date and time proposal</w:t>
            </w:r>
            <w:r w:rsidRPr="00F45FCC">
              <w:rPr>
                <w:bCs/>
                <w:sz w:val="22"/>
                <w:szCs w:val="22"/>
              </w:rPr>
              <w:t>s</w:t>
            </w:r>
            <w:r w:rsidR="00D613D4" w:rsidRPr="00F45FCC">
              <w:rPr>
                <w:bCs/>
                <w:sz w:val="22"/>
                <w:szCs w:val="22"/>
              </w:rPr>
              <w:t xml:space="preserve"> may be submitted </w:t>
            </w:r>
          </w:p>
        </w:tc>
        <w:tc>
          <w:tcPr>
            <w:tcW w:w="3420" w:type="dxa"/>
            <w:vAlign w:val="center"/>
          </w:tcPr>
          <w:p w:rsidR="00D613D4" w:rsidRPr="00F45FCC" w:rsidRDefault="00C57C07" w:rsidP="00C57C07">
            <w:pPr>
              <w:widowControl w:val="0"/>
              <w:jc w:val="center"/>
              <w:rPr>
                <w:b/>
                <w:bCs/>
                <w:sz w:val="22"/>
                <w:szCs w:val="22"/>
              </w:rPr>
            </w:pPr>
            <w:r w:rsidRPr="00F45FCC">
              <w:rPr>
                <w:b/>
                <w:bCs/>
                <w:sz w:val="22"/>
                <w:szCs w:val="22"/>
              </w:rPr>
              <w:t xml:space="preserve">April 27, 2012 </w:t>
            </w:r>
            <w:r w:rsidRPr="00F45FCC">
              <w:rPr>
                <w:b/>
                <w:bCs/>
                <w:sz w:val="22"/>
                <w:szCs w:val="22"/>
              </w:rPr>
              <w:br/>
              <w:t>1:00 pm Pacific Time</w:t>
            </w:r>
          </w:p>
        </w:tc>
      </w:tr>
      <w:tr w:rsidR="00D613D4" w:rsidRPr="00F45FCC" w:rsidTr="00474D62">
        <w:trPr>
          <w:trHeight w:val="647"/>
        </w:trPr>
        <w:tc>
          <w:tcPr>
            <w:tcW w:w="6459" w:type="dxa"/>
            <w:vAlign w:val="center"/>
          </w:tcPr>
          <w:p w:rsidR="00D613D4" w:rsidRPr="00F45FCC" w:rsidRDefault="00D613D4" w:rsidP="00DC7DA6">
            <w:pPr>
              <w:widowControl w:val="0"/>
              <w:rPr>
                <w:bCs/>
                <w:sz w:val="22"/>
                <w:szCs w:val="22"/>
              </w:rPr>
            </w:pPr>
            <w:r w:rsidRPr="00F45FCC">
              <w:t xml:space="preserve">Anticipated interview </w:t>
            </w:r>
            <w:r w:rsidR="00DC7DA6" w:rsidRPr="00F45FCC">
              <w:t>dates and evaluation of proposals</w:t>
            </w:r>
            <w:r w:rsidRPr="00F45FCC">
              <w:t xml:space="preserve"> (</w:t>
            </w:r>
            <w:r w:rsidRPr="00F45FCC">
              <w:rPr>
                <w:i/>
              </w:rPr>
              <w:t>estimate only</w:t>
            </w:r>
            <w:r w:rsidRPr="00F45FCC">
              <w:t>)</w:t>
            </w:r>
          </w:p>
        </w:tc>
        <w:tc>
          <w:tcPr>
            <w:tcW w:w="3420" w:type="dxa"/>
            <w:vAlign w:val="center"/>
          </w:tcPr>
          <w:p w:rsidR="00D613D4" w:rsidRPr="00F45FCC" w:rsidRDefault="00DC7DA6" w:rsidP="00C57C07">
            <w:pPr>
              <w:widowControl w:val="0"/>
              <w:jc w:val="center"/>
              <w:rPr>
                <w:b/>
                <w:bCs/>
                <w:sz w:val="22"/>
                <w:szCs w:val="22"/>
              </w:rPr>
            </w:pPr>
            <w:r w:rsidRPr="00F45FCC">
              <w:rPr>
                <w:b/>
                <w:bCs/>
                <w:sz w:val="22"/>
                <w:szCs w:val="22"/>
              </w:rPr>
              <w:t>Week of April 30, 2012</w:t>
            </w:r>
          </w:p>
        </w:tc>
      </w:tr>
      <w:tr w:rsidR="00D613D4" w:rsidRPr="00F45FCC" w:rsidTr="00474D62">
        <w:trPr>
          <w:trHeight w:val="520"/>
        </w:trPr>
        <w:tc>
          <w:tcPr>
            <w:tcW w:w="6459" w:type="dxa"/>
            <w:vAlign w:val="center"/>
          </w:tcPr>
          <w:p w:rsidR="00D613D4" w:rsidRPr="00F45FCC" w:rsidRDefault="00D613D4" w:rsidP="00C57C07">
            <w:pPr>
              <w:widowControl w:val="0"/>
              <w:rPr>
                <w:bCs/>
                <w:sz w:val="22"/>
                <w:szCs w:val="22"/>
              </w:rPr>
            </w:pPr>
            <w:r w:rsidRPr="00F45FCC">
              <w:rPr>
                <w:bCs/>
                <w:sz w:val="22"/>
                <w:szCs w:val="22"/>
              </w:rPr>
              <w:t>Notice of Intent to Award (</w:t>
            </w:r>
            <w:r w:rsidRPr="00F45FCC">
              <w:rPr>
                <w:bCs/>
                <w:i/>
                <w:sz w:val="22"/>
                <w:szCs w:val="22"/>
              </w:rPr>
              <w:t>estimate only</w:t>
            </w:r>
            <w:r w:rsidRPr="00F45FCC">
              <w:rPr>
                <w:bCs/>
                <w:sz w:val="22"/>
                <w:szCs w:val="22"/>
              </w:rPr>
              <w:t>)</w:t>
            </w:r>
          </w:p>
        </w:tc>
        <w:tc>
          <w:tcPr>
            <w:tcW w:w="3420" w:type="dxa"/>
            <w:vAlign w:val="center"/>
          </w:tcPr>
          <w:p w:rsidR="00D613D4" w:rsidRPr="00F45FCC" w:rsidRDefault="00DC7DA6" w:rsidP="00C57C07">
            <w:pPr>
              <w:widowControl w:val="0"/>
              <w:jc w:val="center"/>
              <w:rPr>
                <w:b/>
                <w:bCs/>
                <w:sz w:val="22"/>
                <w:szCs w:val="22"/>
              </w:rPr>
            </w:pPr>
            <w:r w:rsidRPr="00F45FCC">
              <w:rPr>
                <w:b/>
                <w:bCs/>
                <w:sz w:val="22"/>
                <w:szCs w:val="22"/>
              </w:rPr>
              <w:t>May 7, 2012</w:t>
            </w:r>
          </w:p>
        </w:tc>
      </w:tr>
      <w:tr w:rsidR="00D613D4" w:rsidRPr="00F45FCC" w:rsidTr="00474D62">
        <w:trPr>
          <w:trHeight w:val="520"/>
        </w:trPr>
        <w:tc>
          <w:tcPr>
            <w:tcW w:w="6459" w:type="dxa"/>
            <w:vAlign w:val="center"/>
          </w:tcPr>
          <w:p w:rsidR="00D613D4" w:rsidRPr="00F45FCC" w:rsidRDefault="00D613D4" w:rsidP="00C57C07">
            <w:pPr>
              <w:widowControl w:val="0"/>
              <w:rPr>
                <w:bCs/>
                <w:sz w:val="22"/>
                <w:szCs w:val="22"/>
              </w:rPr>
            </w:pPr>
            <w:r w:rsidRPr="00F45FCC">
              <w:rPr>
                <w:bCs/>
                <w:sz w:val="22"/>
                <w:szCs w:val="22"/>
              </w:rPr>
              <w:t>Negotiations and execution of contract (</w:t>
            </w:r>
            <w:r w:rsidRPr="00F45FCC">
              <w:rPr>
                <w:bCs/>
                <w:i/>
                <w:sz w:val="22"/>
                <w:szCs w:val="22"/>
              </w:rPr>
              <w:t>estimate only</w:t>
            </w:r>
            <w:r w:rsidRPr="00F45FCC">
              <w:rPr>
                <w:bCs/>
                <w:sz w:val="22"/>
                <w:szCs w:val="22"/>
              </w:rPr>
              <w:t>)</w:t>
            </w:r>
          </w:p>
        </w:tc>
        <w:tc>
          <w:tcPr>
            <w:tcW w:w="3420" w:type="dxa"/>
            <w:vAlign w:val="center"/>
          </w:tcPr>
          <w:p w:rsidR="00D613D4" w:rsidRPr="00F45FCC" w:rsidRDefault="00DC7DA6" w:rsidP="00C57C07">
            <w:pPr>
              <w:widowControl w:val="0"/>
              <w:jc w:val="center"/>
              <w:rPr>
                <w:b/>
                <w:bCs/>
                <w:sz w:val="22"/>
                <w:szCs w:val="22"/>
              </w:rPr>
            </w:pPr>
            <w:r w:rsidRPr="00F45FCC">
              <w:rPr>
                <w:b/>
                <w:bCs/>
                <w:sz w:val="22"/>
                <w:szCs w:val="22"/>
              </w:rPr>
              <w:t>May 7, 2012 to May 25, 2012</w:t>
            </w:r>
          </w:p>
        </w:tc>
      </w:tr>
      <w:tr w:rsidR="00D613D4" w:rsidRPr="00F45FCC" w:rsidTr="00474D62">
        <w:trPr>
          <w:trHeight w:val="520"/>
        </w:trPr>
        <w:tc>
          <w:tcPr>
            <w:tcW w:w="6459" w:type="dxa"/>
            <w:vAlign w:val="center"/>
          </w:tcPr>
          <w:p w:rsidR="00D613D4" w:rsidRPr="00F45FCC" w:rsidRDefault="00D613D4" w:rsidP="00E81A72">
            <w:pPr>
              <w:widowControl w:val="0"/>
              <w:rPr>
                <w:bCs/>
                <w:sz w:val="22"/>
                <w:szCs w:val="22"/>
              </w:rPr>
            </w:pPr>
            <w:r w:rsidRPr="00F45FCC">
              <w:rPr>
                <w:bCs/>
                <w:sz w:val="22"/>
                <w:szCs w:val="22"/>
              </w:rPr>
              <w:t>Contract start date (</w:t>
            </w:r>
            <w:r w:rsidRPr="00F45FCC">
              <w:rPr>
                <w:bCs/>
                <w:i/>
                <w:sz w:val="22"/>
                <w:szCs w:val="22"/>
              </w:rPr>
              <w:t>estimate only</w:t>
            </w:r>
            <w:r w:rsidRPr="00F45FCC">
              <w:rPr>
                <w:bCs/>
                <w:sz w:val="22"/>
                <w:szCs w:val="22"/>
              </w:rPr>
              <w:t>)</w:t>
            </w:r>
          </w:p>
        </w:tc>
        <w:tc>
          <w:tcPr>
            <w:tcW w:w="3420" w:type="dxa"/>
            <w:vAlign w:val="center"/>
          </w:tcPr>
          <w:p w:rsidR="00D613D4" w:rsidRPr="00F45FCC" w:rsidRDefault="00DC7DA6" w:rsidP="00C57C07">
            <w:pPr>
              <w:widowControl w:val="0"/>
              <w:jc w:val="center"/>
              <w:rPr>
                <w:b/>
                <w:bCs/>
                <w:sz w:val="22"/>
                <w:szCs w:val="22"/>
              </w:rPr>
            </w:pPr>
            <w:r w:rsidRPr="00F45FCC">
              <w:rPr>
                <w:b/>
                <w:bCs/>
                <w:sz w:val="22"/>
                <w:szCs w:val="22"/>
              </w:rPr>
              <w:t>June 1, 2012</w:t>
            </w:r>
          </w:p>
        </w:tc>
      </w:tr>
      <w:tr w:rsidR="00D613D4" w:rsidRPr="00F45FCC" w:rsidTr="00474D62">
        <w:trPr>
          <w:trHeight w:val="520"/>
        </w:trPr>
        <w:tc>
          <w:tcPr>
            <w:tcW w:w="6459" w:type="dxa"/>
            <w:vAlign w:val="center"/>
          </w:tcPr>
          <w:p w:rsidR="00D613D4" w:rsidRPr="00F45FCC" w:rsidRDefault="00D613D4" w:rsidP="00DC7DA6">
            <w:pPr>
              <w:widowControl w:val="0"/>
              <w:rPr>
                <w:bCs/>
                <w:sz w:val="22"/>
                <w:szCs w:val="22"/>
              </w:rPr>
            </w:pPr>
            <w:r w:rsidRPr="00F45FCC">
              <w:rPr>
                <w:bCs/>
                <w:sz w:val="22"/>
                <w:szCs w:val="22"/>
              </w:rPr>
              <w:t xml:space="preserve">Contract end date </w:t>
            </w:r>
            <w:r w:rsidR="00DC7DA6" w:rsidRPr="00F45FCC">
              <w:rPr>
                <w:bCs/>
                <w:sz w:val="22"/>
                <w:szCs w:val="22"/>
              </w:rPr>
              <w:t>(excludes renewal option term) (</w:t>
            </w:r>
            <w:r w:rsidR="00DC7DA6" w:rsidRPr="00F45FCC">
              <w:rPr>
                <w:bCs/>
                <w:i/>
                <w:sz w:val="22"/>
                <w:szCs w:val="22"/>
              </w:rPr>
              <w:t>estimate only</w:t>
            </w:r>
            <w:r w:rsidR="00DC7DA6" w:rsidRPr="00F45FCC">
              <w:rPr>
                <w:bCs/>
                <w:sz w:val="22"/>
                <w:szCs w:val="22"/>
              </w:rPr>
              <w:t>)</w:t>
            </w:r>
          </w:p>
        </w:tc>
        <w:tc>
          <w:tcPr>
            <w:tcW w:w="3420" w:type="dxa"/>
            <w:vAlign w:val="center"/>
          </w:tcPr>
          <w:p w:rsidR="00D613D4" w:rsidRPr="00F45FCC" w:rsidRDefault="00DC7DA6" w:rsidP="00C57C07">
            <w:pPr>
              <w:widowControl w:val="0"/>
              <w:jc w:val="center"/>
              <w:rPr>
                <w:b/>
                <w:bCs/>
                <w:sz w:val="22"/>
                <w:szCs w:val="22"/>
              </w:rPr>
            </w:pPr>
            <w:r w:rsidRPr="00F45FCC">
              <w:rPr>
                <w:b/>
                <w:bCs/>
                <w:sz w:val="22"/>
                <w:szCs w:val="22"/>
              </w:rPr>
              <w:t>May 31, 2014</w:t>
            </w:r>
          </w:p>
        </w:tc>
      </w:tr>
    </w:tbl>
    <w:p w:rsidR="00A50B42" w:rsidRPr="00F45FCC" w:rsidRDefault="00A50B42" w:rsidP="00A50B42">
      <w:pPr>
        <w:widowControl w:val="0"/>
        <w:ind w:left="1440"/>
        <w:rPr>
          <w:bCs/>
        </w:rPr>
      </w:pPr>
    </w:p>
    <w:p w:rsidR="00CA2E2A" w:rsidRPr="00F45FCC" w:rsidRDefault="00CA2E2A">
      <w:pPr>
        <w:spacing w:line="276" w:lineRule="auto"/>
        <w:rPr>
          <w:b/>
          <w:bCs/>
        </w:rPr>
      </w:pPr>
      <w:r w:rsidRPr="00F45FCC">
        <w:rPr>
          <w:b/>
          <w:bCs/>
        </w:rPr>
        <w:br w:type="page"/>
      </w:r>
    </w:p>
    <w:p w:rsidR="002B023A" w:rsidRPr="00F45FCC" w:rsidRDefault="002B023A" w:rsidP="00384866">
      <w:pPr>
        <w:rPr>
          <w:b/>
          <w:bCs/>
        </w:rPr>
      </w:pPr>
    </w:p>
    <w:p w:rsidR="002E7965" w:rsidRPr="00F45FCC" w:rsidRDefault="002E7965" w:rsidP="00384866">
      <w:pPr>
        <w:pStyle w:val="ListParagraph"/>
        <w:keepNext/>
        <w:numPr>
          <w:ilvl w:val="0"/>
          <w:numId w:val="32"/>
        </w:numPr>
        <w:rPr>
          <w:b/>
          <w:bCs/>
        </w:rPr>
      </w:pPr>
      <w:r w:rsidRPr="00F45FCC">
        <w:rPr>
          <w:b/>
          <w:bCs/>
        </w:rPr>
        <w:t>RFP ATTACHMENTS</w:t>
      </w:r>
    </w:p>
    <w:p w:rsidR="002E7965" w:rsidRPr="00F45FCC" w:rsidRDefault="002E7965" w:rsidP="002E7965">
      <w:pPr>
        <w:keepNext/>
        <w:ind w:left="720"/>
        <w:rPr>
          <w:b/>
          <w:bCs/>
        </w:rPr>
      </w:pPr>
    </w:p>
    <w:p w:rsidR="002E7965" w:rsidRPr="00F45FCC" w:rsidRDefault="002E7965" w:rsidP="002E7965">
      <w:pPr>
        <w:pStyle w:val="BodyTextIndent2"/>
        <w:spacing w:after="0"/>
        <w:ind w:left="720"/>
      </w:pPr>
      <w:r w:rsidRPr="00F45FCC">
        <w:t>The following attachments are included as part of this RFP:</w:t>
      </w:r>
    </w:p>
    <w:tbl>
      <w:tblPr>
        <w:tblStyle w:val="TableGrid"/>
        <w:tblW w:w="0" w:type="auto"/>
        <w:tblInd w:w="-342" w:type="dxa"/>
        <w:tblLook w:val="04A0"/>
      </w:tblPr>
      <w:tblGrid>
        <w:gridCol w:w="3060"/>
        <w:gridCol w:w="6858"/>
      </w:tblGrid>
      <w:tr w:rsidR="00E90773" w:rsidRPr="00F45FCC" w:rsidTr="00474D62">
        <w:trPr>
          <w:tblHeader/>
        </w:trPr>
        <w:tc>
          <w:tcPr>
            <w:tcW w:w="3060" w:type="dxa"/>
            <w:shd w:val="clear" w:color="auto" w:fill="F2F2F2" w:themeFill="background1" w:themeFillShade="F2"/>
            <w:vAlign w:val="center"/>
          </w:tcPr>
          <w:p w:rsidR="00E90773" w:rsidRPr="00F45FCC" w:rsidRDefault="00E90773" w:rsidP="00E90773">
            <w:pPr>
              <w:widowControl w:val="0"/>
              <w:tabs>
                <w:tab w:val="left" w:pos="6354"/>
              </w:tabs>
              <w:ind w:right="-18"/>
              <w:jc w:val="center"/>
              <w:rPr>
                <w:b/>
                <w:bCs/>
              </w:rPr>
            </w:pPr>
            <w:r w:rsidRPr="00F45FCC">
              <w:rPr>
                <w:b/>
                <w:bCs/>
              </w:rPr>
              <w:t xml:space="preserve">ATTACHMENT </w:t>
            </w:r>
          </w:p>
        </w:tc>
        <w:tc>
          <w:tcPr>
            <w:tcW w:w="6858" w:type="dxa"/>
            <w:shd w:val="clear" w:color="auto" w:fill="F2F2F2" w:themeFill="background1" w:themeFillShade="F2"/>
            <w:vAlign w:val="center"/>
          </w:tcPr>
          <w:p w:rsidR="00E90773" w:rsidRPr="00F45FCC" w:rsidRDefault="00E90773" w:rsidP="00E90773">
            <w:pPr>
              <w:widowControl w:val="0"/>
              <w:ind w:left="-108" w:right="-108"/>
              <w:jc w:val="center"/>
              <w:rPr>
                <w:b/>
                <w:bCs/>
                <w:sz w:val="22"/>
                <w:szCs w:val="22"/>
              </w:rPr>
            </w:pPr>
            <w:r w:rsidRPr="00F45FCC">
              <w:rPr>
                <w:b/>
                <w:bCs/>
                <w:sz w:val="22"/>
                <w:szCs w:val="22"/>
              </w:rPr>
              <w:t>DESCRIPTION</w:t>
            </w:r>
          </w:p>
        </w:tc>
      </w:tr>
      <w:tr w:rsidR="00E90773" w:rsidRPr="00F45FCC" w:rsidTr="00474D62">
        <w:tc>
          <w:tcPr>
            <w:tcW w:w="3060" w:type="dxa"/>
          </w:tcPr>
          <w:p w:rsidR="00E90773" w:rsidRPr="00F45FCC" w:rsidRDefault="00E90773" w:rsidP="00E90773">
            <w:pPr>
              <w:widowControl w:val="0"/>
              <w:rPr>
                <w:bCs/>
              </w:rPr>
            </w:pPr>
            <w:r w:rsidRPr="00F45FCC">
              <w:rPr>
                <w:bCs/>
              </w:rPr>
              <w:t>Attachment 1: Administrative Rules Governing RFPs (Non-IT Services)</w:t>
            </w:r>
            <w:r w:rsidRPr="00F45FCC">
              <w:rPr>
                <w:bCs/>
                <w:vanish/>
              </w:rPr>
              <w:t>:</w:t>
            </w:r>
          </w:p>
        </w:tc>
        <w:tc>
          <w:tcPr>
            <w:tcW w:w="6858" w:type="dxa"/>
          </w:tcPr>
          <w:p w:rsidR="00E90773" w:rsidRPr="00F45FCC" w:rsidRDefault="00E90773" w:rsidP="00E90773">
            <w:pPr>
              <w:widowControl w:val="0"/>
              <w:tabs>
                <w:tab w:val="left" w:pos="2178"/>
              </w:tabs>
              <w:rPr>
                <w:bCs/>
                <w:i/>
              </w:rPr>
            </w:pPr>
            <w:r w:rsidRPr="00F45FCC">
              <w:t>These rules govern this solicitation.</w:t>
            </w:r>
          </w:p>
        </w:tc>
      </w:tr>
      <w:tr w:rsidR="00E90773" w:rsidRPr="00F45FCC" w:rsidTr="00474D62">
        <w:tc>
          <w:tcPr>
            <w:tcW w:w="3060" w:type="dxa"/>
          </w:tcPr>
          <w:p w:rsidR="00E90773" w:rsidRPr="00F45FCC" w:rsidRDefault="00E90773" w:rsidP="00E90773">
            <w:pPr>
              <w:widowControl w:val="0"/>
              <w:rPr>
                <w:bCs/>
              </w:rPr>
            </w:pPr>
            <w:r w:rsidRPr="00F45FCC">
              <w:rPr>
                <w:bCs/>
              </w:rPr>
              <w:t xml:space="preserve">Attachment </w:t>
            </w:r>
            <w:r w:rsidRPr="00F45FCC">
              <w:t>2:  AOC Standard Terms and Conditions</w:t>
            </w:r>
          </w:p>
        </w:tc>
        <w:tc>
          <w:tcPr>
            <w:tcW w:w="6858" w:type="dxa"/>
          </w:tcPr>
          <w:p w:rsidR="00E90773" w:rsidRPr="00F45FCC" w:rsidRDefault="00E90773" w:rsidP="00254411">
            <w:pPr>
              <w:widowControl w:val="0"/>
              <w:tabs>
                <w:tab w:val="left" w:pos="2178"/>
              </w:tabs>
              <w:rPr>
                <w:b/>
                <w:bCs/>
              </w:rPr>
            </w:pPr>
            <w:r w:rsidRPr="00F45FCC">
              <w:t xml:space="preserve">If selected, the person or entity submitting a proposal (the “Proposer”) must sign an AOC Standard Form agreement containing these terms and conditions (the “Terms and Conditions”). </w:t>
            </w:r>
            <w:r w:rsidRPr="00F45FCC">
              <w:rPr>
                <w:b/>
                <w:u w:val="single"/>
              </w:rPr>
              <w:t>The provisions marked with an (*) within the Terms and Conditions are minimum contract terms and conditions (“Minimum Terms”).</w:t>
            </w:r>
            <w:r w:rsidR="00254411" w:rsidRPr="00F45FCC">
              <w:rPr>
                <w:b/>
                <w:u w:val="single"/>
              </w:rPr>
              <w:t xml:space="preserve">  A material </w:t>
            </w:r>
            <w:r w:rsidR="00254411" w:rsidRPr="00F45FCC">
              <w:rPr>
                <w:b/>
                <w:bCs/>
                <w:u w:val="single"/>
              </w:rPr>
              <w:t>exception to a Minimum Term will render a proposal non-responsive</w:t>
            </w:r>
            <w:r w:rsidR="00254411" w:rsidRPr="00F45FCC">
              <w:rPr>
                <w:b/>
                <w:u w:val="single"/>
              </w:rPr>
              <w:t>.</w:t>
            </w:r>
          </w:p>
        </w:tc>
      </w:tr>
      <w:tr w:rsidR="00E90773" w:rsidRPr="00F45FCC" w:rsidTr="00474D62">
        <w:tc>
          <w:tcPr>
            <w:tcW w:w="3060" w:type="dxa"/>
          </w:tcPr>
          <w:p w:rsidR="00E90773" w:rsidRPr="00F45FCC" w:rsidRDefault="00E90773" w:rsidP="00E90773">
            <w:pPr>
              <w:widowControl w:val="0"/>
              <w:rPr>
                <w:bCs/>
              </w:rPr>
            </w:pPr>
            <w:r w:rsidRPr="00F45FCC">
              <w:rPr>
                <w:bCs/>
              </w:rPr>
              <w:t xml:space="preserve">Attachment </w:t>
            </w:r>
            <w:r w:rsidRPr="00F45FCC">
              <w:t>3: Proposer’s Acceptance of Terms and Conditions</w:t>
            </w:r>
          </w:p>
        </w:tc>
        <w:tc>
          <w:tcPr>
            <w:tcW w:w="6858" w:type="dxa"/>
          </w:tcPr>
          <w:p w:rsidR="00E90773" w:rsidRPr="00F45FCC" w:rsidRDefault="00E90773" w:rsidP="00E90773">
            <w:pPr>
              <w:widowControl w:val="0"/>
              <w:tabs>
                <w:tab w:val="left" w:pos="2178"/>
              </w:tabs>
              <w:rPr>
                <w:b/>
                <w:bCs/>
              </w:rPr>
            </w:pPr>
            <w:r w:rsidRPr="00F45FCC">
              <w:t>On this form, the Proposer must indicate acceptance of the Terms and Conditions or identify exceptions to the Terms and Conditions.</w:t>
            </w:r>
          </w:p>
        </w:tc>
      </w:tr>
      <w:tr w:rsidR="00E90773" w:rsidRPr="00F45FCC" w:rsidTr="00474D62">
        <w:tc>
          <w:tcPr>
            <w:tcW w:w="3060" w:type="dxa"/>
          </w:tcPr>
          <w:p w:rsidR="00E90773" w:rsidRPr="00F45FCC" w:rsidRDefault="00E90773" w:rsidP="00E90773">
            <w:pPr>
              <w:widowControl w:val="0"/>
              <w:rPr>
                <w:bCs/>
              </w:rPr>
            </w:pPr>
            <w:r w:rsidRPr="00F45FCC">
              <w:rPr>
                <w:bCs/>
              </w:rPr>
              <w:t xml:space="preserve">Attachment </w:t>
            </w:r>
            <w:r w:rsidRPr="00F45FCC">
              <w:t>4: Payee Data Record Form</w:t>
            </w:r>
          </w:p>
        </w:tc>
        <w:tc>
          <w:tcPr>
            <w:tcW w:w="6858" w:type="dxa"/>
          </w:tcPr>
          <w:p w:rsidR="00E90773" w:rsidRPr="00F45FCC" w:rsidRDefault="00E90773" w:rsidP="00E90773">
            <w:pPr>
              <w:widowControl w:val="0"/>
              <w:rPr>
                <w:bCs/>
              </w:rPr>
            </w:pPr>
            <w:r w:rsidRPr="00F45FCC">
              <w:rPr>
                <w:bCs/>
              </w:rPr>
              <w:t>This form contains information the AOC requires in order to process payments and must be submitted with proposal.</w:t>
            </w:r>
          </w:p>
        </w:tc>
      </w:tr>
      <w:tr w:rsidR="00E90773" w:rsidRPr="00F45FCC" w:rsidTr="00474D62">
        <w:tc>
          <w:tcPr>
            <w:tcW w:w="3060" w:type="dxa"/>
          </w:tcPr>
          <w:p w:rsidR="00E90773" w:rsidRPr="00F45FCC" w:rsidRDefault="00E90773" w:rsidP="00E90773">
            <w:pPr>
              <w:widowControl w:val="0"/>
              <w:rPr>
                <w:bCs/>
              </w:rPr>
            </w:pPr>
            <w:r w:rsidRPr="00F45FCC">
              <w:rPr>
                <w:bCs/>
              </w:rPr>
              <w:t>Attachment 5, Cost/Fee Proposal Form</w:t>
            </w:r>
          </w:p>
        </w:tc>
        <w:tc>
          <w:tcPr>
            <w:tcW w:w="6858" w:type="dxa"/>
          </w:tcPr>
          <w:p w:rsidR="00E90773" w:rsidRPr="00F45FCC" w:rsidRDefault="00E90773" w:rsidP="00E90773">
            <w:pPr>
              <w:widowControl w:val="0"/>
            </w:pPr>
            <w:r w:rsidRPr="00F45FCC">
              <w:t>Proposer must use only this form to propose its pricing necessary to perform of the work set forth in Attachment 2, AOC Standard Terms and Conditions.</w:t>
            </w:r>
          </w:p>
        </w:tc>
      </w:tr>
      <w:tr w:rsidR="00E90773" w:rsidRPr="00F45FCC" w:rsidTr="00474D62">
        <w:tc>
          <w:tcPr>
            <w:tcW w:w="3060" w:type="dxa"/>
          </w:tcPr>
          <w:p w:rsidR="00E90773" w:rsidRPr="00F45FCC" w:rsidRDefault="00E90773" w:rsidP="00E90773">
            <w:pPr>
              <w:widowControl w:val="0"/>
              <w:rPr>
                <w:bCs/>
              </w:rPr>
            </w:pPr>
            <w:r w:rsidRPr="00F45FCC">
              <w:rPr>
                <w:bCs/>
              </w:rPr>
              <w:t>Attachment 6: Darfur Contracting Act Certification</w:t>
            </w:r>
          </w:p>
        </w:tc>
        <w:tc>
          <w:tcPr>
            <w:tcW w:w="6858" w:type="dxa"/>
          </w:tcPr>
          <w:p w:rsidR="00E90773" w:rsidRPr="00F45FCC" w:rsidRDefault="00E90773" w:rsidP="00E90773">
            <w:pPr>
              <w:widowControl w:val="0"/>
              <w:rPr>
                <w:b/>
                <w:bCs/>
              </w:rPr>
            </w:pPr>
            <w:r w:rsidRPr="00F45FCC">
              <w:t>Proposer must complete the Darfur Contracting Act Certification and submit the completed certification with its proposal.</w:t>
            </w:r>
          </w:p>
        </w:tc>
      </w:tr>
      <w:tr w:rsidR="00E90773" w:rsidRPr="00F45FCC" w:rsidTr="00474D62">
        <w:tc>
          <w:tcPr>
            <w:tcW w:w="3060" w:type="dxa"/>
          </w:tcPr>
          <w:p w:rsidR="00E90773" w:rsidRPr="00F45FCC" w:rsidRDefault="00E90773" w:rsidP="00E90773">
            <w:pPr>
              <w:widowControl w:val="0"/>
              <w:rPr>
                <w:bCs/>
              </w:rPr>
            </w:pPr>
            <w:r w:rsidRPr="00F45FCC">
              <w:rPr>
                <w:bCs/>
              </w:rPr>
              <w:t xml:space="preserve">Attachment 7: </w:t>
            </w:r>
            <w:r w:rsidRPr="00F45FCC">
              <w:t xml:space="preserve"> No Conflict of Interest Certification</w:t>
            </w:r>
          </w:p>
        </w:tc>
        <w:tc>
          <w:tcPr>
            <w:tcW w:w="6858" w:type="dxa"/>
          </w:tcPr>
          <w:p w:rsidR="00E90773" w:rsidRPr="00F45FCC" w:rsidRDefault="00E90773" w:rsidP="00E90773">
            <w:pPr>
              <w:widowControl w:val="0"/>
              <w:rPr>
                <w:b/>
                <w:bCs/>
              </w:rPr>
            </w:pPr>
            <w:r w:rsidRPr="00F45FCC">
              <w:t>Proposer must complete the No Conflict of Interest Certification and submit the completed certification with its proposal.</w:t>
            </w:r>
          </w:p>
        </w:tc>
      </w:tr>
      <w:tr w:rsidR="00E90773" w:rsidRPr="00F45FCC" w:rsidTr="00474D62">
        <w:tc>
          <w:tcPr>
            <w:tcW w:w="3060" w:type="dxa"/>
          </w:tcPr>
          <w:p w:rsidR="00E90773" w:rsidRPr="00F45FCC" w:rsidRDefault="00E90773" w:rsidP="00C57C07">
            <w:pPr>
              <w:widowControl w:val="0"/>
              <w:rPr>
                <w:bCs/>
              </w:rPr>
            </w:pPr>
            <w:r w:rsidRPr="00F45FCC">
              <w:rPr>
                <w:bCs/>
              </w:rPr>
              <w:t xml:space="preserve">Attachment 8, </w:t>
            </w:r>
            <w:r w:rsidR="00CA2E2A" w:rsidRPr="00F45FCC">
              <w:t>Non-Disclosure Agreement (NDA)</w:t>
            </w:r>
          </w:p>
        </w:tc>
        <w:tc>
          <w:tcPr>
            <w:tcW w:w="6858" w:type="dxa"/>
          </w:tcPr>
          <w:p w:rsidR="00E90773" w:rsidRPr="00F45FCC" w:rsidRDefault="00CA2E2A" w:rsidP="00CA2E2A">
            <w:pPr>
              <w:widowControl w:val="0"/>
            </w:pPr>
            <w:r w:rsidRPr="00F45FCC">
              <w:t>P</w:t>
            </w:r>
            <w:r w:rsidR="00C57C07" w:rsidRPr="00F45FCC">
              <w:t xml:space="preserve">ersons wishing to attend the mandatory Pre-Proposal Conference must submit a completed </w:t>
            </w:r>
            <w:r w:rsidRPr="00F45FCC">
              <w:t xml:space="preserve">NDA </w:t>
            </w:r>
            <w:r w:rsidR="00C57C07" w:rsidRPr="00F45FCC">
              <w:t>by the date set forth in Section 3, Timeline For This RFP.</w:t>
            </w:r>
            <w:r w:rsidRPr="00F45FCC">
              <w:t xml:space="preserve">  In addition, proposals must include signed NDA’s by all persons who received AOC confidential information and worked on the proposal for proposer.</w:t>
            </w:r>
          </w:p>
        </w:tc>
      </w:tr>
      <w:tr w:rsidR="00732A35" w:rsidRPr="00F45FCC" w:rsidTr="00474D62">
        <w:tc>
          <w:tcPr>
            <w:tcW w:w="3060" w:type="dxa"/>
          </w:tcPr>
          <w:p w:rsidR="00732A35" w:rsidRPr="00F45FCC" w:rsidRDefault="00732A35" w:rsidP="00C57C07">
            <w:pPr>
              <w:widowControl w:val="0"/>
              <w:rPr>
                <w:bCs/>
              </w:rPr>
            </w:pPr>
            <w:r w:rsidRPr="00F45FCC">
              <w:rPr>
                <w:bCs/>
              </w:rPr>
              <w:t>Attachment 9, References Form</w:t>
            </w:r>
          </w:p>
        </w:tc>
        <w:tc>
          <w:tcPr>
            <w:tcW w:w="6858" w:type="dxa"/>
          </w:tcPr>
          <w:p w:rsidR="00732A35" w:rsidRPr="00F45FCC" w:rsidRDefault="00732A35" w:rsidP="00CA2E2A">
            <w:pPr>
              <w:widowControl w:val="0"/>
            </w:pPr>
            <w:r w:rsidRPr="00F45FCC">
              <w:t>Proposers must use this form to provide their references.</w:t>
            </w:r>
          </w:p>
        </w:tc>
      </w:tr>
    </w:tbl>
    <w:p w:rsidR="00E90773" w:rsidRPr="00F45FCC" w:rsidRDefault="00E90773" w:rsidP="00E90773">
      <w:pPr>
        <w:pStyle w:val="ListParagraph"/>
      </w:pPr>
    </w:p>
    <w:p w:rsidR="00A50B42" w:rsidRPr="00F45FCC" w:rsidRDefault="00A50B42" w:rsidP="00A50B42">
      <w:pPr>
        <w:pStyle w:val="ListParagraph"/>
      </w:pPr>
    </w:p>
    <w:p w:rsidR="002B023A" w:rsidRPr="00F45FCC" w:rsidRDefault="00F65DD5" w:rsidP="00384866">
      <w:pPr>
        <w:pStyle w:val="ListParagraph"/>
        <w:numPr>
          <w:ilvl w:val="0"/>
          <w:numId w:val="32"/>
        </w:numPr>
        <w:rPr>
          <w:b/>
          <w:bCs/>
        </w:rPr>
      </w:pPr>
      <w:r w:rsidRPr="00F45FCC">
        <w:rPr>
          <w:b/>
          <w:bCs/>
        </w:rPr>
        <w:t>PRE-PROPOSAL CONFERENCE AND NON-DISCLOSURE AGREEMENT</w:t>
      </w:r>
    </w:p>
    <w:p w:rsidR="008328E7" w:rsidRPr="00F45FCC" w:rsidRDefault="008328E7" w:rsidP="00384866">
      <w:pPr>
        <w:ind w:left="720" w:hanging="720"/>
        <w:rPr>
          <w:b/>
          <w:bCs/>
        </w:rPr>
      </w:pPr>
    </w:p>
    <w:p w:rsidR="00D613D4" w:rsidRPr="00F45FCC" w:rsidRDefault="00EB28AE" w:rsidP="00384866">
      <w:pPr>
        <w:pStyle w:val="ListParagraph"/>
        <w:numPr>
          <w:ilvl w:val="1"/>
          <w:numId w:val="32"/>
        </w:numPr>
        <w:rPr>
          <w:bCs/>
        </w:rPr>
      </w:pPr>
      <w:r w:rsidRPr="00F45FCC">
        <w:rPr>
          <w:bCs/>
        </w:rPr>
        <w:t xml:space="preserve">A Pre-Proposal Conference will be conducted at the AOC in San Francisco, CA.  Persons wishing to attend or participate via conference call in </w:t>
      </w:r>
      <w:r w:rsidR="00492D82" w:rsidRPr="00F45FCC">
        <w:rPr>
          <w:bCs/>
        </w:rPr>
        <w:t xml:space="preserve">the </w:t>
      </w:r>
      <w:r w:rsidRPr="00F45FCC">
        <w:rPr>
          <w:bCs/>
        </w:rPr>
        <w:t xml:space="preserve">Pre-Proposal Conference or receive </w:t>
      </w:r>
      <w:r w:rsidR="00F81932" w:rsidRPr="00F45FCC">
        <w:rPr>
          <w:bCs/>
        </w:rPr>
        <w:t>required</w:t>
      </w:r>
      <w:r w:rsidR="00492D82" w:rsidRPr="00F45FCC">
        <w:rPr>
          <w:bCs/>
        </w:rPr>
        <w:t xml:space="preserve"> </w:t>
      </w:r>
      <w:r w:rsidRPr="00F45FCC">
        <w:rPr>
          <w:bCs/>
        </w:rPr>
        <w:t>confidential information related to this RFP must first submit a completed Attachment 8, Non-Disclosure Agreement</w:t>
      </w:r>
      <w:r w:rsidR="00492D82" w:rsidRPr="00F45FCC">
        <w:rPr>
          <w:bCs/>
        </w:rPr>
        <w:t>.</w:t>
      </w:r>
      <w:r w:rsidRPr="00F45FCC">
        <w:rPr>
          <w:bCs/>
        </w:rPr>
        <w:t xml:space="preserve">  Additional </w:t>
      </w:r>
      <w:r w:rsidR="00D613D4" w:rsidRPr="00F45FCC">
        <w:rPr>
          <w:bCs/>
        </w:rPr>
        <w:t>lo</w:t>
      </w:r>
      <w:r w:rsidRPr="00F45FCC">
        <w:rPr>
          <w:bCs/>
        </w:rPr>
        <w:t>gistics for the Pr</w:t>
      </w:r>
      <w:r w:rsidR="00D613D4" w:rsidRPr="00F45FCC">
        <w:rPr>
          <w:bCs/>
        </w:rPr>
        <w:t>e-</w:t>
      </w:r>
      <w:r w:rsidRPr="00F45FCC">
        <w:rPr>
          <w:bCs/>
        </w:rPr>
        <w:t>P</w:t>
      </w:r>
      <w:r w:rsidR="00D613D4" w:rsidRPr="00F45FCC">
        <w:rPr>
          <w:bCs/>
        </w:rPr>
        <w:t xml:space="preserve">roposal </w:t>
      </w:r>
      <w:r w:rsidRPr="00F45FCC">
        <w:rPr>
          <w:bCs/>
        </w:rPr>
        <w:t>C</w:t>
      </w:r>
      <w:r w:rsidR="00D613D4" w:rsidRPr="00F45FCC">
        <w:rPr>
          <w:bCs/>
        </w:rPr>
        <w:t xml:space="preserve">onference will be </w:t>
      </w:r>
      <w:r w:rsidRPr="00F45FCC">
        <w:rPr>
          <w:bCs/>
        </w:rPr>
        <w:t xml:space="preserve">provided to each person that submits a completed Non-Disclosure Agreement by the date </w:t>
      </w:r>
      <w:r w:rsidR="00492D82" w:rsidRPr="00F45FCC">
        <w:rPr>
          <w:bCs/>
        </w:rPr>
        <w:t xml:space="preserve">and time </w:t>
      </w:r>
      <w:r w:rsidRPr="00F45FCC">
        <w:rPr>
          <w:bCs/>
        </w:rPr>
        <w:t xml:space="preserve">set forth in </w:t>
      </w:r>
      <w:r w:rsidR="00492D82" w:rsidRPr="00F45FCC">
        <w:rPr>
          <w:bCs/>
        </w:rPr>
        <w:t xml:space="preserve">Section 3, Timeline </w:t>
      </w:r>
      <w:proofErr w:type="gramStart"/>
      <w:r w:rsidR="00492D82" w:rsidRPr="00F45FCC">
        <w:rPr>
          <w:bCs/>
        </w:rPr>
        <w:t>For</w:t>
      </w:r>
      <w:proofErr w:type="gramEnd"/>
      <w:r w:rsidR="00492D82" w:rsidRPr="00F45FCC">
        <w:rPr>
          <w:bCs/>
        </w:rPr>
        <w:t xml:space="preserve"> This RFP.</w:t>
      </w:r>
      <w:r w:rsidR="0062368D" w:rsidRPr="00F45FCC">
        <w:rPr>
          <w:bCs/>
        </w:rPr>
        <w:t xml:space="preserve">  Completed and signed Non-Disclosure Agreements must be </w:t>
      </w:r>
      <w:r w:rsidR="002F3C6B" w:rsidRPr="00F45FCC">
        <w:rPr>
          <w:bCs/>
        </w:rPr>
        <w:t xml:space="preserve">scanned and </w:t>
      </w:r>
      <w:r w:rsidR="0062368D" w:rsidRPr="00F45FCC">
        <w:rPr>
          <w:bCs/>
        </w:rPr>
        <w:t>sent vi</w:t>
      </w:r>
      <w:r w:rsidR="00507805" w:rsidRPr="00F45FCC">
        <w:rPr>
          <w:bCs/>
        </w:rPr>
        <w:t>a</w:t>
      </w:r>
      <w:r w:rsidR="0062368D" w:rsidRPr="00F45FCC">
        <w:rPr>
          <w:bCs/>
        </w:rPr>
        <w:t xml:space="preserve"> e-mail to </w:t>
      </w:r>
      <w:hyperlink r:id="rId12" w:history="1">
        <w:r w:rsidR="0062368D" w:rsidRPr="00F45FCC">
          <w:rPr>
            <w:rStyle w:val="Hyperlink"/>
            <w:color w:val="auto"/>
          </w:rPr>
          <w:t>Solicitations@jud.ca.gov</w:t>
        </w:r>
      </w:hyperlink>
      <w:r w:rsidR="0062368D" w:rsidRPr="00F45FCC">
        <w:t xml:space="preserve">.  The AOC will acknowledge receipt and provide additional </w:t>
      </w:r>
      <w:r w:rsidR="00F81932" w:rsidRPr="00F45FCC">
        <w:t xml:space="preserve">required </w:t>
      </w:r>
      <w:r w:rsidR="0062368D" w:rsidRPr="00F45FCC">
        <w:t>information and logistics regardi</w:t>
      </w:r>
      <w:r w:rsidR="00F81932" w:rsidRPr="00F45FCC">
        <w:t>ng the Pre-Proposal Conference.</w:t>
      </w:r>
    </w:p>
    <w:p w:rsidR="00D613D4" w:rsidRPr="00F45FCC" w:rsidRDefault="00D613D4" w:rsidP="00384866">
      <w:pPr>
        <w:ind w:left="720" w:hanging="720"/>
        <w:rPr>
          <w:bCs/>
        </w:rPr>
      </w:pPr>
    </w:p>
    <w:p w:rsidR="00D613D4" w:rsidRPr="00F45FCC" w:rsidRDefault="00D613D4" w:rsidP="00384866">
      <w:pPr>
        <w:pStyle w:val="ListParagraph"/>
        <w:numPr>
          <w:ilvl w:val="1"/>
          <w:numId w:val="32"/>
        </w:numPr>
        <w:rPr>
          <w:kern w:val="32"/>
        </w:rPr>
      </w:pPr>
      <w:r w:rsidRPr="00F45FCC">
        <w:rPr>
          <w:bCs/>
        </w:rPr>
        <w:t xml:space="preserve">Attendance at the </w:t>
      </w:r>
      <w:r w:rsidR="00EB28AE" w:rsidRPr="00F45FCC">
        <w:rPr>
          <w:bCs/>
        </w:rPr>
        <w:t>P</w:t>
      </w:r>
      <w:r w:rsidRPr="00F45FCC">
        <w:rPr>
          <w:bCs/>
        </w:rPr>
        <w:t>re-</w:t>
      </w:r>
      <w:r w:rsidR="00EB28AE" w:rsidRPr="00F45FCC">
        <w:rPr>
          <w:bCs/>
        </w:rPr>
        <w:t>P</w:t>
      </w:r>
      <w:r w:rsidRPr="00F45FCC">
        <w:rPr>
          <w:bCs/>
        </w:rPr>
        <w:t xml:space="preserve">roposal </w:t>
      </w:r>
      <w:r w:rsidR="00EB28AE" w:rsidRPr="00F45FCC">
        <w:rPr>
          <w:bCs/>
        </w:rPr>
        <w:t>C</w:t>
      </w:r>
      <w:r w:rsidRPr="00F45FCC">
        <w:rPr>
          <w:bCs/>
        </w:rPr>
        <w:t xml:space="preserve">onference is </w:t>
      </w:r>
      <w:r w:rsidRPr="00F45FCC">
        <w:rPr>
          <w:b/>
          <w:bCs/>
        </w:rPr>
        <w:t>MANDATORY</w:t>
      </w:r>
      <w:r w:rsidR="00492D82" w:rsidRPr="00F45FCC">
        <w:rPr>
          <w:bCs/>
        </w:rPr>
        <w:t xml:space="preserve"> for all Proposers</w:t>
      </w:r>
      <w:r w:rsidRPr="00F45FCC">
        <w:rPr>
          <w:bCs/>
        </w:rPr>
        <w:t xml:space="preserve">.  Each </w:t>
      </w:r>
      <w:r w:rsidRPr="00F45FCC">
        <w:rPr>
          <w:kern w:val="32"/>
        </w:rPr>
        <w:t>Proposer must be certain to check in at the pre-proposal conference, as the attendance list will be used to ascertain compliance with this requirement.  The AOC will reject a proposal from any Proposer who did not attend the pre-proposal conference.</w:t>
      </w:r>
    </w:p>
    <w:p w:rsidR="00384866" w:rsidRPr="00F45FCC" w:rsidRDefault="00384866" w:rsidP="00384866">
      <w:pPr>
        <w:ind w:left="360"/>
        <w:rPr>
          <w:kern w:val="32"/>
        </w:rPr>
      </w:pPr>
    </w:p>
    <w:p w:rsidR="00384866" w:rsidRPr="00F45FCC" w:rsidRDefault="00384866" w:rsidP="00492D82">
      <w:pPr>
        <w:ind w:left="360"/>
        <w:rPr>
          <w:kern w:val="32"/>
        </w:rPr>
      </w:pPr>
    </w:p>
    <w:p w:rsidR="00D613D4" w:rsidRPr="00F45FCC" w:rsidRDefault="00D613D4" w:rsidP="00384866">
      <w:pPr>
        <w:ind w:left="720" w:hanging="720"/>
        <w:rPr>
          <w:b/>
          <w:bCs/>
        </w:rPr>
      </w:pPr>
    </w:p>
    <w:p w:rsidR="002C64BD" w:rsidRPr="00F45FCC" w:rsidRDefault="002B023A" w:rsidP="00507805">
      <w:pPr>
        <w:pStyle w:val="ListParagraph"/>
        <w:keepNext/>
        <w:numPr>
          <w:ilvl w:val="0"/>
          <w:numId w:val="32"/>
        </w:numPr>
        <w:rPr>
          <w:b/>
          <w:bCs/>
        </w:rPr>
      </w:pPr>
      <w:r w:rsidRPr="00F45FCC">
        <w:rPr>
          <w:b/>
          <w:bCs/>
        </w:rPr>
        <w:tab/>
      </w:r>
      <w:r w:rsidR="002C64BD" w:rsidRPr="00F45FCC">
        <w:rPr>
          <w:b/>
          <w:bCs/>
        </w:rPr>
        <w:t>SUBMISSIONS OF PROPOSALS</w:t>
      </w:r>
    </w:p>
    <w:p w:rsidR="002C64BD" w:rsidRPr="00F45FCC" w:rsidRDefault="002C64BD" w:rsidP="00507805">
      <w:pPr>
        <w:keepNext/>
        <w:rPr>
          <w:sz w:val="20"/>
          <w:szCs w:val="20"/>
        </w:rPr>
      </w:pPr>
    </w:p>
    <w:p w:rsidR="002C64BD" w:rsidRPr="00F45FCC" w:rsidRDefault="002C64BD" w:rsidP="00254411">
      <w:pPr>
        <w:pStyle w:val="ListParagraph"/>
        <w:numPr>
          <w:ilvl w:val="1"/>
          <w:numId w:val="32"/>
        </w:numPr>
      </w:pPr>
      <w:r w:rsidRPr="00F45FCC">
        <w:t xml:space="preserve">Proposals should provide straightforward, concise information that satisfies the requirements of Section </w:t>
      </w:r>
      <w:r w:rsidR="00007831" w:rsidRPr="00F45FCC">
        <w:t>7</w:t>
      </w:r>
      <w:r w:rsidRPr="00F45FCC">
        <w:t xml:space="preserve"> </w:t>
      </w:r>
      <w:r w:rsidR="004B38F7" w:rsidRPr="00F45FCC">
        <w:t>(“Proposal Contents”)</w:t>
      </w:r>
      <w:r w:rsidRPr="00F45FCC">
        <w:t>.  Expensive bindings, color displays, and the like are not necessary or desired.  Emphasis should be placed on conformity to the RFP’s instructions and requirements, and completeness and clarity of content.</w:t>
      </w:r>
    </w:p>
    <w:p w:rsidR="002C64BD" w:rsidRPr="00F45FCC" w:rsidRDefault="002C64BD" w:rsidP="002C64BD">
      <w:pPr>
        <w:ind w:left="1440" w:hanging="720"/>
        <w:rPr>
          <w:sz w:val="20"/>
          <w:szCs w:val="20"/>
        </w:rPr>
      </w:pPr>
    </w:p>
    <w:p w:rsidR="003E49A4" w:rsidRPr="00F45FCC" w:rsidRDefault="003E49A4" w:rsidP="00254411">
      <w:pPr>
        <w:pStyle w:val="ListParagraph"/>
        <w:numPr>
          <w:ilvl w:val="1"/>
          <w:numId w:val="32"/>
        </w:numPr>
      </w:pPr>
      <w:r w:rsidRPr="00F45FCC">
        <w:t xml:space="preserve">The Proposer must submit the following in a sealed envelope: </w:t>
      </w:r>
      <w:proofErr w:type="spellStart"/>
      <w:r w:rsidRPr="00F45FCC">
        <w:t>i</w:t>
      </w:r>
      <w:proofErr w:type="spellEnd"/>
      <w:r w:rsidRPr="00F45FCC">
        <w:t xml:space="preserve">) one (1) original proposal signed by an authorized representative of the Proposer and four (4) copies, and ii) an electronic version of the entire proposal on CD-ROM.  The files contained on the CD-ROM should be in PDF, Word, or Excel formats. The Proposer must write the RFP title and number on the outside of </w:t>
      </w:r>
      <w:r w:rsidR="00CC0831" w:rsidRPr="00F45FCC">
        <w:t>the</w:t>
      </w:r>
      <w:r w:rsidRPr="00F45FCC">
        <w:t xml:space="preserve"> sealed envelope.</w:t>
      </w:r>
    </w:p>
    <w:p w:rsidR="003E49A4" w:rsidRPr="00F45FCC" w:rsidRDefault="003E49A4" w:rsidP="003E49A4">
      <w:pPr>
        <w:ind w:left="1440" w:right="468" w:hanging="720"/>
      </w:pPr>
    </w:p>
    <w:p w:rsidR="003E5035" w:rsidRPr="00F45FCC" w:rsidRDefault="002C64BD" w:rsidP="00254411">
      <w:pPr>
        <w:pStyle w:val="ListParagraph"/>
        <w:numPr>
          <w:ilvl w:val="1"/>
          <w:numId w:val="32"/>
        </w:numPr>
      </w:pPr>
      <w:r w:rsidRPr="00F45FCC">
        <w:t xml:space="preserve">Proposals must be delivered by </w:t>
      </w:r>
      <w:r w:rsidR="003E5035" w:rsidRPr="00F45FCC">
        <w:t>the date and time listed on the coversheet of this RFP to</w:t>
      </w:r>
      <w:r w:rsidR="003E5035" w:rsidRPr="00F45FCC">
        <w:rPr>
          <w:b/>
          <w:bCs/>
        </w:rPr>
        <w:t>:</w:t>
      </w:r>
    </w:p>
    <w:p w:rsidR="003E5035" w:rsidRPr="00F45FCC" w:rsidRDefault="003E5035" w:rsidP="002C64BD">
      <w:pPr>
        <w:ind w:left="1440" w:right="468" w:hanging="720"/>
      </w:pPr>
    </w:p>
    <w:p w:rsidR="003E5035" w:rsidRPr="00F45FCC" w:rsidRDefault="003E5035" w:rsidP="003E5035">
      <w:pPr>
        <w:ind w:left="1440" w:right="468"/>
      </w:pPr>
      <w:r w:rsidRPr="00F45FCC">
        <w:t>Administrative Office of the Courts</w:t>
      </w:r>
    </w:p>
    <w:p w:rsidR="003E5035" w:rsidRPr="00F45FCC" w:rsidRDefault="003E5035" w:rsidP="003E5035">
      <w:pPr>
        <w:ind w:left="1440" w:right="468"/>
      </w:pPr>
      <w:r w:rsidRPr="00F45FCC">
        <w:t>Attn: Nadine McFadden</w:t>
      </w:r>
      <w:r w:rsidR="003E49A4" w:rsidRPr="00F45FCC">
        <w:t xml:space="preserve">, </w:t>
      </w:r>
      <w:r w:rsidR="00CC0831" w:rsidRPr="00F45FCC">
        <w:rPr>
          <w:u w:val="single"/>
        </w:rPr>
        <w:t>RFP #OERS-201101-RB</w:t>
      </w:r>
    </w:p>
    <w:p w:rsidR="003E5035" w:rsidRPr="00F45FCC" w:rsidRDefault="003E5035" w:rsidP="003E5035">
      <w:pPr>
        <w:ind w:left="1440" w:right="468"/>
      </w:pPr>
      <w:r w:rsidRPr="00F45FCC">
        <w:t>455 Golden Gate Avenue</w:t>
      </w:r>
    </w:p>
    <w:p w:rsidR="002C64BD" w:rsidRPr="00F45FCC" w:rsidRDefault="003E5035" w:rsidP="003E5035">
      <w:pPr>
        <w:ind w:left="1440" w:right="468"/>
      </w:pPr>
      <w:r w:rsidRPr="00F45FCC">
        <w:t>San Francisco, CA  94102</w:t>
      </w:r>
    </w:p>
    <w:p w:rsidR="002C64BD" w:rsidRPr="00F45FCC" w:rsidRDefault="002C64BD" w:rsidP="002C64BD">
      <w:pPr>
        <w:ind w:left="1440" w:hanging="720"/>
        <w:rPr>
          <w:sz w:val="20"/>
          <w:szCs w:val="20"/>
        </w:rPr>
      </w:pPr>
    </w:p>
    <w:p w:rsidR="001E612A" w:rsidRPr="00F45FCC" w:rsidRDefault="001E612A" w:rsidP="00254411">
      <w:pPr>
        <w:pStyle w:val="ListParagraph"/>
        <w:numPr>
          <w:ilvl w:val="1"/>
          <w:numId w:val="32"/>
        </w:numPr>
      </w:pPr>
      <w:r w:rsidRPr="00F45FCC">
        <w:t xml:space="preserve">Late proposals will not be </w:t>
      </w:r>
      <w:r w:rsidRPr="00F45FCC">
        <w:rPr>
          <w:bCs/>
        </w:rPr>
        <w:t>accepted</w:t>
      </w:r>
      <w:r w:rsidRPr="00F45FCC">
        <w:t>.</w:t>
      </w:r>
    </w:p>
    <w:p w:rsidR="001E612A" w:rsidRPr="00F45FCC" w:rsidRDefault="001E612A" w:rsidP="002C64BD">
      <w:pPr>
        <w:pStyle w:val="BodyTextIndent"/>
        <w:spacing w:after="0"/>
        <w:ind w:left="1440" w:right="460" w:hanging="720"/>
      </w:pPr>
    </w:p>
    <w:p w:rsidR="002C64BD" w:rsidRPr="00F45FCC" w:rsidRDefault="002C64BD" w:rsidP="00254411">
      <w:pPr>
        <w:pStyle w:val="ListParagraph"/>
        <w:numPr>
          <w:ilvl w:val="1"/>
          <w:numId w:val="32"/>
        </w:numPr>
      </w:pPr>
      <w:r w:rsidRPr="00F45FCC">
        <w:t xml:space="preserve">Only written proposals will be accepted.  Proposals </w:t>
      </w:r>
      <w:r w:rsidR="009732A4" w:rsidRPr="00F45FCC">
        <w:t xml:space="preserve">must </w:t>
      </w:r>
      <w:r w:rsidRPr="00F45FCC">
        <w:t>be sent by registered or certified mail</w:t>
      </w:r>
      <w:r w:rsidR="003E5035" w:rsidRPr="00F45FCC">
        <w:t xml:space="preserve">, </w:t>
      </w:r>
      <w:r w:rsidR="00082230" w:rsidRPr="00F45FCC">
        <w:t>courier</w:t>
      </w:r>
      <w:r w:rsidR="007A0851" w:rsidRPr="00F45FCC">
        <w:t xml:space="preserve"> service (e.g. FedEx), or delivered by hand</w:t>
      </w:r>
      <w:r w:rsidRPr="00F45FCC">
        <w:t xml:space="preserve">.  </w:t>
      </w:r>
      <w:r w:rsidR="00C041EE" w:rsidRPr="00F45FCC">
        <w:t>Proposals may not be transmitted by fax or email</w:t>
      </w:r>
      <w:r w:rsidR="00C041EE" w:rsidRPr="00F45FCC">
        <w:rPr>
          <w:b/>
          <w:bCs/>
        </w:rPr>
        <w:t>.</w:t>
      </w:r>
    </w:p>
    <w:p w:rsidR="00595822" w:rsidRPr="00F45FCC" w:rsidRDefault="00595822" w:rsidP="00A50B42">
      <w:pPr>
        <w:pStyle w:val="ListParagraph"/>
      </w:pPr>
    </w:p>
    <w:p w:rsidR="00595822" w:rsidRPr="00F45FCC" w:rsidRDefault="00595822" w:rsidP="00384866">
      <w:pPr>
        <w:pStyle w:val="ListParagraph"/>
        <w:numPr>
          <w:ilvl w:val="0"/>
          <w:numId w:val="32"/>
        </w:numPr>
        <w:rPr>
          <w:b/>
          <w:bCs/>
        </w:rPr>
      </w:pPr>
      <w:r w:rsidRPr="00F45FCC">
        <w:rPr>
          <w:b/>
          <w:bCs/>
        </w:rPr>
        <w:t>PROPOSAL</w:t>
      </w:r>
      <w:r w:rsidR="002C64BD" w:rsidRPr="00F45FCC">
        <w:rPr>
          <w:b/>
          <w:bCs/>
        </w:rPr>
        <w:t xml:space="preserve"> CONTENTS</w:t>
      </w:r>
    </w:p>
    <w:p w:rsidR="00595822" w:rsidRPr="00F45FCC" w:rsidRDefault="00595822" w:rsidP="00384866"/>
    <w:p w:rsidR="00595822" w:rsidRPr="00F45FCC" w:rsidRDefault="00595822" w:rsidP="00254411">
      <w:pPr>
        <w:ind w:left="360"/>
      </w:pPr>
      <w:r w:rsidRPr="00F45FCC">
        <w:t xml:space="preserve">The following </w:t>
      </w:r>
      <w:r w:rsidR="00893C52" w:rsidRPr="00F45FCC">
        <w:t>must</w:t>
      </w:r>
      <w:r w:rsidRPr="00F45FCC">
        <w:t xml:space="preserve"> be included </w:t>
      </w:r>
      <w:r w:rsidR="00893C52" w:rsidRPr="00F45FCC">
        <w:t>in</w:t>
      </w:r>
      <w:r w:rsidRPr="00F45FCC">
        <w:t xml:space="preserve"> the </w:t>
      </w:r>
      <w:r w:rsidR="00893C52" w:rsidRPr="00F45FCC">
        <w:t>proposal.</w:t>
      </w:r>
      <w:r w:rsidR="00FF1876" w:rsidRPr="00F45FCC">
        <w:t xml:space="preserve">  A proposal lacking any of the following information may be deemed non-responsive.  </w:t>
      </w:r>
    </w:p>
    <w:p w:rsidR="00595822" w:rsidRPr="00F45FCC" w:rsidRDefault="00595822" w:rsidP="00254411">
      <w:pPr>
        <w:ind w:left="360"/>
      </w:pPr>
    </w:p>
    <w:p w:rsidR="00595822" w:rsidRPr="00F45FCC" w:rsidRDefault="00893C52" w:rsidP="00254411">
      <w:pPr>
        <w:pStyle w:val="ListParagraph"/>
        <w:numPr>
          <w:ilvl w:val="1"/>
          <w:numId w:val="32"/>
        </w:numPr>
      </w:pPr>
      <w:r w:rsidRPr="00F45FCC">
        <w:t>Proposer’s n</w:t>
      </w:r>
      <w:r w:rsidR="00595822" w:rsidRPr="00F45FCC">
        <w:t>ame, address, telephone and fax numbers, federal tax identification number</w:t>
      </w:r>
      <w:r w:rsidR="00F81932" w:rsidRPr="00F45FCC">
        <w:t>, and a detailed description of existing offices and infrastructure in California</w:t>
      </w:r>
      <w:r w:rsidR="00035068" w:rsidRPr="00F45FCC">
        <w:t>.</w:t>
      </w:r>
    </w:p>
    <w:p w:rsidR="00893C52" w:rsidRPr="00F45FCC" w:rsidRDefault="00893C52" w:rsidP="00254411">
      <w:pPr>
        <w:ind w:left="360"/>
      </w:pPr>
    </w:p>
    <w:p w:rsidR="00C041EE" w:rsidRPr="00F45FCC" w:rsidRDefault="00893C52" w:rsidP="00254411">
      <w:pPr>
        <w:pStyle w:val="ListParagraph"/>
        <w:numPr>
          <w:ilvl w:val="1"/>
          <w:numId w:val="32"/>
        </w:numPr>
      </w:pPr>
      <w:r w:rsidRPr="00F45FCC">
        <w:t>N</w:t>
      </w:r>
      <w:r w:rsidR="00C041EE" w:rsidRPr="00F45FCC">
        <w:t>ame, title, address, telephone number</w:t>
      </w:r>
      <w:r w:rsidRPr="00F45FCC">
        <w:t>, and email address</w:t>
      </w:r>
      <w:r w:rsidR="00C041EE" w:rsidRPr="00F45FCC">
        <w:t xml:space="preserve"> of </w:t>
      </w:r>
      <w:r w:rsidRPr="00F45FCC">
        <w:t>the</w:t>
      </w:r>
      <w:r w:rsidR="00C041EE" w:rsidRPr="00F45FCC">
        <w:t xml:space="preserve"> individual who </w:t>
      </w:r>
      <w:r w:rsidRPr="00F45FCC">
        <w:t>will act as P</w:t>
      </w:r>
      <w:r w:rsidR="00C041EE" w:rsidRPr="00F45FCC">
        <w:t>roposer’s designated representative</w:t>
      </w:r>
      <w:r w:rsidRPr="00F45FCC">
        <w:t xml:space="preserve"> for purposes of this RFP</w:t>
      </w:r>
      <w:r w:rsidR="00C041EE" w:rsidRPr="00F45FCC">
        <w:t xml:space="preserve">.  </w:t>
      </w:r>
    </w:p>
    <w:p w:rsidR="00C041EE" w:rsidRPr="00F45FCC" w:rsidRDefault="00C041EE" w:rsidP="00254411">
      <w:pPr>
        <w:ind w:left="360"/>
      </w:pPr>
    </w:p>
    <w:p w:rsidR="00595822" w:rsidRPr="00F45FCC" w:rsidRDefault="00893C52" w:rsidP="00254411">
      <w:pPr>
        <w:pStyle w:val="ListParagraph"/>
        <w:numPr>
          <w:ilvl w:val="1"/>
          <w:numId w:val="32"/>
        </w:numPr>
      </w:pPr>
      <w:r w:rsidRPr="00F45FCC">
        <w:t>For each key staff member: a resume</w:t>
      </w:r>
      <w:r w:rsidR="00595822" w:rsidRPr="00F45FCC">
        <w:t xml:space="preserve"> describing the </w:t>
      </w:r>
      <w:r w:rsidRPr="00F45FCC">
        <w:t xml:space="preserve">individual’s </w:t>
      </w:r>
      <w:r w:rsidR="00595822" w:rsidRPr="00F45FCC">
        <w:t xml:space="preserve">background and experience, as well as </w:t>
      </w:r>
      <w:r w:rsidRPr="00F45FCC">
        <w:t>the</w:t>
      </w:r>
      <w:r w:rsidR="00595822" w:rsidRPr="00F45FCC">
        <w:t xml:space="preserve"> </w:t>
      </w:r>
      <w:r w:rsidR="00F81932" w:rsidRPr="00F45FCC">
        <w:t>company</w:t>
      </w:r>
      <w:r w:rsidR="00595822" w:rsidRPr="00F45FCC">
        <w:t>’s ability and experience in conducting the proposed activities.</w:t>
      </w:r>
    </w:p>
    <w:p w:rsidR="00595822" w:rsidRPr="00F45FCC" w:rsidRDefault="00595822" w:rsidP="00254411">
      <w:pPr>
        <w:ind w:left="360"/>
      </w:pPr>
    </w:p>
    <w:p w:rsidR="00595822" w:rsidRPr="00F45FCC" w:rsidRDefault="00292053" w:rsidP="00254411">
      <w:pPr>
        <w:pStyle w:val="ListParagraph"/>
        <w:numPr>
          <w:ilvl w:val="1"/>
          <w:numId w:val="32"/>
        </w:numPr>
      </w:pPr>
      <w:r w:rsidRPr="00F45FCC">
        <w:t>Proposed m</w:t>
      </w:r>
      <w:r w:rsidR="00595822" w:rsidRPr="00F45FCC">
        <w:t xml:space="preserve">ethod to complete the </w:t>
      </w:r>
      <w:r w:rsidRPr="00F45FCC">
        <w:t>work</w:t>
      </w:r>
      <w:r w:rsidR="00A9408B" w:rsidRPr="00F45FCC">
        <w:t>.</w:t>
      </w:r>
    </w:p>
    <w:p w:rsidR="00595822" w:rsidRPr="00F45FCC" w:rsidRDefault="00595822" w:rsidP="00595822">
      <w:pPr>
        <w:ind w:left="1440" w:hanging="720"/>
      </w:pPr>
    </w:p>
    <w:p w:rsidR="00595822" w:rsidRPr="00F45FCC" w:rsidRDefault="008328E7" w:rsidP="00254411">
      <w:pPr>
        <w:pStyle w:val="ListParagraph"/>
        <w:numPr>
          <w:ilvl w:val="2"/>
          <w:numId w:val="32"/>
        </w:numPr>
        <w:ind w:left="1440" w:hanging="720"/>
      </w:pPr>
      <w:r w:rsidRPr="00F45FCC">
        <w:t>Proposer experience in providing unsworn, unarmed security service in an office, professional environment</w:t>
      </w:r>
    </w:p>
    <w:p w:rsidR="008328E7" w:rsidRPr="00F45FCC" w:rsidRDefault="008328E7" w:rsidP="00254411">
      <w:pPr>
        <w:pStyle w:val="ListParagraph"/>
        <w:numPr>
          <w:ilvl w:val="2"/>
          <w:numId w:val="32"/>
        </w:numPr>
        <w:ind w:left="1440" w:hanging="720"/>
      </w:pPr>
      <w:r w:rsidRPr="00F45FCC">
        <w:t>Proposer</w:t>
      </w:r>
      <w:r w:rsidR="00866899" w:rsidRPr="00F45FCC">
        <w:t>’</w:t>
      </w:r>
      <w:r w:rsidRPr="00F45FCC">
        <w:t>s methodology for hiring personnel, training and operating at t</w:t>
      </w:r>
      <w:r w:rsidR="00492D82" w:rsidRPr="00F45FCC">
        <w:t xml:space="preserve">he sites specified in Attachment 2, Exhibit E. Proposers will also detail their plans </w:t>
      </w:r>
      <w:r w:rsidR="00F65DD5" w:rsidRPr="00F45FCC">
        <w:t xml:space="preserve">on incumbent personnel transfer </w:t>
      </w:r>
      <w:r w:rsidR="00492D82" w:rsidRPr="00F45FCC">
        <w:t xml:space="preserve">in their hiring </w:t>
      </w:r>
      <w:r w:rsidR="00F65DD5" w:rsidRPr="00F45FCC">
        <w:t>process if the Proposer is awarded a contract.</w:t>
      </w:r>
    </w:p>
    <w:p w:rsidR="008328E7" w:rsidRPr="00F45FCC" w:rsidRDefault="008328E7" w:rsidP="00254411">
      <w:pPr>
        <w:pStyle w:val="ListParagraph"/>
        <w:numPr>
          <w:ilvl w:val="2"/>
          <w:numId w:val="32"/>
        </w:numPr>
        <w:ind w:left="1440" w:hanging="720"/>
      </w:pPr>
      <w:r w:rsidRPr="00F45FCC">
        <w:t>Proposer</w:t>
      </w:r>
      <w:r w:rsidR="00866899" w:rsidRPr="00F45FCC">
        <w:t>’</w:t>
      </w:r>
      <w:r w:rsidRPr="00F45FCC">
        <w:t>s system of supervision, offices and Human resource support for their staff</w:t>
      </w:r>
    </w:p>
    <w:p w:rsidR="008328E7" w:rsidRPr="00F45FCC" w:rsidRDefault="008328E7" w:rsidP="00254411">
      <w:pPr>
        <w:pStyle w:val="ListParagraph"/>
        <w:numPr>
          <w:ilvl w:val="2"/>
          <w:numId w:val="32"/>
        </w:numPr>
        <w:ind w:left="1440" w:hanging="720"/>
      </w:pPr>
      <w:r w:rsidRPr="00F45FCC">
        <w:t>Methods to ensure all posts are staffed within one hour of a post vacancy for any reason.</w:t>
      </w:r>
    </w:p>
    <w:p w:rsidR="008328E7" w:rsidRPr="00F45FCC" w:rsidRDefault="008328E7" w:rsidP="00254411">
      <w:pPr>
        <w:pStyle w:val="ListParagraph"/>
        <w:numPr>
          <w:ilvl w:val="2"/>
          <w:numId w:val="32"/>
        </w:numPr>
        <w:ind w:left="1440" w:hanging="720"/>
      </w:pPr>
      <w:r w:rsidRPr="00F45FCC">
        <w:t>Type, fit of uniforms for both male and female employees, including company policy on uniform cleaning and appearance.</w:t>
      </w:r>
    </w:p>
    <w:p w:rsidR="00CC0831" w:rsidRPr="00F45FCC" w:rsidRDefault="00CC0831" w:rsidP="00595822">
      <w:pPr>
        <w:ind w:left="2160" w:hanging="720"/>
      </w:pPr>
    </w:p>
    <w:p w:rsidR="004D2D7E" w:rsidRPr="00F45FCC" w:rsidRDefault="004D2D7E" w:rsidP="000B63A8">
      <w:pPr>
        <w:pStyle w:val="ListParagraph"/>
        <w:numPr>
          <w:ilvl w:val="1"/>
          <w:numId w:val="32"/>
        </w:numPr>
      </w:pPr>
      <w:r w:rsidRPr="00F45FCC">
        <w:t xml:space="preserve">Proposers will </w:t>
      </w:r>
      <w:r w:rsidR="00866899" w:rsidRPr="00F45FCC">
        <w:t>describe</w:t>
      </w:r>
      <w:r w:rsidRPr="00F45FCC">
        <w:t xml:space="preserve"> their policies</w:t>
      </w:r>
      <w:r w:rsidR="000B63A8" w:rsidRPr="00F45FCC">
        <w:t xml:space="preserve"> on</w:t>
      </w:r>
      <w:r w:rsidRPr="00F45FCC">
        <w:t xml:space="preserve"> </w:t>
      </w:r>
      <w:r w:rsidR="000B63A8" w:rsidRPr="00F45FCC">
        <w:t xml:space="preserve">First Aid, CPR, and AED training, frequency of training supplied to assigned personnel, </w:t>
      </w:r>
      <w:r w:rsidRPr="00F45FCC">
        <w:t>pre-post non-billed training, post assignment training, and certifications that assigned personnel will receive and be required to maintain.</w:t>
      </w:r>
    </w:p>
    <w:p w:rsidR="004D2D7E" w:rsidRPr="00F45FCC" w:rsidRDefault="004D2D7E" w:rsidP="00595822">
      <w:pPr>
        <w:ind w:left="2160" w:hanging="720"/>
      </w:pPr>
    </w:p>
    <w:p w:rsidR="00CC0831" w:rsidRPr="00F45FCC" w:rsidRDefault="00CC0831" w:rsidP="00254411">
      <w:pPr>
        <w:pStyle w:val="ListParagraph"/>
        <w:numPr>
          <w:ilvl w:val="1"/>
          <w:numId w:val="32"/>
        </w:numPr>
      </w:pPr>
      <w:r w:rsidRPr="00F45FCC">
        <w:t>Proposer must include the following certifications, attachments, and other requirements in its proposal:</w:t>
      </w:r>
    </w:p>
    <w:p w:rsidR="00CC0831" w:rsidRPr="00F45FCC" w:rsidRDefault="00CC0831" w:rsidP="00CC0831">
      <w:pPr>
        <w:ind w:left="2160" w:hanging="720"/>
      </w:pPr>
    </w:p>
    <w:p w:rsidR="00CC0831" w:rsidRPr="00F45FCC" w:rsidRDefault="00CC0831" w:rsidP="00254411">
      <w:pPr>
        <w:pStyle w:val="ListParagraph"/>
        <w:numPr>
          <w:ilvl w:val="2"/>
          <w:numId w:val="32"/>
        </w:numPr>
        <w:ind w:left="1440" w:hanging="720"/>
      </w:pPr>
      <w:r w:rsidRPr="00F45FCC">
        <w:t>Attachment 3: Proposer’s Acceptance of the RFP’s Contract Terms, and a redlined Attachment 2, if applicable.</w:t>
      </w:r>
    </w:p>
    <w:p w:rsidR="00254411" w:rsidRPr="00F45FCC" w:rsidRDefault="00254411" w:rsidP="00254411">
      <w:pPr>
        <w:ind w:left="720"/>
      </w:pPr>
    </w:p>
    <w:p w:rsidR="00CC0831" w:rsidRPr="00F45FCC" w:rsidRDefault="00CC0831" w:rsidP="00254411">
      <w:pPr>
        <w:pStyle w:val="ListParagraph"/>
        <w:numPr>
          <w:ilvl w:val="2"/>
          <w:numId w:val="32"/>
        </w:numPr>
        <w:ind w:left="1440" w:hanging="720"/>
      </w:pPr>
      <w:r w:rsidRPr="00F45FCC">
        <w:t>Attachment 4: Payee Data Record Form</w:t>
      </w:r>
    </w:p>
    <w:p w:rsidR="00254411" w:rsidRPr="00F45FCC" w:rsidRDefault="00254411" w:rsidP="00254411">
      <w:pPr>
        <w:ind w:left="720"/>
      </w:pPr>
    </w:p>
    <w:p w:rsidR="00CC0831" w:rsidRPr="00F45FCC" w:rsidRDefault="00CC0831" w:rsidP="00254411">
      <w:pPr>
        <w:pStyle w:val="ListParagraph"/>
        <w:numPr>
          <w:ilvl w:val="2"/>
          <w:numId w:val="32"/>
        </w:numPr>
        <w:ind w:left="1440" w:hanging="720"/>
      </w:pPr>
      <w:r w:rsidRPr="00F45FCC">
        <w:t xml:space="preserve">Attachment </w:t>
      </w:r>
      <w:r w:rsidR="00CA2E2A" w:rsidRPr="00F45FCC">
        <w:t>6</w:t>
      </w:r>
      <w:r w:rsidRPr="00F45FCC">
        <w:t xml:space="preserve">: Darfur Contracting Act Certification.  </w:t>
      </w:r>
    </w:p>
    <w:p w:rsidR="00254411" w:rsidRPr="00F45FCC" w:rsidRDefault="00254411" w:rsidP="00254411">
      <w:pPr>
        <w:ind w:left="720"/>
      </w:pPr>
    </w:p>
    <w:p w:rsidR="00CC0831" w:rsidRPr="00F45FCC" w:rsidRDefault="00CC0831" w:rsidP="00254411">
      <w:pPr>
        <w:pStyle w:val="ListParagraph"/>
        <w:numPr>
          <w:ilvl w:val="2"/>
          <w:numId w:val="32"/>
        </w:numPr>
        <w:ind w:left="1440" w:hanging="720"/>
      </w:pPr>
      <w:r w:rsidRPr="00F45FCC">
        <w:t xml:space="preserve">Attachment </w:t>
      </w:r>
      <w:r w:rsidR="00CA2E2A" w:rsidRPr="00F45FCC">
        <w:t>7</w:t>
      </w:r>
      <w:r w:rsidRPr="00F45FCC">
        <w:t>: No Conflict of Interest Certification</w:t>
      </w:r>
    </w:p>
    <w:p w:rsidR="00254411" w:rsidRPr="00F45FCC" w:rsidRDefault="00254411" w:rsidP="00254411">
      <w:pPr>
        <w:ind w:left="720"/>
      </w:pPr>
    </w:p>
    <w:p w:rsidR="00CA2E2A" w:rsidRPr="00F45FCC" w:rsidRDefault="00CA2E2A" w:rsidP="00254411">
      <w:pPr>
        <w:pStyle w:val="ListParagraph"/>
        <w:numPr>
          <w:ilvl w:val="2"/>
          <w:numId w:val="32"/>
        </w:numPr>
        <w:ind w:left="1440" w:hanging="720"/>
      </w:pPr>
      <w:r w:rsidRPr="00F45FCC">
        <w:t>Attachment 8: Non-Disclosure Agreements (NDA).  To be signed by all persons working on the proposal</w:t>
      </w:r>
      <w:r w:rsidR="00866899" w:rsidRPr="00F45FCC">
        <w:t xml:space="preserve"> who had access to AOC’s confidential information.</w:t>
      </w:r>
    </w:p>
    <w:p w:rsidR="00866899" w:rsidRPr="00F45FCC" w:rsidRDefault="00866899" w:rsidP="00866899">
      <w:pPr>
        <w:ind w:left="720"/>
      </w:pPr>
    </w:p>
    <w:p w:rsidR="00CC0831" w:rsidRPr="00F45FCC" w:rsidRDefault="00CC0831" w:rsidP="00254411">
      <w:pPr>
        <w:pStyle w:val="ListParagraph"/>
        <w:numPr>
          <w:ilvl w:val="2"/>
          <w:numId w:val="32"/>
        </w:numPr>
        <w:ind w:left="1440" w:hanging="720"/>
      </w:pPr>
      <w:r w:rsidRPr="00F45FCC">
        <w:t>If Proposer is a corporation, proof that Proposer is in good standing and qualified to conduct business in California.</w:t>
      </w:r>
    </w:p>
    <w:p w:rsidR="00254411" w:rsidRPr="00F45FCC" w:rsidRDefault="00254411" w:rsidP="00254411">
      <w:pPr>
        <w:ind w:left="720"/>
      </w:pPr>
    </w:p>
    <w:p w:rsidR="00866899" w:rsidRPr="00F45FCC" w:rsidRDefault="00CC0831" w:rsidP="00866899">
      <w:pPr>
        <w:pStyle w:val="ListParagraph"/>
        <w:numPr>
          <w:ilvl w:val="2"/>
          <w:numId w:val="32"/>
        </w:numPr>
        <w:ind w:left="1440" w:hanging="720"/>
      </w:pPr>
      <w:r w:rsidRPr="00F45FCC">
        <w:t xml:space="preserve">Attachment </w:t>
      </w:r>
      <w:r w:rsidR="00866899" w:rsidRPr="00F45FCC">
        <w:t>9</w:t>
      </w:r>
      <w:r w:rsidRPr="00F45FCC">
        <w:t xml:space="preserve">: Reference Form.  Proposers shall use Attachment </w:t>
      </w:r>
      <w:r w:rsidR="00866899" w:rsidRPr="00F45FCC">
        <w:t>9</w:t>
      </w:r>
      <w:r w:rsidRPr="00F45FCC">
        <w:t xml:space="preserve"> Reference Form</w:t>
      </w:r>
      <w:r w:rsidR="00866899" w:rsidRPr="00F45FCC">
        <w:t xml:space="preserve"> and provide the names, addresses, and telephone numbers of a minimum of four (4) clients for whom the Proposer has conducted similar services.  The AOC may check references listed by Proposer.</w:t>
      </w:r>
    </w:p>
    <w:p w:rsidR="00BD0D2D" w:rsidRPr="00F45FCC" w:rsidRDefault="00BD0D2D" w:rsidP="00BD0D2D">
      <w:pPr>
        <w:pStyle w:val="ListParagraph"/>
        <w:tabs>
          <w:tab w:val="left" w:pos="2160"/>
        </w:tabs>
        <w:ind w:left="2160" w:hanging="720"/>
      </w:pPr>
    </w:p>
    <w:p w:rsidR="00A74DB8" w:rsidRPr="00F45FCC" w:rsidRDefault="00A74DB8" w:rsidP="00254411">
      <w:pPr>
        <w:pStyle w:val="ListParagraph"/>
        <w:numPr>
          <w:ilvl w:val="2"/>
          <w:numId w:val="32"/>
        </w:numPr>
        <w:ind w:left="1440" w:hanging="720"/>
      </w:pPr>
      <w:r w:rsidRPr="00F45FCC">
        <w:t>Copies of current business licenses, professional certifications, or other credentials.</w:t>
      </w:r>
    </w:p>
    <w:p w:rsidR="00A74DB8" w:rsidRPr="00F45FCC" w:rsidRDefault="00A74DB8" w:rsidP="00A74DB8">
      <w:pPr>
        <w:ind w:left="2160" w:hanging="720"/>
        <w:rPr>
          <w:rFonts w:cs="Arial"/>
          <w:spacing w:val="-3"/>
        </w:rPr>
      </w:pPr>
    </w:p>
    <w:p w:rsidR="00A74DB8" w:rsidRPr="00F45FCC" w:rsidRDefault="00A74DB8" w:rsidP="00254411">
      <w:pPr>
        <w:pStyle w:val="ListParagraph"/>
        <w:numPr>
          <w:ilvl w:val="2"/>
          <w:numId w:val="32"/>
        </w:numPr>
        <w:ind w:left="1440" w:hanging="720"/>
      </w:pPr>
      <w:r w:rsidRPr="00F45FCC">
        <w:t>Proof of financial solvency or stability (e.g., balance sheets and income statements).</w:t>
      </w:r>
    </w:p>
    <w:p w:rsidR="00A74DB8" w:rsidRPr="00F45FCC" w:rsidRDefault="00A74DB8" w:rsidP="007B0E96">
      <w:pPr>
        <w:ind w:left="2160" w:hanging="720"/>
      </w:pPr>
    </w:p>
    <w:p w:rsidR="005B04DF" w:rsidRPr="00F45FCC" w:rsidRDefault="005B04DF" w:rsidP="00254411">
      <w:pPr>
        <w:pStyle w:val="ListParagraph"/>
        <w:numPr>
          <w:ilvl w:val="1"/>
          <w:numId w:val="32"/>
        </w:numPr>
      </w:pPr>
      <w:r w:rsidRPr="00F45FCC">
        <w:rPr>
          <w:u w:val="single"/>
        </w:rPr>
        <w:t>Cost Proposal</w:t>
      </w:r>
      <w:r w:rsidRPr="00F45FCC">
        <w:t xml:space="preserve">.  </w:t>
      </w:r>
      <w:r w:rsidR="0062368D" w:rsidRPr="00F45FCC">
        <w:t xml:space="preserve">Proposers must complete Attachment 5, Cost/Fee Proposal Form and included it in </w:t>
      </w:r>
      <w:r w:rsidR="009A71DD" w:rsidRPr="00F45FCC">
        <w:t>their .</w:t>
      </w:r>
      <w:r w:rsidRPr="00F45FCC">
        <w:t>proposal</w:t>
      </w:r>
      <w:r w:rsidR="009A71DD" w:rsidRPr="00F45FCC">
        <w:t>. This attachment will contain the proposer’s hourly rates for supervisor and guard personnel.  The only costs that the AOC will evaluate are hourly personnel rates, which shall include any and all clerical support, Materials, fees, overhead, profits, and other costs and/or expenses incidental to the performance of the specified requirements under this Agreement.</w:t>
      </w:r>
      <w:r w:rsidR="0080504E" w:rsidRPr="00F45FCC">
        <w:t xml:space="preserve"> </w:t>
      </w:r>
    </w:p>
    <w:p w:rsidR="00246470" w:rsidRPr="00F45FCC" w:rsidRDefault="00246470" w:rsidP="00595822">
      <w:pPr>
        <w:ind w:left="2160" w:hanging="720"/>
      </w:pPr>
    </w:p>
    <w:p w:rsidR="005B04DF" w:rsidRPr="00F45FCC" w:rsidRDefault="005B04DF" w:rsidP="005B04DF">
      <w:pPr>
        <w:ind w:left="720"/>
      </w:pPr>
      <w:r w:rsidRPr="00F45FCC">
        <w:rPr>
          <w:b/>
        </w:rPr>
        <w:t xml:space="preserve">NOTE: </w:t>
      </w:r>
      <w:r w:rsidRPr="00F45FCC">
        <w:t>It is unlawful for any person engaged in business within this state to sell or use any article or product as a “loss leader” as defined in Section 17030 of the Business and Professions Code.</w:t>
      </w:r>
    </w:p>
    <w:p w:rsidR="002C64BD" w:rsidRPr="00F45FCC" w:rsidRDefault="002C64BD" w:rsidP="009647F0">
      <w:pPr>
        <w:ind w:left="720" w:hanging="720"/>
        <w:rPr>
          <w:b/>
          <w:bCs/>
        </w:rPr>
      </w:pPr>
    </w:p>
    <w:p w:rsidR="006E4406" w:rsidRPr="00F45FCC" w:rsidRDefault="006E4406" w:rsidP="009647F0">
      <w:pPr>
        <w:pStyle w:val="ListParagraph"/>
        <w:numPr>
          <w:ilvl w:val="0"/>
          <w:numId w:val="32"/>
        </w:numPr>
        <w:rPr>
          <w:b/>
          <w:bCs/>
        </w:rPr>
      </w:pPr>
      <w:r w:rsidRPr="00F45FCC">
        <w:rPr>
          <w:b/>
          <w:bCs/>
        </w:rPr>
        <w:t>OFFER PERIOD</w:t>
      </w:r>
    </w:p>
    <w:p w:rsidR="006E4406" w:rsidRPr="00F45FCC" w:rsidRDefault="006E4406" w:rsidP="009647F0">
      <w:pPr>
        <w:pStyle w:val="ExhibitC2"/>
        <w:numPr>
          <w:ilvl w:val="0"/>
          <w:numId w:val="0"/>
        </w:numPr>
        <w:spacing w:before="120" w:after="120"/>
        <w:ind w:left="720"/>
      </w:pPr>
      <w:r w:rsidRPr="00F45FCC">
        <w:t>A Proposer's proposal is an irrevocable offer for ninety (90) days following the proposal due date.  In the event a final contract has not been awarded within this ninety (90) day period, the AOC reserves the right to negotiate extensions to this period.</w:t>
      </w:r>
    </w:p>
    <w:p w:rsidR="006E4406" w:rsidRPr="00F45FCC" w:rsidRDefault="006E4406" w:rsidP="009647F0">
      <w:pPr>
        <w:ind w:left="720" w:hanging="720"/>
        <w:rPr>
          <w:b/>
          <w:bCs/>
        </w:rPr>
      </w:pPr>
    </w:p>
    <w:p w:rsidR="00BD65B9" w:rsidRPr="00F45FCC" w:rsidRDefault="00BD65B9" w:rsidP="009647F0">
      <w:pPr>
        <w:pStyle w:val="ListParagraph"/>
        <w:numPr>
          <w:ilvl w:val="0"/>
          <w:numId w:val="32"/>
        </w:numPr>
        <w:rPr>
          <w:b/>
          <w:bCs/>
        </w:rPr>
      </w:pPr>
      <w:r w:rsidRPr="00F45FCC">
        <w:rPr>
          <w:b/>
          <w:bCs/>
        </w:rPr>
        <w:t>EVALUATION OF PROPOSALS</w:t>
      </w:r>
    </w:p>
    <w:p w:rsidR="00BD65B9" w:rsidRPr="00F45FCC" w:rsidRDefault="00BD65B9" w:rsidP="009647F0"/>
    <w:p w:rsidR="00AC44D4" w:rsidRPr="00F45FCC" w:rsidRDefault="00AC44D4" w:rsidP="009647F0">
      <w:pPr>
        <w:ind w:left="720"/>
      </w:pPr>
      <w:r w:rsidRPr="00F45FCC">
        <w:t xml:space="preserve">At the time proposals are opened, each proposal will be checked for the presence or absence of the required proposal contents.  </w:t>
      </w:r>
      <w:r w:rsidRPr="00F45FCC">
        <w:tab/>
      </w:r>
    </w:p>
    <w:p w:rsidR="00AC44D4" w:rsidRPr="00F45FCC" w:rsidRDefault="00AC44D4" w:rsidP="009647F0">
      <w:pPr>
        <w:ind w:left="720"/>
      </w:pPr>
    </w:p>
    <w:p w:rsidR="00595822" w:rsidRPr="00F45FCC" w:rsidRDefault="00BD65B9" w:rsidP="009647F0">
      <w:pPr>
        <w:ind w:left="720"/>
      </w:pPr>
      <w:r w:rsidRPr="00F45FCC">
        <w:t xml:space="preserve">The AOC will evaluate the proposals </w:t>
      </w:r>
      <w:r w:rsidR="00595822" w:rsidRPr="00F45FCC">
        <w:t xml:space="preserve">on a 100 point scale </w:t>
      </w:r>
      <w:r w:rsidR="00AC44D4" w:rsidRPr="00F45FCC">
        <w:t>using t</w:t>
      </w:r>
      <w:r w:rsidR="00595822" w:rsidRPr="00F45FCC">
        <w:t xml:space="preserve">he criteria set forth in the table below.  </w:t>
      </w:r>
      <w:r w:rsidR="00AC44D4" w:rsidRPr="00F45FCC">
        <w:t>Award, if made, will be to the highest scored proposal.</w:t>
      </w:r>
    </w:p>
    <w:p w:rsidR="00BD65B9" w:rsidRPr="00F45FCC" w:rsidRDefault="00BD65B9" w:rsidP="00BD65B9">
      <w:pPr>
        <w:widowControl w:val="0"/>
        <w:ind w:left="1440"/>
        <w:rPr>
          <w:bCs/>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0"/>
        <w:gridCol w:w="2430"/>
        <w:gridCol w:w="2268"/>
      </w:tblGrid>
      <w:tr w:rsidR="009647F0" w:rsidRPr="00F45FCC" w:rsidTr="00474D62">
        <w:trPr>
          <w:trHeight w:val="187"/>
          <w:tblHeader/>
        </w:trPr>
        <w:tc>
          <w:tcPr>
            <w:tcW w:w="5220" w:type="dxa"/>
            <w:shd w:val="clear" w:color="auto" w:fill="E6E6E6"/>
            <w:vAlign w:val="center"/>
          </w:tcPr>
          <w:p w:rsidR="009647F0" w:rsidRPr="00F45FCC" w:rsidRDefault="009647F0" w:rsidP="009647F0">
            <w:pPr>
              <w:widowControl w:val="0"/>
              <w:tabs>
                <w:tab w:val="left" w:pos="6354"/>
              </w:tabs>
              <w:ind w:right="-18"/>
              <w:jc w:val="center"/>
              <w:rPr>
                <w:b/>
                <w:bCs/>
              </w:rPr>
            </w:pPr>
            <w:r w:rsidRPr="00F45FCC">
              <w:rPr>
                <w:b/>
                <w:bCs/>
              </w:rPr>
              <w:t>CRITERION</w:t>
            </w:r>
          </w:p>
        </w:tc>
        <w:tc>
          <w:tcPr>
            <w:tcW w:w="2430" w:type="dxa"/>
            <w:shd w:val="clear" w:color="auto" w:fill="E6E6E6"/>
          </w:tcPr>
          <w:p w:rsidR="009647F0" w:rsidRPr="00F45FCC" w:rsidRDefault="007B78A9" w:rsidP="007B78A9">
            <w:pPr>
              <w:widowControl w:val="0"/>
              <w:ind w:left="-108" w:right="-108"/>
              <w:jc w:val="center"/>
              <w:rPr>
                <w:rFonts w:ascii="Times New Roman Bold" w:hAnsi="Times New Roman Bold"/>
                <w:b/>
                <w:bCs/>
                <w:caps/>
              </w:rPr>
            </w:pPr>
            <w:r w:rsidRPr="00F45FCC">
              <w:rPr>
                <w:rFonts w:ascii="Times New Roman Bold" w:hAnsi="Times New Roman Bold"/>
                <w:b/>
                <w:bCs/>
                <w:caps/>
              </w:rPr>
              <w:t xml:space="preserve">References to </w:t>
            </w:r>
            <w:r w:rsidR="009647F0" w:rsidRPr="00F45FCC">
              <w:rPr>
                <w:rFonts w:ascii="Times New Roman Bold" w:hAnsi="Times New Roman Bold"/>
                <w:b/>
                <w:bCs/>
                <w:caps/>
              </w:rPr>
              <w:t xml:space="preserve">Applicable RFP </w:t>
            </w:r>
            <w:r w:rsidRPr="00F45FCC">
              <w:rPr>
                <w:rFonts w:ascii="Times New Roman Bold" w:hAnsi="Times New Roman Bold"/>
                <w:b/>
                <w:bCs/>
                <w:caps/>
              </w:rPr>
              <w:t xml:space="preserve">Sections and </w:t>
            </w:r>
            <w:r w:rsidR="009647F0" w:rsidRPr="00F45FCC">
              <w:rPr>
                <w:rFonts w:ascii="Times New Roman Bold" w:hAnsi="Times New Roman Bold"/>
                <w:b/>
                <w:bCs/>
                <w:caps/>
              </w:rPr>
              <w:t>Submittal</w:t>
            </w:r>
            <w:r w:rsidRPr="00F45FCC">
              <w:rPr>
                <w:rFonts w:ascii="Times New Roman Bold" w:hAnsi="Times New Roman Bold"/>
                <w:b/>
                <w:bCs/>
                <w:caps/>
              </w:rPr>
              <w:t>S</w:t>
            </w:r>
          </w:p>
        </w:tc>
        <w:tc>
          <w:tcPr>
            <w:tcW w:w="2268" w:type="dxa"/>
            <w:shd w:val="clear" w:color="auto" w:fill="E6E6E6"/>
            <w:vAlign w:val="center"/>
          </w:tcPr>
          <w:p w:rsidR="009647F0" w:rsidRPr="00F45FCC" w:rsidRDefault="009647F0" w:rsidP="00050595">
            <w:pPr>
              <w:widowControl w:val="0"/>
              <w:ind w:left="-108" w:right="-108"/>
              <w:jc w:val="center"/>
              <w:rPr>
                <w:rFonts w:ascii="Times New Roman Bold" w:hAnsi="Times New Roman Bold"/>
                <w:b/>
                <w:bCs/>
                <w:caps/>
              </w:rPr>
            </w:pPr>
            <w:r w:rsidRPr="00F45FCC">
              <w:rPr>
                <w:rFonts w:ascii="Times New Roman Bold" w:hAnsi="Times New Roman Bold"/>
                <w:b/>
                <w:bCs/>
                <w:caps/>
              </w:rPr>
              <w:t>maximum number of points</w:t>
            </w:r>
          </w:p>
        </w:tc>
      </w:tr>
      <w:tr w:rsidR="009647F0" w:rsidRPr="00F45FCC" w:rsidTr="00474D62">
        <w:trPr>
          <w:cantSplit/>
          <w:trHeight w:val="258"/>
        </w:trPr>
        <w:tc>
          <w:tcPr>
            <w:tcW w:w="5220" w:type="dxa"/>
            <w:vAlign w:val="center"/>
          </w:tcPr>
          <w:p w:rsidR="009647F0" w:rsidRPr="00F45FCC" w:rsidRDefault="009647F0" w:rsidP="00050595">
            <w:pPr>
              <w:widowControl w:val="0"/>
              <w:rPr>
                <w:bCs/>
                <w:sz w:val="22"/>
                <w:szCs w:val="22"/>
              </w:rPr>
            </w:pPr>
            <w:r w:rsidRPr="00F45FCC">
              <w:t>Experience in similar professional environments</w:t>
            </w:r>
          </w:p>
        </w:tc>
        <w:tc>
          <w:tcPr>
            <w:tcW w:w="2430" w:type="dxa"/>
            <w:vAlign w:val="center"/>
          </w:tcPr>
          <w:p w:rsidR="009647F0" w:rsidRPr="00F45FCC" w:rsidRDefault="007B78A9" w:rsidP="00D728BB">
            <w:pPr>
              <w:widowControl w:val="0"/>
              <w:tabs>
                <w:tab w:val="left" w:pos="2178"/>
              </w:tabs>
              <w:jc w:val="center"/>
              <w:rPr>
                <w:bCs/>
                <w:sz w:val="22"/>
                <w:szCs w:val="22"/>
              </w:rPr>
            </w:pPr>
            <w:r w:rsidRPr="00F45FCC">
              <w:rPr>
                <w:bCs/>
                <w:sz w:val="22"/>
                <w:szCs w:val="22"/>
              </w:rPr>
              <w:t>7.3, 7.4.1, 7.4.2, 7.4.3</w:t>
            </w:r>
          </w:p>
        </w:tc>
        <w:tc>
          <w:tcPr>
            <w:tcW w:w="2268" w:type="dxa"/>
            <w:vAlign w:val="center"/>
          </w:tcPr>
          <w:p w:rsidR="009647F0" w:rsidRPr="00F45FCC" w:rsidRDefault="009647F0" w:rsidP="00050595">
            <w:pPr>
              <w:widowControl w:val="0"/>
              <w:tabs>
                <w:tab w:val="left" w:pos="2178"/>
              </w:tabs>
              <w:jc w:val="center"/>
              <w:rPr>
                <w:b/>
                <w:bCs/>
                <w:sz w:val="22"/>
                <w:szCs w:val="22"/>
              </w:rPr>
            </w:pPr>
            <w:r w:rsidRPr="00F45FCC">
              <w:rPr>
                <w:b/>
                <w:bCs/>
                <w:sz w:val="22"/>
                <w:szCs w:val="22"/>
              </w:rPr>
              <w:t>20</w:t>
            </w:r>
          </w:p>
        </w:tc>
      </w:tr>
      <w:tr w:rsidR="009647F0" w:rsidRPr="00F45FCC" w:rsidTr="00474D62">
        <w:trPr>
          <w:cantSplit/>
          <w:trHeight w:val="250"/>
        </w:trPr>
        <w:tc>
          <w:tcPr>
            <w:tcW w:w="5220" w:type="dxa"/>
            <w:vAlign w:val="center"/>
          </w:tcPr>
          <w:p w:rsidR="009647F0" w:rsidRPr="00F45FCC" w:rsidRDefault="009647F0" w:rsidP="00050595">
            <w:pPr>
              <w:widowControl w:val="0"/>
              <w:rPr>
                <w:bCs/>
                <w:sz w:val="22"/>
                <w:szCs w:val="22"/>
              </w:rPr>
            </w:pPr>
            <w:r w:rsidRPr="00F45FCC">
              <w:t>Existing offices and infrastructure in California</w:t>
            </w:r>
          </w:p>
        </w:tc>
        <w:tc>
          <w:tcPr>
            <w:tcW w:w="2430" w:type="dxa"/>
            <w:vAlign w:val="center"/>
          </w:tcPr>
          <w:p w:rsidR="009647F0" w:rsidRPr="00F45FCC" w:rsidRDefault="00F81932" w:rsidP="00D728BB">
            <w:pPr>
              <w:widowControl w:val="0"/>
              <w:tabs>
                <w:tab w:val="left" w:pos="2178"/>
              </w:tabs>
              <w:jc w:val="center"/>
              <w:rPr>
                <w:bCs/>
                <w:sz w:val="22"/>
                <w:szCs w:val="22"/>
              </w:rPr>
            </w:pPr>
            <w:r w:rsidRPr="00F45FCC">
              <w:rPr>
                <w:bCs/>
                <w:sz w:val="22"/>
                <w:szCs w:val="22"/>
              </w:rPr>
              <w:t>7.1</w:t>
            </w:r>
          </w:p>
        </w:tc>
        <w:tc>
          <w:tcPr>
            <w:tcW w:w="2268" w:type="dxa"/>
            <w:vAlign w:val="center"/>
          </w:tcPr>
          <w:p w:rsidR="009647F0" w:rsidRPr="00F45FCC" w:rsidRDefault="009647F0" w:rsidP="00050595">
            <w:pPr>
              <w:widowControl w:val="0"/>
              <w:tabs>
                <w:tab w:val="left" w:pos="2178"/>
              </w:tabs>
              <w:jc w:val="center"/>
              <w:rPr>
                <w:b/>
                <w:bCs/>
                <w:sz w:val="22"/>
                <w:szCs w:val="22"/>
              </w:rPr>
            </w:pPr>
            <w:r w:rsidRPr="00F45FCC">
              <w:rPr>
                <w:b/>
                <w:bCs/>
                <w:sz w:val="22"/>
                <w:szCs w:val="22"/>
              </w:rPr>
              <w:t>15</w:t>
            </w:r>
          </w:p>
        </w:tc>
      </w:tr>
      <w:tr w:rsidR="009647F0" w:rsidRPr="00F45FCC" w:rsidTr="00474D62">
        <w:trPr>
          <w:cantSplit/>
          <w:trHeight w:val="250"/>
        </w:trPr>
        <w:tc>
          <w:tcPr>
            <w:tcW w:w="5220" w:type="dxa"/>
            <w:vAlign w:val="center"/>
          </w:tcPr>
          <w:p w:rsidR="009647F0" w:rsidRPr="00F45FCC" w:rsidRDefault="009647F0" w:rsidP="00050595">
            <w:pPr>
              <w:widowControl w:val="0"/>
              <w:rPr>
                <w:bCs/>
                <w:sz w:val="22"/>
                <w:szCs w:val="22"/>
              </w:rPr>
            </w:pPr>
            <w:r w:rsidRPr="00F45FCC">
              <w:t xml:space="preserve">Cost </w:t>
            </w:r>
          </w:p>
        </w:tc>
        <w:tc>
          <w:tcPr>
            <w:tcW w:w="2430" w:type="dxa"/>
            <w:vAlign w:val="center"/>
          </w:tcPr>
          <w:p w:rsidR="009647F0" w:rsidRPr="00F45FCC" w:rsidRDefault="009647F0" w:rsidP="00D728BB">
            <w:pPr>
              <w:widowControl w:val="0"/>
              <w:jc w:val="center"/>
              <w:rPr>
                <w:bCs/>
                <w:sz w:val="22"/>
                <w:szCs w:val="22"/>
              </w:rPr>
            </w:pPr>
            <w:r w:rsidRPr="00F45FCC">
              <w:rPr>
                <w:bCs/>
                <w:sz w:val="22"/>
                <w:szCs w:val="22"/>
              </w:rPr>
              <w:t>Attachment 5, Cost/Fee Proposal Form</w:t>
            </w:r>
            <w:r w:rsidR="007B78A9" w:rsidRPr="00F45FCC">
              <w:rPr>
                <w:bCs/>
                <w:sz w:val="22"/>
                <w:szCs w:val="22"/>
              </w:rPr>
              <w:t>, 7.7</w:t>
            </w:r>
          </w:p>
        </w:tc>
        <w:tc>
          <w:tcPr>
            <w:tcW w:w="2268" w:type="dxa"/>
            <w:vAlign w:val="center"/>
          </w:tcPr>
          <w:p w:rsidR="009647F0" w:rsidRPr="00F45FCC" w:rsidRDefault="009647F0" w:rsidP="00050595">
            <w:pPr>
              <w:widowControl w:val="0"/>
              <w:jc w:val="center"/>
              <w:rPr>
                <w:b/>
                <w:bCs/>
                <w:sz w:val="22"/>
                <w:szCs w:val="22"/>
              </w:rPr>
            </w:pPr>
            <w:r w:rsidRPr="00F45FCC">
              <w:rPr>
                <w:b/>
                <w:bCs/>
                <w:sz w:val="22"/>
                <w:szCs w:val="22"/>
              </w:rPr>
              <w:t>30</w:t>
            </w:r>
          </w:p>
        </w:tc>
      </w:tr>
      <w:tr w:rsidR="009647F0" w:rsidRPr="00F45FCC" w:rsidTr="00474D62">
        <w:trPr>
          <w:cantSplit/>
          <w:trHeight w:val="208"/>
        </w:trPr>
        <w:tc>
          <w:tcPr>
            <w:tcW w:w="5220" w:type="dxa"/>
            <w:vAlign w:val="center"/>
          </w:tcPr>
          <w:p w:rsidR="009647F0" w:rsidRPr="00F45FCC" w:rsidRDefault="009647F0" w:rsidP="00050595">
            <w:pPr>
              <w:widowControl w:val="0"/>
              <w:ind w:right="576"/>
              <w:rPr>
                <w:bCs/>
                <w:sz w:val="22"/>
                <w:szCs w:val="22"/>
              </w:rPr>
            </w:pPr>
            <w:r w:rsidRPr="00F45FCC">
              <w:t>Pre-post training plans and post assignment training plans</w:t>
            </w:r>
            <w:r w:rsidR="00F81932" w:rsidRPr="00F45FCC">
              <w:t xml:space="preserve"> and other policies</w:t>
            </w:r>
          </w:p>
        </w:tc>
        <w:tc>
          <w:tcPr>
            <w:tcW w:w="2430" w:type="dxa"/>
            <w:vAlign w:val="center"/>
          </w:tcPr>
          <w:p w:rsidR="009647F0" w:rsidRPr="00F45FCC" w:rsidRDefault="00F81932" w:rsidP="00D728BB">
            <w:pPr>
              <w:widowControl w:val="0"/>
              <w:jc w:val="center"/>
              <w:rPr>
                <w:bCs/>
                <w:sz w:val="22"/>
                <w:szCs w:val="22"/>
              </w:rPr>
            </w:pPr>
            <w:r w:rsidRPr="00F45FCC">
              <w:rPr>
                <w:bCs/>
                <w:sz w:val="22"/>
                <w:szCs w:val="22"/>
              </w:rPr>
              <w:t>7.</w:t>
            </w:r>
            <w:r w:rsidR="007B78A9" w:rsidRPr="00F45FCC">
              <w:rPr>
                <w:bCs/>
                <w:sz w:val="22"/>
                <w:szCs w:val="22"/>
              </w:rPr>
              <w:t>5</w:t>
            </w:r>
          </w:p>
        </w:tc>
        <w:tc>
          <w:tcPr>
            <w:tcW w:w="2268" w:type="dxa"/>
            <w:vAlign w:val="center"/>
          </w:tcPr>
          <w:p w:rsidR="009647F0" w:rsidRPr="00F45FCC" w:rsidRDefault="009647F0" w:rsidP="00050595">
            <w:pPr>
              <w:widowControl w:val="0"/>
              <w:jc w:val="center"/>
              <w:rPr>
                <w:b/>
                <w:bCs/>
                <w:sz w:val="22"/>
                <w:szCs w:val="22"/>
              </w:rPr>
            </w:pPr>
            <w:r w:rsidRPr="00F45FCC">
              <w:rPr>
                <w:b/>
                <w:bCs/>
                <w:sz w:val="22"/>
                <w:szCs w:val="22"/>
              </w:rPr>
              <w:t>5</w:t>
            </w:r>
          </w:p>
        </w:tc>
      </w:tr>
      <w:tr w:rsidR="009647F0" w:rsidRPr="00F45FCC" w:rsidTr="00474D62">
        <w:trPr>
          <w:cantSplit/>
          <w:trHeight w:val="208"/>
        </w:trPr>
        <w:tc>
          <w:tcPr>
            <w:tcW w:w="5220" w:type="dxa"/>
            <w:vAlign w:val="center"/>
          </w:tcPr>
          <w:p w:rsidR="009647F0" w:rsidRPr="00F45FCC" w:rsidRDefault="009647F0" w:rsidP="00050595">
            <w:pPr>
              <w:widowControl w:val="0"/>
              <w:ind w:right="576"/>
            </w:pPr>
            <w:r w:rsidRPr="00F45FCC">
              <w:t>Uniforms, uniform maintenance, internal uniform and presentation policies</w:t>
            </w:r>
          </w:p>
        </w:tc>
        <w:tc>
          <w:tcPr>
            <w:tcW w:w="2430" w:type="dxa"/>
            <w:vAlign w:val="center"/>
          </w:tcPr>
          <w:p w:rsidR="009647F0" w:rsidRPr="00F45FCC" w:rsidRDefault="00F81932" w:rsidP="00D728BB">
            <w:pPr>
              <w:widowControl w:val="0"/>
              <w:jc w:val="center"/>
              <w:rPr>
                <w:bCs/>
                <w:sz w:val="22"/>
                <w:szCs w:val="22"/>
              </w:rPr>
            </w:pPr>
            <w:r w:rsidRPr="00F45FCC">
              <w:rPr>
                <w:bCs/>
                <w:sz w:val="22"/>
                <w:szCs w:val="22"/>
              </w:rPr>
              <w:t>7.</w:t>
            </w:r>
            <w:r w:rsidR="007B78A9" w:rsidRPr="00F45FCC">
              <w:rPr>
                <w:bCs/>
                <w:sz w:val="22"/>
                <w:szCs w:val="22"/>
              </w:rPr>
              <w:t>4.5</w:t>
            </w:r>
          </w:p>
        </w:tc>
        <w:tc>
          <w:tcPr>
            <w:tcW w:w="2268" w:type="dxa"/>
            <w:vAlign w:val="center"/>
          </w:tcPr>
          <w:p w:rsidR="009647F0" w:rsidRPr="00F45FCC" w:rsidRDefault="009647F0" w:rsidP="00050595">
            <w:pPr>
              <w:widowControl w:val="0"/>
              <w:jc w:val="center"/>
              <w:rPr>
                <w:b/>
                <w:bCs/>
                <w:sz w:val="22"/>
                <w:szCs w:val="22"/>
              </w:rPr>
            </w:pPr>
            <w:r w:rsidRPr="00F45FCC">
              <w:rPr>
                <w:b/>
                <w:bCs/>
                <w:sz w:val="22"/>
                <w:szCs w:val="22"/>
              </w:rPr>
              <w:t>5</w:t>
            </w:r>
          </w:p>
        </w:tc>
      </w:tr>
      <w:tr w:rsidR="009647F0" w:rsidRPr="00F45FCC" w:rsidTr="00474D62">
        <w:trPr>
          <w:cantSplit/>
          <w:trHeight w:val="201"/>
        </w:trPr>
        <w:tc>
          <w:tcPr>
            <w:tcW w:w="5220" w:type="dxa"/>
            <w:vAlign w:val="center"/>
          </w:tcPr>
          <w:p w:rsidR="009647F0" w:rsidRPr="00F45FCC" w:rsidRDefault="009647F0" w:rsidP="00050595">
            <w:pPr>
              <w:widowControl w:val="0"/>
              <w:rPr>
                <w:bCs/>
                <w:sz w:val="22"/>
                <w:szCs w:val="22"/>
              </w:rPr>
            </w:pPr>
            <w:r w:rsidRPr="00F45FCC">
              <w:t>Ability to meet post timing requirements, emergency coverage and additional support coverage to complete the assignments and emergency requirements.</w:t>
            </w:r>
          </w:p>
        </w:tc>
        <w:tc>
          <w:tcPr>
            <w:tcW w:w="2430" w:type="dxa"/>
            <w:vAlign w:val="center"/>
          </w:tcPr>
          <w:p w:rsidR="009647F0" w:rsidRPr="00F45FCC" w:rsidRDefault="00F81932" w:rsidP="00D728BB">
            <w:pPr>
              <w:widowControl w:val="0"/>
              <w:jc w:val="center"/>
              <w:rPr>
                <w:bCs/>
                <w:sz w:val="22"/>
                <w:szCs w:val="22"/>
              </w:rPr>
            </w:pPr>
            <w:r w:rsidRPr="00F45FCC">
              <w:rPr>
                <w:bCs/>
                <w:sz w:val="22"/>
                <w:szCs w:val="22"/>
              </w:rPr>
              <w:t>7.</w:t>
            </w:r>
            <w:r w:rsidR="007B78A9" w:rsidRPr="00F45FCC">
              <w:rPr>
                <w:bCs/>
                <w:sz w:val="22"/>
                <w:szCs w:val="22"/>
              </w:rPr>
              <w:t>4.4</w:t>
            </w:r>
          </w:p>
        </w:tc>
        <w:tc>
          <w:tcPr>
            <w:tcW w:w="2268" w:type="dxa"/>
            <w:vAlign w:val="center"/>
          </w:tcPr>
          <w:p w:rsidR="009647F0" w:rsidRPr="00F45FCC" w:rsidRDefault="009647F0" w:rsidP="00050595">
            <w:pPr>
              <w:widowControl w:val="0"/>
              <w:jc w:val="center"/>
              <w:rPr>
                <w:b/>
                <w:bCs/>
                <w:sz w:val="22"/>
                <w:szCs w:val="22"/>
              </w:rPr>
            </w:pPr>
            <w:r w:rsidRPr="00F45FCC">
              <w:rPr>
                <w:b/>
                <w:bCs/>
                <w:sz w:val="22"/>
                <w:szCs w:val="22"/>
              </w:rPr>
              <w:t>15</w:t>
            </w:r>
          </w:p>
        </w:tc>
      </w:tr>
      <w:tr w:rsidR="009647F0" w:rsidRPr="00F45FCC" w:rsidTr="00474D62">
        <w:trPr>
          <w:cantSplit/>
          <w:trHeight w:val="201"/>
        </w:trPr>
        <w:tc>
          <w:tcPr>
            <w:tcW w:w="5220" w:type="dxa"/>
            <w:vAlign w:val="center"/>
          </w:tcPr>
          <w:p w:rsidR="009647F0" w:rsidRPr="00F45FCC" w:rsidRDefault="009647F0" w:rsidP="00F95136">
            <w:pPr>
              <w:widowControl w:val="0"/>
            </w:pPr>
            <w:r w:rsidRPr="00F45FCC">
              <w:t xml:space="preserve">Acceptance of the RFP’s </w:t>
            </w:r>
            <w:r w:rsidR="00F95136" w:rsidRPr="00F45FCC">
              <w:t xml:space="preserve">Attachment 2, AOC Standard </w:t>
            </w:r>
            <w:r w:rsidRPr="00F45FCC">
              <w:t>Terms</w:t>
            </w:r>
            <w:r w:rsidR="007B78A9" w:rsidRPr="00F45FCC">
              <w:t xml:space="preserve"> and </w:t>
            </w:r>
            <w:r w:rsidR="00F95136" w:rsidRPr="00F45FCC">
              <w:t xml:space="preserve">Conditions; and </w:t>
            </w:r>
            <w:r w:rsidR="007B78A9" w:rsidRPr="00F45FCC">
              <w:t>responsiveness to RFP requirements</w:t>
            </w:r>
          </w:p>
        </w:tc>
        <w:tc>
          <w:tcPr>
            <w:tcW w:w="2430" w:type="dxa"/>
            <w:vAlign w:val="center"/>
          </w:tcPr>
          <w:p w:rsidR="009647F0" w:rsidRPr="00F45FCC" w:rsidRDefault="009647F0" w:rsidP="007B78A9">
            <w:pPr>
              <w:widowControl w:val="0"/>
              <w:jc w:val="center"/>
              <w:rPr>
                <w:bCs/>
                <w:sz w:val="22"/>
                <w:szCs w:val="22"/>
              </w:rPr>
            </w:pPr>
            <w:r w:rsidRPr="00F45FCC">
              <w:rPr>
                <w:bCs/>
                <w:sz w:val="22"/>
                <w:szCs w:val="22"/>
              </w:rPr>
              <w:t>Attachment 3: Proposer’s Acceptance of the RFP’s Contract Terms</w:t>
            </w:r>
            <w:r w:rsidR="00D728BB" w:rsidRPr="00F45FCC">
              <w:rPr>
                <w:bCs/>
                <w:sz w:val="22"/>
                <w:szCs w:val="22"/>
              </w:rPr>
              <w:t>, 7.</w:t>
            </w:r>
            <w:r w:rsidR="007B78A9" w:rsidRPr="00F45FCC">
              <w:rPr>
                <w:bCs/>
                <w:sz w:val="22"/>
                <w:szCs w:val="22"/>
              </w:rPr>
              <w:t xml:space="preserve">2, all items under 7.6 through 7.6.9, signed NDA’s for all persons who received AOC confidential information and worked on the proposal for proposer. </w:t>
            </w:r>
          </w:p>
        </w:tc>
        <w:tc>
          <w:tcPr>
            <w:tcW w:w="2268" w:type="dxa"/>
            <w:vAlign w:val="center"/>
          </w:tcPr>
          <w:p w:rsidR="009647F0" w:rsidRPr="00F45FCC" w:rsidRDefault="00C57C07" w:rsidP="00050595">
            <w:pPr>
              <w:widowControl w:val="0"/>
              <w:jc w:val="center"/>
              <w:rPr>
                <w:b/>
                <w:bCs/>
                <w:sz w:val="22"/>
                <w:szCs w:val="22"/>
              </w:rPr>
            </w:pPr>
            <w:r w:rsidRPr="00F45FCC">
              <w:rPr>
                <w:b/>
                <w:bCs/>
                <w:sz w:val="22"/>
                <w:szCs w:val="22"/>
              </w:rPr>
              <w:t>10</w:t>
            </w:r>
          </w:p>
        </w:tc>
      </w:tr>
    </w:tbl>
    <w:p w:rsidR="00C37FF7" w:rsidRPr="00F45FCC" w:rsidRDefault="00C37FF7"/>
    <w:p w:rsidR="006562BF" w:rsidRPr="00F45FCC" w:rsidRDefault="006562BF" w:rsidP="00384866">
      <w:pPr>
        <w:pStyle w:val="ListParagraph"/>
        <w:keepNext/>
        <w:numPr>
          <w:ilvl w:val="0"/>
          <w:numId w:val="32"/>
        </w:numPr>
        <w:rPr>
          <w:b/>
          <w:bCs/>
        </w:rPr>
      </w:pPr>
      <w:r w:rsidRPr="00F45FCC">
        <w:rPr>
          <w:b/>
          <w:bCs/>
        </w:rPr>
        <w:t>INTERVIEWS</w:t>
      </w:r>
    </w:p>
    <w:p w:rsidR="00FA6747" w:rsidRPr="00F45FCC" w:rsidRDefault="00FA6747" w:rsidP="00A66B5A">
      <w:pPr>
        <w:widowControl w:val="0"/>
        <w:ind w:left="720"/>
      </w:pPr>
    </w:p>
    <w:p w:rsidR="006562BF" w:rsidRPr="00F45FCC" w:rsidRDefault="006562BF" w:rsidP="00A66B5A">
      <w:pPr>
        <w:widowControl w:val="0"/>
        <w:ind w:left="720"/>
      </w:pPr>
      <w:r w:rsidRPr="00F45FCC">
        <w:t xml:space="preserve">The AOC may conduct interviews with </w:t>
      </w:r>
      <w:r w:rsidR="00AD59DB" w:rsidRPr="00F45FCC">
        <w:t>Proposers</w:t>
      </w:r>
      <w:r w:rsidRPr="00F45FCC">
        <w:t xml:space="preserve"> to clarify aspects set forth in the</w:t>
      </w:r>
      <w:r w:rsidR="00AD59DB" w:rsidRPr="00F45FCC">
        <w:t>ir proposals</w:t>
      </w:r>
      <w:r w:rsidR="009C51AC" w:rsidRPr="00F45FCC">
        <w:t xml:space="preserve"> or to assist in finalizing the ranking of top-ranked proposals</w:t>
      </w:r>
      <w:r w:rsidRPr="00F45FCC">
        <w:t xml:space="preserve">.  </w:t>
      </w:r>
      <w:r w:rsidR="002B023A" w:rsidRPr="00F45FCC">
        <w:t xml:space="preserve">The interviews may be conducted in person or by phone.  </w:t>
      </w:r>
      <w:r w:rsidRPr="00F45FCC">
        <w:t>If conducted</w:t>
      </w:r>
      <w:r w:rsidR="002B023A" w:rsidRPr="00F45FCC">
        <w:t xml:space="preserve"> in person</w:t>
      </w:r>
      <w:r w:rsidRPr="00F45FCC">
        <w:t xml:space="preserve">, interviews will likely be </w:t>
      </w:r>
      <w:r w:rsidR="00E00E57" w:rsidRPr="00F45FCC">
        <w:t>held</w:t>
      </w:r>
      <w:r w:rsidRPr="00F45FCC">
        <w:t xml:space="preserve"> at the AOC’s offices in San Francisco.  The AOC will not reimburse </w:t>
      </w:r>
      <w:r w:rsidR="00A66B5A" w:rsidRPr="00F45FCC">
        <w:t>Proposers</w:t>
      </w:r>
      <w:r w:rsidRPr="00F45FCC">
        <w:t xml:space="preserve"> for any costs incurred in traveling to or from the interview location.  The AOC will notify eligible </w:t>
      </w:r>
      <w:r w:rsidR="00AD59DB" w:rsidRPr="00F45FCC">
        <w:t>P</w:t>
      </w:r>
      <w:r w:rsidRPr="00F45FCC">
        <w:t>roposers regarding interview arrangements.</w:t>
      </w:r>
    </w:p>
    <w:p w:rsidR="006562BF" w:rsidRPr="00F45FCC" w:rsidRDefault="006562BF" w:rsidP="006562BF">
      <w:pPr>
        <w:ind w:left="720"/>
        <w:rPr>
          <w:sz w:val="20"/>
          <w:szCs w:val="20"/>
        </w:rPr>
      </w:pPr>
    </w:p>
    <w:p w:rsidR="006562BF" w:rsidRPr="00F45FCC" w:rsidRDefault="006562BF" w:rsidP="00384866">
      <w:pPr>
        <w:pStyle w:val="ListParagraph"/>
        <w:keepNext/>
        <w:numPr>
          <w:ilvl w:val="0"/>
          <w:numId w:val="32"/>
        </w:numPr>
        <w:rPr>
          <w:b/>
          <w:bCs/>
        </w:rPr>
      </w:pPr>
      <w:r w:rsidRPr="00F45FCC">
        <w:rPr>
          <w:b/>
          <w:bCs/>
        </w:rPr>
        <w:t>CONFIDENTIAL OR PROPRIETARY INFORMATION</w:t>
      </w:r>
    </w:p>
    <w:p w:rsidR="006562BF" w:rsidRPr="00F45FCC" w:rsidRDefault="006562BF" w:rsidP="006562BF">
      <w:pPr>
        <w:pStyle w:val="RFPA"/>
        <w:keepNext/>
        <w:numPr>
          <w:ilvl w:val="0"/>
          <w:numId w:val="0"/>
        </w:numPr>
        <w:ind w:left="720" w:hanging="720"/>
        <w:rPr>
          <w:sz w:val="20"/>
          <w:szCs w:val="20"/>
        </w:rPr>
      </w:pPr>
    </w:p>
    <w:p w:rsidR="006562BF" w:rsidRPr="00F45FCC" w:rsidRDefault="006E4406" w:rsidP="006562BF">
      <w:pPr>
        <w:pStyle w:val="BodyTextIndent"/>
        <w:spacing w:after="240"/>
        <w:ind w:left="720"/>
      </w:pPr>
      <w:r w:rsidRPr="00F45FCC">
        <w:t xml:space="preserve">One copy of each proposal will be retained by the AOC for official files and will become a public record.  </w:t>
      </w:r>
      <w:r w:rsidR="0080504E" w:rsidRPr="00F45FCC">
        <w:t xml:space="preserve">California judicial branch entities are subject to rule 10.500 of the California Rule of Court, which governs public access to judicial administrative records (see </w:t>
      </w:r>
      <w:r w:rsidR="0080504E" w:rsidRPr="00F45FCC">
        <w:rPr>
          <w:i/>
        </w:rPr>
        <w:t>www.courtinfo.ca.gov/cms/rules/index.cfm?title=ten&amp;linkid=rule10_500</w:t>
      </w:r>
      <w:r w:rsidR="0080504E" w:rsidRPr="00F45FCC">
        <w:t>).</w:t>
      </w:r>
    </w:p>
    <w:p w:rsidR="006562BF" w:rsidRPr="00F45FCC" w:rsidRDefault="006562BF" w:rsidP="006562BF">
      <w:pPr>
        <w:pStyle w:val="BodyTextIndent"/>
        <w:spacing w:after="240"/>
        <w:ind w:left="720"/>
      </w:pPr>
      <w:r w:rsidRPr="00F45FCC">
        <w:t xml:space="preserve">If information submitted in a proposal contains material noted or marked as confidential and/or proprietary that, in the AOC’s sole opinion, meets the disclosure exemption requirements of Rule 10.500, then that information will not be disclosed upon a request for access to such records.  If the AOC finds or reasonably believes that the material so marked is </w:t>
      </w:r>
      <w:r w:rsidRPr="00F45FCC">
        <w:rPr>
          <w:b/>
        </w:rPr>
        <w:t>not</w:t>
      </w:r>
      <w:r w:rsidRPr="00F45FCC">
        <w:t xml:space="preserve"> exempt from disclosure, the AOC will disclose the information regardless of the marking or notation seeking confidential treatment.</w:t>
      </w:r>
    </w:p>
    <w:p w:rsidR="00825BC4" w:rsidRPr="00F45FCC" w:rsidRDefault="00B94738" w:rsidP="00384866">
      <w:pPr>
        <w:pStyle w:val="ListParagraph"/>
        <w:keepNext/>
        <w:numPr>
          <w:ilvl w:val="0"/>
          <w:numId w:val="32"/>
        </w:numPr>
        <w:rPr>
          <w:b/>
          <w:bCs/>
        </w:rPr>
      </w:pPr>
      <w:r w:rsidRPr="00F45FCC">
        <w:rPr>
          <w:b/>
          <w:bCs/>
        </w:rPr>
        <w:t xml:space="preserve">DISABLED VETERAN BUSINESS </w:t>
      </w:r>
      <w:r w:rsidR="00825BC4" w:rsidRPr="00F45FCC">
        <w:rPr>
          <w:b/>
          <w:bCs/>
        </w:rPr>
        <w:t>ENTERPRISE PARTICIPATION GOALS</w:t>
      </w:r>
    </w:p>
    <w:p w:rsidR="00825BC4" w:rsidRPr="00F45FCC" w:rsidRDefault="00825BC4" w:rsidP="009A71DD">
      <w:pPr>
        <w:pStyle w:val="RFPA"/>
        <w:keepNext/>
        <w:numPr>
          <w:ilvl w:val="0"/>
          <w:numId w:val="0"/>
        </w:numPr>
        <w:ind w:left="720" w:hanging="720"/>
        <w:rPr>
          <w:sz w:val="20"/>
          <w:szCs w:val="20"/>
        </w:rPr>
      </w:pPr>
    </w:p>
    <w:p w:rsidR="00825BC4" w:rsidRPr="00F45FCC" w:rsidRDefault="00825BC4" w:rsidP="009A71DD">
      <w:pPr>
        <w:pStyle w:val="BodyTextIndent"/>
        <w:spacing w:after="240"/>
        <w:ind w:left="720"/>
      </w:pPr>
      <w:r w:rsidRPr="00F45FCC">
        <w:t>The AOC has waived the inclusion of DVBE participation in this solicitation.</w:t>
      </w:r>
    </w:p>
    <w:p w:rsidR="00053778" w:rsidRPr="00F45FCC" w:rsidRDefault="00053778" w:rsidP="00384866">
      <w:pPr>
        <w:pStyle w:val="ListParagraph"/>
        <w:keepNext/>
        <w:numPr>
          <w:ilvl w:val="0"/>
          <w:numId w:val="32"/>
        </w:numPr>
        <w:rPr>
          <w:b/>
          <w:bCs/>
        </w:rPr>
      </w:pPr>
      <w:r w:rsidRPr="00F45FCC">
        <w:rPr>
          <w:b/>
          <w:bCs/>
        </w:rPr>
        <w:t>PROTEST</w:t>
      </w:r>
      <w:r w:rsidR="00C22AB4" w:rsidRPr="00F45FCC">
        <w:rPr>
          <w:b/>
          <w:bCs/>
        </w:rPr>
        <w:t>S</w:t>
      </w:r>
    </w:p>
    <w:p w:rsidR="009A71DD" w:rsidRPr="00F45FCC" w:rsidRDefault="009A71DD" w:rsidP="00053778">
      <w:pPr>
        <w:ind w:left="720"/>
      </w:pPr>
    </w:p>
    <w:p w:rsidR="00053778" w:rsidRPr="00F45FCC" w:rsidRDefault="00053778" w:rsidP="00053778">
      <w:pPr>
        <w:ind w:left="720"/>
        <w:rPr>
          <w:noProof/>
          <w:szCs w:val="20"/>
        </w:rPr>
      </w:pPr>
      <w:r w:rsidRPr="00F45FCC">
        <w:t>Any protests will be handled in accordance with Chapter 7 of the Judicial Branch Contract Manual</w:t>
      </w:r>
      <w:r w:rsidR="00166197" w:rsidRPr="00F45FCC">
        <w:t xml:space="preserve"> (see www.courts.ca.gov/documents/jbcl-manual.pdf)</w:t>
      </w:r>
      <w:r w:rsidRPr="00F45FCC">
        <w:t xml:space="preserve">. Failure of a Proposer to comply with the protest procedures set forth in that chapter will render a protest inadequate and non-responsive, and will result in rejection of the protest. The deadline for the AOC to receive a solicitation specifications protest is </w:t>
      </w:r>
      <w:r w:rsidR="00732A35" w:rsidRPr="00F45FCC">
        <w:t xml:space="preserve">the Proposal Due Date set forth in Section 3, Timeline </w:t>
      </w:r>
      <w:proofErr w:type="gramStart"/>
      <w:r w:rsidR="00732A35" w:rsidRPr="00F45FCC">
        <w:t>For</w:t>
      </w:r>
      <w:proofErr w:type="gramEnd"/>
      <w:r w:rsidR="00732A35" w:rsidRPr="00F45FCC">
        <w:t xml:space="preserve"> This RFP.</w:t>
      </w:r>
      <w:r w:rsidRPr="00F45FCC">
        <w:t xml:space="preserve"> Protests should be sent to: </w:t>
      </w:r>
    </w:p>
    <w:p w:rsidR="00053778" w:rsidRPr="00F45FCC" w:rsidRDefault="00053778" w:rsidP="00053778">
      <w:pPr>
        <w:ind w:left="720"/>
        <w:rPr>
          <w:noProof/>
          <w:szCs w:val="20"/>
        </w:rPr>
      </w:pPr>
    </w:p>
    <w:p w:rsidR="00053778" w:rsidRPr="00F45FCC" w:rsidRDefault="00053778" w:rsidP="00053778">
      <w:pPr>
        <w:ind w:left="1440"/>
      </w:pPr>
      <w:r w:rsidRPr="00F45FCC">
        <w:t xml:space="preserve">AOC – Business Services </w:t>
      </w:r>
    </w:p>
    <w:p w:rsidR="00053778" w:rsidRPr="00F45FCC" w:rsidRDefault="00053778" w:rsidP="00053778">
      <w:pPr>
        <w:ind w:left="1440"/>
      </w:pPr>
      <w:r w:rsidRPr="00F45FCC">
        <w:t>ATTN: Protest Hearing Officer</w:t>
      </w:r>
    </w:p>
    <w:p w:rsidR="00053778" w:rsidRPr="00F45FCC" w:rsidRDefault="00053778" w:rsidP="00053778">
      <w:pPr>
        <w:ind w:left="1440"/>
      </w:pPr>
      <w:r w:rsidRPr="00F45FCC">
        <w:t>455 Golden Gate Avenue</w:t>
      </w:r>
      <w:r w:rsidR="003020A2" w:rsidRPr="00F45FCC">
        <w:t>, Seventh Floor</w:t>
      </w:r>
    </w:p>
    <w:p w:rsidR="00050595" w:rsidRPr="00F45FCC" w:rsidRDefault="00053778" w:rsidP="009A71DD">
      <w:pPr>
        <w:ind w:left="1440"/>
      </w:pPr>
      <w:r w:rsidRPr="00F45FCC">
        <w:t xml:space="preserve">San Francisco, CA  94102 </w:t>
      </w:r>
    </w:p>
    <w:sectPr w:rsidR="00050595" w:rsidRPr="00F45FCC" w:rsidSect="0088206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A35" w:rsidRDefault="00732A35" w:rsidP="00C37FF7">
      <w:r>
        <w:separator/>
      </w:r>
    </w:p>
  </w:endnote>
  <w:endnote w:type="continuationSeparator" w:id="0">
    <w:p w:rsidR="00732A35" w:rsidRDefault="00732A35"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A35" w:rsidRDefault="00732A35" w:rsidP="000B63A8">
    <w:pPr>
      <w:pStyle w:val="Footer"/>
      <w:jc w:val="center"/>
    </w:pPr>
    <w:r>
      <w:t xml:space="preserve">Page </w:t>
    </w:r>
    <w:fldSimple w:instr=" PAGE   \* MERGEFORMAT ">
      <w:r w:rsidR="00F45FCC">
        <w:rPr>
          <w:noProof/>
        </w:rPr>
        <w:t>8</w:t>
      </w:r>
    </w:fldSimple>
    <w:r>
      <w:t xml:space="preserve"> of </w:t>
    </w:r>
    <w:fldSimple w:instr=" SECTIONPAGES   \* MERGEFORMAT ">
      <w:r w:rsidR="00F45FCC">
        <w:rPr>
          <w:noProof/>
        </w:rPr>
        <w:t>10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A35" w:rsidRDefault="00732A35" w:rsidP="00C37FF7">
      <w:r>
        <w:separator/>
      </w:r>
    </w:p>
  </w:footnote>
  <w:footnote w:type="continuationSeparator" w:id="0">
    <w:p w:rsidR="00732A35" w:rsidRDefault="00732A35"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A35" w:rsidRDefault="00732A35" w:rsidP="00C37FF7">
    <w:pPr>
      <w:pStyle w:val="CommentText"/>
      <w:tabs>
        <w:tab w:val="left" w:pos="1242"/>
      </w:tabs>
      <w:ind w:right="252"/>
      <w:jc w:val="both"/>
      <w:rPr>
        <w:color w:val="000000"/>
        <w:sz w:val="22"/>
        <w:szCs w:val="22"/>
      </w:rPr>
    </w:pPr>
    <w:r>
      <w:t>RFP</w:t>
    </w:r>
    <w:r w:rsidRPr="0045523B">
      <w:t xml:space="preserve"> Title:</w:t>
    </w:r>
    <w:r>
      <w:tab/>
      <w:t>Non-sworn, unarmed, unifor</w:t>
    </w:r>
    <w:r w:rsidR="00F45FCC">
      <w:t>med Security Guard Services</w:t>
    </w:r>
  </w:p>
  <w:p w:rsidR="00732A35" w:rsidRPr="00050595" w:rsidRDefault="00732A35" w:rsidP="00C37FF7">
    <w:pPr>
      <w:pStyle w:val="CommentText"/>
      <w:tabs>
        <w:tab w:val="left" w:pos="1242"/>
      </w:tabs>
      <w:ind w:right="252"/>
      <w:jc w:val="both"/>
    </w:pPr>
    <w:r w:rsidRPr="0045523B">
      <w:t>RFP Number:</w:t>
    </w:r>
    <w:r>
      <w:tab/>
    </w:r>
    <w:r w:rsidRPr="00050595">
      <w:t>OERS-</w:t>
    </w:r>
    <w:r>
      <w:t>20</w:t>
    </w:r>
    <w:r w:rsidRPr="00050595">
      <w:t>1101-RB</w:t>
    </w:r>
  </w:p>
  <w:p w:rsidR="00732A35" w:rsidRDefault="00732A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61474"/>
    <w:multiLevelType w:val="hybridMultilevel"/>
    <w:tmpl w:val="A3547F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nsid w:val="12057F4A"/>
    <w:multiLevelType w:val="multilevel"/>
    <w:tmpl w:val="35F8D730"/>
    <w:lvl w:ilvl="0">
      <w:start w:val="5"/>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A5D20B4"/>
    <w:multiLevelType w:val="hybridMultilevel"/>
    <w:tmpl w:val="90FEC60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212A0969"/>
    <w:multiLevelType w:val="hybridMultilevel"/>
    <w:tmpl w:val="6F1CF69C"/>
    <w:lvl w:ilvl="0" w:tplc="A1AE3F5C">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82A20798">
      <w:start w:val="1"/>
      <w:numFmt w:val="lowerLetter"/>
      <w:lvlText w:val="%5)"/>
      <w:lvlJc w:val="left"/>
      <w:pPr>
        <w:tabs>
          <w:tab w:val="num" w:pos="4320"/>
        </w:tabs>
        <w:ind w:left="4320" w:hanging="360"/>
      </w:pPr>
      <w:rPr>
        <w:rFonts w:hint="default"/>
      </w:r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21D34196"/>
    <w:multiLevelType w:val="hybridMultilevel"/>
    <w:tmpl w:val="A35A46F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49175B6"/>
    <w:multiLevelType w:val="hybridMultilevel"/>
    <w:tmpl w:val="FC06F404"/>
    <w:lvl w:ilvl="0" w:tplc="7D76A2A0">
      <w:start w:val="2"/>
      <w:numFmt w:val="decimal"/>
      <w:lvlText w:val="%1."/>
      <w:lvlJc w:val="left"/>
      <w:pPr>
        <w:tabs>
          <w:tab w:val="num" w:pos="2160"/>
        </w:tabs>
        <w:ind w:left="2160" w:hanging="360"/>
      </w:pPr>
      <w:rPr>
        <w:rFonts w:hint="default"/>
      </w:rPr>
    </w:lvl>
    <w:lvl w:ilvl="1" w:tplc="EF8ECA52">
      <w:start w:val="1"/>
      <w:numFmt w:val="lowerLetter"/>
      <w:lvlText w:val="%2)"/>
      <w:lvlJc w:val="left"/>
      <w:pPr>
        <w:tabs>
          <w:tab w:val="num" w:pos="1440"/>
        </w:tabs>
        <w:ind w:left="1440" w:hanging="360"/>
      </w:pPr>
      <w:rPr>
        <w:rFonts w:hint="default"/>
      </w:rPr>
    </w:lvl>
    <w:lvl w:ilvl="2" w:tplc="FD705E50">
      <w:start w:val="1"/>
      <w:numFmt w:val="decimal"/>
      <w:lvlText w:val="%3"/>
      <w:lvlJc w:val="left"/>
      <w:pPr>
        <w:ind w:left="2340" w:hanging="360"/>
      </w:pPr>
      <w:rPr>
        <w:rFonts w:hint="default"/>
      </w:rPr>
    </w:lvl>
    <w:lvl w:ilvl="3" w:tplc="02DE6BAC">
      <w:start w:val="8"/>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C76BE5"/>
    <w:multiLevelType w:val="hybridMultilevel"/>
    <w:tmpl w:val="2CA2A1AE"/>
    <w:lvl w:ilvl="0" w:tplc="70AA8434">
      <w:start w:val="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7C157A0"/>
    <w:multiLevelType w:val="multilevel"/>
    <w:tmpl w:val="B3FA2BB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27D41D7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8DD67A7"/>
    <w:multiLevelType w:val="hybridMultilevel"/>
    <w:tmpl w:val="FF980E5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4">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3BD5C0F"/>
    <w:multiLevelType w:val="hybridMultilevel"/>
    <w:tmpl w:val="CF98A218"/>
    <w:lvl w:ilvl="0" w:tplc="2E6C679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48E53BE7"/>
    <w:multiLevelType w:val="hybridMultilevel"/>
    <w:tmpl w:val="BADC21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52A13CBC"/>
    <w:multiLevelType w:val="hybridMultilevel"/>
    <w:tmpl w:val="71B0F858"/>
    <w:lvl w:ilvl="0" w:tplc="7D082EF6">
      <w:start w:val="1"/>
      <w:numFmt w:val="upperLetter"/>
      <w:pStyle w:val="Style1"/>
      <w:lvlText w:val="%1."/>
      <w:lvlJc w:val="left"/>
      <w:pPr>
        <w:tabs>
          <w:tab w:val="num" w:pos="1080"/>
        </w:tabs>
        <w:ind w:left="1080" w:hanging="360"/>
      </w:pPr>
    </w:lvl>
    <w:lvl w:ilvl="1" w:tplc="FFFFFFFF">
      <w:start w:val="1"/>
      <w:numFmt w:val="lowerRoman"/>
      <w:lvlText w:val="%2."/>
      <w:lvlJc w:val="righ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2CF2406"/>
    <w:multiLevelType w:val="hybridMultilevel"/>
    <w:tmpl w:val="82627904"/>
    <w:lvl w:ilvl="0" w:tplc="EEF83312">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
    <w:nsid w:val="533135B0"/>
    <w:multiLevelType w:val="hybridMultilevel"/>
    <w:tmpl w:val="C186E5A4"/>
    <w:lvl w:ilvl="0" w:tplc="EEF8331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2">
    <w:nsid w:val="538F5A7B"/>
    <w:multiLevelType w:val="hybridMultilevel"/>
    <w:tmpl w:val="BD305AFC"/>
    <w:lvl w:ilvl="0" w:tplc="EEF83312">
      <w:start w:val="1"/>
      <w:numFmt w:val="lowerLetter"/>
      <w:lvlText w:val="%1)"/>
      <w:lvlJc w:val="left"/>
      <w:pPr>
        <w:tabs>
          <w:tab w:val="num" w:pos="2520"/>
        </w:tabs>
        <w:ind w:left="252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CDF158A"/>
    <w:multiLevelType w:val="hybridMultilevel"/>
    <w:tmpl w:val="4BF41D08"/>
    <w:lvl w:ilvl="0" w:tplc="2B30472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5">
    <w:nsid w:val="5E4A0649"/>
    <w:multiLevelType w:val="hybridMultilevel"/>
    <w:tmpl w:val="85D6FB2C"/>
    <w:lvl w:ilvl="0" w:tplc="7304BB36">
      <w:start w:val="1"/>
      <w:numFmt w:val="lowerLetter"/>
      <w:lvlText w:val="%1."/>
      <w:lvlJc w:val="left"/>
      <w:pPr>
        <w:ind w:left="1440" w:hanging="360"/>
      </w:pPr>
      <w:rPr>
        <w:rFonts w:ascii="Times New Roman" w:hAnsi="Times New Roman"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27">
    <w:nsid w:val="5F993680"/>
    <w:multiLevelType w:val="hybridMultilevel"/>
    <w:tmpl w:val="2A0800E8"/>
    <w:lvl w:ilvl="0" w:tplc="7D76A2A0">
      <w:start w:val="2"/>
      <w:numFmt w:val="decimal"/>
      <w:lvlText w:val="%1."/>
      <w:lvlJc w:val="left"/>
      <w:pPr>
        <w:tabs>
          <w:tab w:val="num" w:pos="2880"/>
        </w:tabs>
        <w:ind w:left="28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2E65333"/>
    <w:multiLevelType w:val="hybridMultilevel"/>
    <w:tmpl w:val="24F0922C"/>
    <w:lvl w:ilvl="0" w:tplc="82A2079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30">
    <w:nsid w:val="64BE1D9B"/>
    <w:multiLevelType w:val="hybridMultilevel"/>
    <w:tmpl w:val="A1D2825E"/>
    <w:lvl w:ilvl="0" w:tplc="DC8434C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5640C95"/>
    <w:multiLevelType w:val="hybridMultilevel"/>
    <w:tmpl w:val="B91AC99A"/>
    <w:lvl w:ilvl="0" w:tplc="EEF8331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2">
    <w:nsid w:val="693F75D6"/>
    <w:multiLevelType w:val="hybridMultilevel"/>
    <w:tmpl w:val="063816A8"/>
    <w:lvl w:ilvl="0" w:tplc="DC8434C4">
      <w:start w:val="1"/>
      <w:numFmt w:val="lowerRoman"/>
      <w:lvlText w:val="%1."/>
      <w:lvlJc w:val="left"/>
      <w:pPr>
        <w:ind w:left="2880" w:hanging="72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BAC69B4"/>
    <w:multiLevelType w:val="hybridMultilevel"/>
    <w:tmpl w:val="D45A05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BCB0D91"/>
    <w:multiLevelType w:val="hybridMultilevel"/>
    <w:tmpl w:val="E7E830D6"/>
    <w:lvl w:ilvl="0" w:tplc="F39AE0C0">
      <w:start w:val="1"/>
      <w:numFmt w:val="upperLetter"/>
      <w:lvlText w:val="%1."/>
      <w:lvlJc w:val="left"/>
      <w:pPr>
        <w:ind w:left="144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5713A6"/>
    <w:multiLevelType w:val="hybridMultilevel"/>
    <w:tmpl w:val="005E86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D411C20"/>
    <w:multiLevelType w:val="hybridMultilevel"/>
    <w:tmpl w:val="E7C06C18"/>
    <w:lvl w:ilvl="0" w:tplc="182233D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DEA6876"/>
    <w:multiLevelType w:val="hybridMultilevel"/>
    <w:tmpl w:val="70109E92"/>
    <w:lvl w:ilvl="0" w:tplc="5950B64A">
      <w:start w:val="1"/>
      <w:numFmt w:val="decimal"/>
      <w:lvlText w:val="%1."/>
      <w:lvlJc w:val="left"/>
      <w:pPr>
        <w:ind w:left="216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641FFF"/>
    <w:multiLevelType w:val="hybridMultilevel"/>
    <w:tmpl w:val="DBC0DBB2"/>
    <w:lvl w:ilvl="0" w:tplc="0409000F">
      <w:start w:val="1"/>
      <w:numFmt w:val="decimal"/>
      <w:lvlText w:val="%1."/>
      <w:lvlJc w:val="left"/>
      <w:pPr>
        <w:tabs>
          <w:tab w:val="num" w:pos="1440"/>
        </w:tabs>
        <w:ind w:left="1440" w:hanging="360"/>
      </w:pPr>
    </w:lvl>
    <w:lvl w:ilvl="1" w:tplc="FFFFFFFF">
      <w:start w:val="1"/>
      <w:numFmt w:val="lowerRoman"/>
      <w:lvlText w:val="%2."/>
      <w:lvlJc w:val="right"/>
      <w:pPr>
        <w:tabs>
          <w:tab w:val="num" w:pos="2160"/>
        </w:tabs>
        <w:ind w:left="2160" w:hanging="360"/>
      </w:pPr>
    </w:lvl>
    <w:lvl w:ilvl="2" w:tplc="D79ADF96">
      <w:start w:val="1"/>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9"/>
  </w:num>
  <w:num w:numId="2">
    <w:abstractNumId w:val="18"/>
  </w:num>
  <w:num w:numId="3">
    <w:abstractNumId w:val="16"/>
  </w:num>
  <w:num w:numId="4">
    <w:abstractNumId w:val="24"/>
  </w:num>
  <w:num w:numId="5">
    <w:abstractNumId w:val="1"/>
  </w:num>
  <w:num w:numId="6">
    <w:abstractNumId w:val="26"/>
  </w:num>
  <w:num w:numId="7">
    <w:abstractNumId w:val="14"/>
  </w:num>
  <w:num w:numId="8">
    <w:abstractNumId w:val="12"/>
  </w:num>
  <w:num w:numId="9">
    <w:abstractNumId w:val="13"/>
  </w:num>
  <w:num w:numId="10">
    <w:abstractNumId w:val="3"/>
  </w:num>
  <w:num w:numId="11">
    <w:abstractNumId w:val="30"/>
  </w:num>
  <w:num w:numId="12">
    <w:abstractNumId w:val="11"/>
  </w:num>
  <w:num w:numId="13">
    <w:abstractNumId w:val="32"/>
  </w:num>
  <w:num w:numId="14">
    <w:abstractNumId w:val="22"/>
  </w:num>
  <w:num w:numId="15">
    <w:abstractNumId w:val="33"/>
  </w:num>
  <w:num w:numId="16">
    <w:abstractNumId w:val="19"/>
  </w:num>
  <w:num w:numId="17">
    <w:abstractNumId w:val="38"/>
  </w:num>
  <w:num w:numId="18">
    <w:abstractNumId w:val="0"/>
  </w:num>
  <w:num w:numId="19">
    <w:abstractNumId w:val="23"/>
  </w:num>
  <w:num w:numId="20">
    <w:abstractNumId w:val="8"/>
  </w:num>
  <w:num w:numId="21">
    <w:abstractNumId w:val="31"/>
  </w:num>
  <w:num w:numId="22">
    <w:abstractNumId w:val="2"/>
  </w:num>
  <w:num w:numId="23">
    <w:abstractNumId w:val="21"/>
  </w:num>
  <w:num w:numId="24">
    <w:abstractNumId w:val="20"/>
  </w:num>
  <w:num w:numId="25">
    <w:abstractNumId w:val="4"/>
  </w:num>
  <w:num w:numId="26">
    <w:abstractNumId w:val="28"/>
  </w:num>
  <w:num w:numId="27">
    <w:abstractNumId w:val="5"/>
  </w:num>
  <w:num w:numId="28">
    <w:abstractNumId w:val="7"/>
  </w:num>
  <w:num w:numId="29">
    <w:abstractNumId w:val="27"/>
  </w:num>
  <w:num w:numId="30">
    <w:abstractNumId w:val="6"/>
  </w:num>
  <w:num w:numId="31">
    <w:abstractNumId w:val="35"/>
  </w:num>
  <w:num w:numId="32">
    <w:abstractNumId w:val="10"/>
  </w:num>
  <w:num w:numId="33">
    <w:abstractNumId w:val="9"/>
  </w:num>
  <w:num w:numId="34">
    <w:abstractNumId w:val="17"/>
  </w:num>
  <w:num w:numId="35">
    <w:abstractNumId w:val="25"/>
  </w:num>
  <w:num w:numId="36">
    <w:abstractNumId w:val="34"/>
  </w:num>
  <w:num w:numId="37">
    <w:abstractNumId w:val="15"/>
  </w:num>
  <w:num w:numId="38">
    <w:abstractNumId w:val="37"/>
  </w:num>
  <w:num w:numId="39">
    <w:abstractNumId w:val="36"/>
  </w:num>
  <w:num w:numId="4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37FF7"/>
    <w:rsid w:val="00007831"/>
    <w:rsid w:val="0002344F"/>
    <w:rsid w:val="00023B38"/>
    <w:rsid w:val="0003448D"/>
    <w:rsid w:val="00035068"/>
    <w:rsid w:val="000356BE"/>
    <w:rsid w:val="00050595"/>
    <w:rsid w:val="00053778"/>
    <w:rsid w:val="00070FCA"/>
    <w:rsid w:val="00080391"/>
    <w:rsid w:val="00082230"/>
    <w:rsid w:val="000B0813"/>
    <w:rsid w:val="000B0953"/>
    <w:rsid w:val="000B0C80"/>
    <w:rsid w:val="000B16BD"/>
    <w:rsid w:val="000B63A8"/>
    <w:rsid w:val="000D43CC"/>
    <w:rsid w:val="000D4C75"/>
    <w:rsid w:val="000D5FD6"/>
    <w:rsid w:val="000D6483"/>
    <w:rsid w:val="00101C48"/>
    <w:rsid w:val="00116BD1"/>
    <w:rsid w:val="0012621F"/>
    <w:rsid w:val="001303B1"/>
    <w:rsid w:val="00133F5A"/>
    <w:rsid w:val="00136A98"/>
    <w:rsid w:val="00142C87"/>
    <w:rsid w:val="00166197"/>
    <w:rsid w:val="00181FDA"/>
    <w:rsid w:val="001C3290"/>
    <w:rsid w:val="001E612A"/>
    <w:rsid w:val="001F3ABF"/>
    <w:rsid w:val="0020192C"/>
    <w:rsid w:val="00204B2E"/>
    <w:rsid w:val="002102F5"/>
    <w:rsid w:val="00214B5A"/>
    <w:rsid w:val="00233D32"/>
    <w:rsid w:val="002377D3"/>
    <w:rsid w:val="002416FE"/>
    <w:rsid w:val="00246470"/>
    <w:rsid w:val="00251CC8"/>
    <w:rsid w:val="00253633"/>
    <w:rsid w:val="00254411"/>
    <w:rsid w:val="002622C4"/>
    <w:rsid w:val="00262320"/>
    <w:rsid w:val="00292053"/>
    <w:rsid w:val="00293360"/>
    <w:rsid w:val="002B023A"/>
    <w:rsid w:val="002B2AE3"/>
    <w:rsid w:val="002C64BD"/>
    <w:rsid w:val="002D07F1"/>
    <w:rsid w:val="002E7965"/>
    <w:rsid w:val="002F3C6B"/>
    <w:rsid w:val="003020A2"/>
    <w:rsid w:val="0031272D"/>
    <w:rsid w:val="00327099"/>
    <w:rsid w:val="0032785B"/>
    <w:rsid w:val="00333A7A"/>
    <w:rsid w:val="003364C3"/>
    <w:rsid w:val="0034121A"/>
    <w:rsid w:val="0036121D"/>
    <w:rsid w:val="00384866"/>
    <w:rsid w:val="00395B94"/>
    <w:rsid w:val="00396FE0"/>
    <w:rsid w:val="003A4D99"/>
    <w:rsid w:val="003B277D"/>
    <w:rsid w:val="003B4888"/>
    <w:rsid w:val="003C14B3"/>
    <w:rsid w:val="003D25AC"/>
    <w:rsid w:val="003D5784"/>
    <w:rsid w:val="003E46FF"/>
    <w:rsid w:val="003E49A4"/>
    <w:rsid w:val="003E5035"/>
    <w:rsid w:val="003E6C16"/>
    <w:rsid w:val="003E7990"/>
    <w:rsid w:val="00400CA2"/>
    <w:rsid w:val="00402C20"/>
    <w:rsid w:val="00417C23"/>
    <w:rsid w:val="0044047E"/>
    <w:rsid w:val="004425FB"/>
    <w:rsid w:val="00474D62"/>
    <w:rsid w:val="00492D82"/>
    <w:rsid w:val="004965C7"/>
    <w:rsid w:val="004A337A"/>
    <w:rsid w:val="004B38F7"/>
    <w:rsid w:val="004B5076"/>
    <w:rsid w:val="004D2D7E"/>
    <w:rsid w:val="004D6C81"/>
    <w:rsid w:val="004D7140"/>
    <w:rsid w:val="004E669D"/>
    <w:rsid w:val="004E6D38"/>
    <w:rsid w:val="00501FF0"/>
    <w:rsid w:val="00507805"/>
    <w:rsid w:val="00510171"/>
    <w:rsid w:val="0052356F"/>
    <w:rsid w:val="00532899"/>
    <w:rsid w:val="00571656"/>
    <w:rsid w:val="00574253"/>
    <w:rsid w:val="005946B6"/>
    <w:rsid w:val="00595811"/>
    <w:rsid w:val="00595822"/>
    <w:rsid w:val="005B04DF"/>
    <w:rsid w:val="005B6BFA"/>
    <w:rsid w:val="005D2523"/>
    <w:rsid w:val="005E3642"/>
    <w:rsid w:val="005F3F8D"/>
    <w:rsid w:val="005F597D"/>
    <w:rsid w:val="005F5C25"/>
    <w:rsid w:val="005F6E88"/>
    <w:rsid w:val="00602F8D"/>
    <w:rsid w:val="00613CD7"/>
    <w:rsid w:val="0062368D"/>
    <w:rsid w:val="00624AEA"/>
    <w:rsid w:val="00626B27"/>
    <w:rsid w:val="00632862"/>
    <w:rsid w:val="00640DD7"/>
    <w:rsid w:val="00646261"/>
    <w:rsid w:val="00652F20"/>
    <w:rsid w:val="006537F3"/>
    <w:rsid w:val="006562BF"/>
    <w:rsid w:val="00675C38"/>
    <w:rsid w:val="0068288F"/>
    <w:rsid w:val="006B2B5A"/>
    <w:rsid w:val="006B5146"/>
    <w:rsid w:val="006B572B"/>
    <w:rsid w:val="006B5945"/>
    <w:rsid w:val="006D02BE"/>
    <w:rsid w:val="006D0B8B"/>
    <w:rsid w:val="006D32B1"/>
    <w:rsid w:val="006D58C4"/>
    <w:rsid w:val="006D6F0B"/>
    <w:rsid w:val="006E1F73"/>
    <w:rsid w:val="006E24D0"/>
    <w:rsid w:val="006E30EE"/>
    <w:rsid w:val="006E3CDE"/>
    <w:rsid w:val="006E4406"/>
    <w:rsid w:val="006F0B7C"/>
    <w:rsid w:val="006F0EDB"/>
    <w:rsid w:val="006F6D6E"/>
    <w:rsid w:val="007145FD"/>
    <w:rsid w:val="00716C7E"/>
    <w:rsid w:val="007239D1"/>
    <w:rsid w:val="00732A35"/>
    <w:rsid w:val="0075335D"/>
    <w:rsid w:val="00753F60"/>
    <w:rsid w:val="007630E2"/>
    <w:rsid w:val="00774FB2"/>
    <w:rsid w:val="007A0851"/>
    <w:rsid w:val="007B0E96"/>
    <w:rsid w:val="007B78A9"/>
    <w:rsid w:val="007B7AC8"/>
    <w:rsid w:val="007C4712"/>
    <w:rsid w:val="007D2B65"/>
    <w:rsid w:val="007D55C3"/>
    <w:rsid w:val="007E1CA1"/>
    <w:rsid w:val="0080504E"/>
    <w:rsid w:val="0080611E"/>
    <w:rsid w:val="00806692"/>
    <w:rsid w:val="008107EE"/>
    <w:rsid w:val="00825BC4"/>
    <w:rsid w:val="008328E7"/>
    <w:rsid w:val="008411DB"/>
    <w:rsid w:val="008465EC"/>
    <w:rsid w:val="00866899"/>
    <w:rsid w:val="0088206E"/>
    <w:rsid w:val="00893C52"/>
    <w:rsid w:val="008B3420"/>
    <w:rsid w:val="008C48A5"/>
    <w:rsid w:val="009016CC"/>
    <w:rsid w:val="00902769"/>
    <w:rsid w:val="00914A4E"/>
    <w:rsid w:val="009211B9"/>
    <w:rsid w:val="00934799"/>
    <w:rsid w:val="00945B36"/>
    <w:rsid w:val="009647F0"/>
    <w:rsid w:val="00967812"/>
    <w:rsid w:val="00967E54"/>
    <w:rsid w:val="009732A4"/>
    <w:rsid w:val="0097773B"/>
    <w:rsid w:val="009A71DD"/>
    <w:rsid w:val="009B3984"/>
    <w:rsid w:val="009B6186"/>
    <w:rsid w:val="009B7587"/>
    <w:rsid w:val="009C059B"/>
    <w:rsid w:val="009C38A6"/>
    <w:rsid w:val="009C51AC"/>
    <w:rsid w:val="009E3BFE"/>
    <w:rsid w:val="009E6B6B"/>
    <w:rsid w:val="00A02E08"/>
    <w:rsid w:val="00A03405"/>
    <w:rsid w:val="00A07969"/>
    <w:rsid w:val="00A1117A"/>
    <w:rsid w:val="00A26D7D"/>
    <w:rsid w:val="00A42DC6"/>
    <w:rsid w:val="00A50B42"/>
    <w:rsid w:val="00A53A7D"/>
    <w:rsid w:val="00A55A9B"/>
    <w:rsid w:val="00A66B5A"/>
    <w:rsid w:val="00A71046"/>
    <w:rsid w:val="00A74DB8"/>
    <w:rsid w:val="00A80B13"/>
    <w:rsid w:val="00A8251F"/>
    <w:rsid w:val="00A9408B"/>
    <w:rsid w:val="00AA07A8"/>
    <w:rsid w:val="00AB2FC2"/>
    <w:rsid w:val="00AB5BA4"/>
    <w:rsid w:val="00AC314E"/>
    <w:rsid w:val="00AC44D4"/>
    <w:rsid w:val="00AD4C96"/>
    <w:rsid w:val="00AD59DB"/>
    <w:rsid w:val="00AD633E"/>
    <w:rsid w:val="00AF530A"/>
    <w:rsid w:val="00B0009B"/>
    <w:rsid w:val="00B23242"/>
    <w:rsid w:val="00B26632"/>
    <w:rsid w:val="00B41390"/>
    <w:rsid w:val="00B467A9"/>
    <w:rsid w:val="00B56734"/>
    <w:rsid w:val="00B60F34"/>
    <w:rsid w:val="00B8213C"/>
    <w:rsid w:val="00B90602"/>
    <w:rsid w:val="00B94738"/>
    <w:rsid w:val="00BA17D7"/>
    <w:rsid w:val="00BA4F5A"/>
    <w:rsid w:val="00BB0779"/>
    <w:rsid w:val="00BD0C9D"/>
    <w:rsid w:val="00BD0D2D"/>
    <w:rsid w:val="00BD3DD2"/>
    <w:rsid w:val="00BD65B9"/>
    <w:rsid w:val="00BE1290"/>
    <w:rsid w:val="00BE64DE"/>
    <w:rsid w:val="00C02295"/>
    <w:rsid w:val="00C03B88"/>
    <w:rsid w:val="00C041EE"/>
    <w:rsid w:val="00C22AB4"/>
    <w:rsid w:val="00C32E5A"/>
    <w:rsid w:val="00C37FF7"/>
    <w:rsid w:val="00C57C07"/>
    <w:rsid w:val="00C662D1"/>
    <w:rsid w:val="00C738C0"/>
    <w:rsid w:val="00C9630B"/>
    <w:rsid w:val="00CA2CE5"/>
    <w:rsid w:val="00CA2E2A"/>
    <w:rsid w:val="00CB0901"/>
    <w:rsid w:val="00CB1418"/>
    <w:rsid w:val="00CB2E4F"/>
    <w:rsid w:val="00CB4253"/>
    <w:rsid w:val="00CB4CAF"/>
    <w:rsid w:val="00CC0831"/>
    <w:rsid w:val="00CF4B5F"/>
    <w:rsid w:val="00CF6F7A"/>
    <w:rsid w:val="00CF70E4"/>
    <w:rsid w:val="00D009F9"/>
    <w:rsid w:val="00D1041F"/>
    <w:rsid w:val="00D1043B"/>
    <w:rsid w:val="00D22A15"/>
    <w:rsid w:val="00D44364"/>
    <w:rsid w:val="00D4710E"/>
    <w:rsid w:val="00D523F5"/>
    <w:rsid w:val="00D613D4"/>
    <w:rsid w:val="00D7152A"/>
    <w:rsid w:val="00D728BB"/>
    <w:rsid w:val="00D9399F"/>
    <w:rsid w:val="00DA2B39"/>
    <w:rsid w:val="00DC4F86"/>
    <w:rsid w:val="00DC7DA6"/>
    <w:rsid w:val="00DF1932"/>
    <w:rsid w:val="00E00E57"/>
    <w:rsid w:val="00E11269"/>
    <w:rsid w:val="00E4538E"/>
    <w:rsid w:val="00E72BA3"/>
    <w:rsid w:val="00E81A72"/>
    <w:rsid w:val="00E90773"/>
    <w:rsid w:val="00E92673"/>
    <w:rsid w:val="00EA31A4"/>
    <w:rsid w:val="00EB28AE"/>
    <w:rsid w:val="00EB713B"/>
    <w:rsid w:val="00EC4775"/>
    <w:rsid w:val="00EE4622"/>
    <w:rsid w:val="00EF5ADD"/>
    <w:rsid w:val="00F0059D"/>
    <w:rsid w:val="00F0529E"/>
    <w:rsid w:val="00F34996"/>
    <w:rsid w:val="00F45FCC"/>
    <w:rsid w:val="00F65DD5"/>
    <w:rsid w:val="00F73B08"/>
    <w:rsid w:val="00F81932"/>
    <w:rsid w:val="00F85DDD"/>
    <w:rsid w:val="00F95136"/>
    <w:rsid w:val="00FA6747"/>
    <w:rsid w:val="00FB5ED0"/>
    <w:rsid w:val="00FB6DDB"/>
    <w:rsid w:val="00FC4A81"/>
    <w:rsid w:val="00FD3DAD"/>
    <w:rsid w:val="00FF1876"/>
    <w:rsid w:val="00FF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rsid w:val="00632862"/>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semiHidden/>
    <w:unhideWhenUsed/>
    <w:rsid w:val="00C37FF7"/>
    <w:pPr>
      <w:tabs>
        <w:tab w:val="center" w:pos="4680"/>
        <w:tab w:val="right" w:pos="9360"/>
      </w:tabs>
    </w:pPr>
  </w:style>
  <w:style w:type="character" w:customStyle="1" w:styleId="FooterChar">
    <w:name w:val="Footer Char"/>
    <w:basedOn w:val="DefaultParagraphFont"/>
    <w:link w:val="Footer"/>
    <w:uiPriority w:val="99"/>
    <w:semiHidden/>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99"/>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9732A4"/>
    <w:pPr>
      <w:numPr>
        <w:numId w:val="9"/>
      </w:numPr>
    </w:pPr>
    <w:rPr>
      <w:noProof/>
      <w:szCs w:val="20"/>
      <w:u w:val="single"/>
    </w:rPr>
  </w:style>
  <w:style w:type="paragraph" w:customStyle="1" w:styleId="ExhibitC2">
    <w:name w:val="ExhibitC2"/>
    <w:basedOn w:val="Normal"/>
    <w:rsid w:val="009732A4"/>
    <w:pPr>
      <w:numPr>
        <w:ilvl w:val="1"/>
        <w:numId w:val="9"/>
      </w:numPr>
    </w:pPr>
    <w:rPr>
      <w:noProof/>
      <w:szCs w:val="20"/>
    </w:rPr>
  </w:style>
  <w:style w:type="paragraph" w:customStyle="1" w:styleId="ExhibitC3">
    <w:name w:val="ExhibitC3"/>
    <w:basedOn w:val="Normal"/>
    <w:rsid w:val="009732A4"/>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9732A4"/>
    <w:pPr>
      <w:numPr>
        <w:ilvl w:val="3"/>
        <w:numId w:val="9"/>
      </w:numPr>
      <w:spacing w:before="120" w:after="120"/>
    </w:pPr>
    <w:rPr>
      <w:szCs w:val="20"/>
    </w:rPr>
  </w:style>
  <w:style w:type="paragraph" w:customStyle="1" w:styleId="ExhibitC5">
    <w:name w:val="ExhibitC5"/>
    <w:basedOn w:val="Normal"/>
    <w:rsid w:val="009732A4"/>
    <w:pPr>
      <w:numPr>
        <w:ilvl w:val="4"/>
        <w:numId w:val="9"/>
      </w:numPr>
      <w:spacing w:before="120" w:after="120"/>
    </w:pPr>
    <w:rPr>
      <w:szCs w:val="20"/>
    </w:rPr>
  </w:style>
  <w:style w:type="paragraph" w:customStyle="1" w:styleId="ExhibitC6">
    <w:name w:val="ExhibitC6"/>
    <w:basedOn w:val="Normal"/>
    <w:rsid w:val="009732A4"/>
    <w:pPr>
      <w:numPr>
        <w:ilvl w:val="5"/>
        <w:numId w:val="9"/>
      </w:numPr>
      <w:spacing w:before="120" w:after="120"/>
    </w:pPr>
    <w:rPr>
      <w:szCs w:val="20"/>
    </w:rPr>
  </w:style>
  <w:style w:type="paragraph" w:customStyle="1" w:styleId="ExhibitC7">
    <w:name w:val="ExhibitC7"/>
    <w:basedOn w:val="Normal"/>
    <w:rsid w:val="009732A4"/>
    <w:pPr>
      <w:numPr>
        <w:ilvl w:val="6"/>
        <w:numId w:val="9"/>
      </w:numPr>
      <w:spacing w:before="120" w:after="120"/>
    </w:pPr>
    <w:rPr>
      <w:szCs w:val="20"/>
    </w:rPr>
  </w:style>
  <w:style w:type="paragraph" w:customStyle="1" w:styleId="RFPText">
    <w:name w:val="RFPText"/>
    <w:basedOn w:val="Normal"/>
    <w:link w:val="RFPTextChar"/>
    <w:autoRedefine/>
    <w:rsid w:val="000B16BD"/>
    <w:pPr>
      <w:ind w:left="720"/>
    </w:pPr>
    <w:rPr>
      <w:szCs w:val="20"/>
    </w:rPr>
  </w:style>
  <w:style w:type="paragraph" w:customStyle="1" w:styleId="RFP10">
    <w:name w:val="RFP(1)"/>
    <w:basedOn w:val="Normal"/>
    <w:autoRedefine/>
    <w:rsid w:val="00A03405"/>
    <w:rPr>
      <w:sz w:val="22"/>
      <w:szCs w:val="20"/>
    </w:rPr>
  </w:style>
  <w:style w:type="paragraph" w:customStyle="1" w:styleId="Style1">
    <w:name w:val="Style1"/>
    <w:basedOn w:val="Normal"/>
    <w:rsid w:val="001C3290"/>
    <w:pPr>
      <w:numPr>
        <w:numId w:val="16"/>
      </w:numPr>
    </w:pPr>
    <w:rPr>
      <w:sz w:val="26"/>
      <w:szCs w:val="20"/>
    </w:rPr>
  </w:style>
  <w:style w:type="paragraph" w:customStyle="1" w:styleId="ExhibitB1">
    <w:name w:val="ExhibitB1"/>
    <w:basedOn w:val="Normal"/>
    <w:rsid w:val="00D9399F"/>
    <w:pPr>
      <w:keepNext/>
      <w:numPr>
        <w:numId w:val="22"/>
      </w:numPr>
      <w:tabs>
        <w:tab w:val="left" w:pos="1296"/>
        <w:tab w:val="left" w:pos="2016"/>
        <w:tab w:val="left" w:pos="2592"/>
        <w:tab w:val="left" w:pos="4176"/>
        <w:tab w:val="left" w:pos="10710"/>
      </w:tabs>
      <w:outlineLvl w:val="0"/>
    </w:pPr>
    <w:rPr>
      <w:szCs w:val="20"/>
      <w:u w:val="single"/>
    </w:rPr>
  </w:style>
  <w:style w:type="paragraph" w:customStyle="1" w:styleId="ExhibitB2">
    <w:name w:val="ExhibitB2"/>
    <w:basedOn w:val="Normal"/>
    <w:rsid w:val="00D9399F"/>
    <w:pPr>
      <w:keepNext/>
      <w:numPr>
        <w:ilvl w:val="1"/>
        <w:numId w:val="22"/>
      </w:numPr>
      <w:tabs>
        <w:tab w:val="left" w:pos="2016"/>
        <w:tab w:val="left" w:pos="2592"/>
        <w:tab w:val="left" w:pos="4176"/>
        <w:tab w:val="left" w:pos="10710"/>
      </w:tabs>
      <w:ind w:right="187"/>
      <w:outlineLvl w:val="0"/>
    </w:pPr>
    <w:rPr>
      <w:szCs w:val="20"/>
    </w:rPr>
  </w:style>
  <w:style w:type="paragraph" w:customStyle="1" w:styleId="ExhibitB3">
    <w:name w:val="ExhibitB3"/>
    <w:basedOn w:val="Normal"/>
    <w:rsid w:val="00D9399F"/>
    <w:pPr>
      <w:keepNext/>
      <w:numPr>
        <w:ilvl w:val="2"/>
        <w:numId w:val="22"/>
      </w:numPr>
      <w:tabs>
        <w:tab w:val="left" w:pos="1296"/>
        <w:tab w:val="left" w:pos="2592"/>
        <w:tab w:val="left" w:pos="4176"/>
        <w:tab w:val="left" w:pos="10710"/>
      </w:tabs>
      <w:ind w:right="180"/>
      <w:outlineLvl w:val="0"/>
    </w:pPr>
    <w:rPr>
      <w:szCs w:val="20"/>
    </w:rPr>
  </w:style>
  <w:style w:type="character" w:customStyle="1" w:styleId="Heading4Char">
    <w:name w:val="Heading 4 Char"/>
    <w:basedOn w:val="DefaultParagraphFont"/>
    <w:link w:val="Heading4"/>
    <w:uiPriority w:val="9"/>
    <w:semiHidden/>
    <w:rsid w:val="00632862"/>
    <w:rPr>
      <w:rFonts w:asciiTheme="majorHAnsi" w:eastAsiaTheme="majorEastAsia" w:hAnsiTheme="majorHAnsi" w:cstheme="majorBidi"/>
      <w:b/>
      <w:bCs/>
      <w:i/>
      <w:iCs/>
      <w:color w:val="4F81BD" w:themeColor="accent1"/>
      <w:lang w:bidi="ar-SA"/>
    </w:rPr>
  </w:style>
  <w:style w:type="table" w:styleId="TableGrid">
    <w:name w:val="Table Grid"/>
    <w:basedOn w:val="TableNormal"/>
    <w:uiPriority w:val="59"/>
    <w:rsid w:val="00E9077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2">
    <w:name w:val="Style2"/>
    <w:basedOn w:val="RFPText"/>
    <w:link w:val="Style2Char"/>
    <w:qFormat/>
    <w:rsid w:val="000B16BD"/>
  </w:style>
  <w:style w:type="character" w:customStyle="1" w:styleId="RFPTextChar">
    <w:name w:val="RFPText Char"/>
    <w:basedOn w:val="DefaultParagraphFont"/>
    <w:link w:val="RFPText"/>
    <w:rsid w:val="000B16BD"/>
    <w:rPr>
      <w:rFonts w:ascii="Times New Roman" w:eastAsia="Times New Roman" w:hAnsi="Times New Roman"/>
      <w:szCs w:val="20"/>
      <w:lang w:bidi="ar-SA"/>
    </w:rPr>
  </w:style>
  <w:style w:type="character" w:customStyle="1" w:styleId="Style2Char">
    <w:name w:val="Style2 Char"/>
    <w:basedOn w:val="RFPTextChar"/>
    <w:link w:val="Style2"/>
    <w:rsid w:val="000B16BD"/>
  </w:style>
</w:styles>
</file>

<file path=word/webSettings.xml><?xml version="1.0" encoding="utf-8"?>
<w:webSettings xmlns:r="http://schemas.openxmlformats.org/officeDocument/2006/relationships" xmlns:w="http://schemas.openxmlformats.org/wordprocessingml/2006/main">
  <w:divs>
    <w:div w:id="172420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licitations@jud.ca.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licitations@jud.c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olicitations@jud.ca.gov" TargetMode="External"/><Relationship Id="rId4" Type="http://schemas.openxmlformats.org/officeDocument/2006/relationships/settings" Target="settings.xml"/><Relationship Id="rId9" Type="http://schemas.openxmlformats.org/officeDocument/2006/relationships/hyperlink" Target="http://www.courts.ca.gov/rfps.htm" TargetMode="External"/><Relationship Id="rId14"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D70BF-AA09-4657-B154-1B6FD2E72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10</Pages>
  <Words>2627</Words>
  <Characters>14977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17569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 </cp:lastModifiedBy>
  <cp:revision>22</cp:revision>
  <cp:lastPrinted>2012-04-09T16:29:00Z</cp:lastPrinted>
  <dcterms:created xsi:type="dcterms:W3CDTF">2012-04-06T18:06:00Z</dcterms:created>
  <dcterms:modified xsi:type="dcterms:W3CDTF">2012-04-09T18:51:00Z</dcterms:modified>
</cp:coreProperties>
</file>