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34B12199" w:rsidR="003B3C0B" w:rsidRPr="0004499B" w:rsidRDefault="0004499B" w:rsidP="0004499B">
      <w:pPr>
        <w:widowControl w:val="0"/>
        <w:ind w:left="-720" w:hanging="4"/>
        <w:jc w:val="center"/>
        <w:rPr>
          <w:rStyle w:val="Emphasis"/>
          <w:b/>
          <w:i w:val="0"/>
        </w:rPr>
      </w:pPr>
      <w:r w:rsidRPr="0004499B">
        <w:rPr>
          <w:rStyle w:val="Emphasis"/>
          <w:b/>
          <w:i w:val="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0369F1F"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60239EF7" w:rsidR="003B3C0B" w:rsidRPr="00287443" w:rsidRDefault="001046A6" w:rsidP="001046A6">
            <w:pPr>
              <w:spacing w:before="60"/>
              <w:rPr>
                <w:b/>
                <w:sz w:val="20"/>
              </w:rPr>
            </w:pPr>
            <w:r>
              <w:rPr>
                <w:b/>
                <w:sz w:val="20"/>
                <w:highlight w:val="yellow"/>
              </w:rPr>
              <w:t>Agreement</w:t>
            </w:r>
            <w:r w:rsidR="003B3C0B" w:rsidRPr="00287443">
              <w:rPr>
                <w:b/>
                <w:sz w:val="20"/>
                <w:highlight w:val="yellow"/>
              </w:rPr>
              <w:t xml:space="preserve"> number</w:t>
            </w:r>
          </w:p>
        </w:tc>
      </w:tr>
    </w:tbl>
    <w:p w14:paraId="7DF89C28" w14:textId="3535B125"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662012" w:rsidRPr="00662012">
        <w:rPr>
          <w:sz w:val="20"/>
          <w:highlight w:val="yellow"/>
        </w:rPr>
        <w:t>“JCC”</w:t>
      </w:r>
      <w:r w:rsidR="002044B8">
        <w:rPr>
          <w:sz w:val="20"/>
          <w:highlight w:val="yellow"/>
        </w:rPr>
        <w:t xml:space="preserve"> or</w:t>
      </w:r>
      <w:r w:rsidR="00662012" w:rsidRPr="00662012">
        <w:rPr>
          <w:sz w:val="20"/>
          <w:highlight w:val="yellow"/>
        </w:rPr>
        <w:t xml:space="preserve"> </w:t>
      </w:r>
      <w:r w:rsidRPr="00662012">
        <w:rPr>
          <w:sz w:val="20"/>
          <w:highlight w:val="yellow"/>
        </w:rPr>
        <w:t>“</w:t>
      </w:r>
      <w:r w:rsidR="009B5E10" w:rsidRPr="00662012">
        <w:rPr>
          <w:sz w:val="20"/>
          <w:highlight w:val="yellow"/>
        </w:rPr>
        <w:t>J</w:t>
      </w:r>
      <w:r w:rsidR="00CE739B" w:rsidRPr="00662012">
        <w:rPr>
          <w:sz w:val="20"/>
          <w:highlight w:val="yellow"/>
        </w:rPr>
        <w:t>udicial Council</w:t>
      </w:r>
      <w:r w:rsidRPr="00662012">
        <w:rPr>
          <w:sz w:val="20"/>
          <w:highlight w:val="yellow"/>
        </w:rPr>
        <w:t xml:space="preserve">” </w:t>
      </w:r>
      <w:r w:rsidR="00662012" w:rsidRPr="00662012">
        <w:rPr>
          <w:sz w:val="20"/>
          <w:highlight w:val="yellow"/>
        </w:rPr>
        <w:t>or “J</w:t>
      </w:r>
      <w:r w:rsidR="005257B0">
        <w:rPr>
          <w:sz w:val="20"/>
          <w:highlight w:val="yellow"/>
        </w:rPr>
        <w:t>udicial Branch Entity (JBE)</w:t>
      </w:r>
      <w:r w:rsidR="00662012" w:rsidRPr="00662012">
        <w:rPr>
          <w:sz w:val="20"/>
          <w:highlight w:val="yellow"/>
        </w:rPr>
        <w:t>”</w:t>
      </w:r>
      <w:r w:rsidR="00662012">
        <w:rPr>
          <w:sz w:val="20"/>
        </w:rPr>
        <w:t xml:space="preserve"> </w:t>
      </w:r>
      <w:r w:rsidRPr="00C314CE">
        <w:rPr>
          <w:sz w:val="20"/>
        </w:rPr>
        <w:t xml:space="preserve">refers to </w:t>
      </w:r>
      <w:r w:rsidR="00CE739B" w:rsidRPr="00CE739B">
        <w:rPr>
          <w:sz w:val="20"/>
        </w:rPr>
        <w:t>the</w:t>
      </w:r>
      <w:r w:rsidR="00CE739B">
        <w:rPr>
          <w:b/>
          <w:sz w:val="20"/>
        </w:rPr>
        <w:t xml:space="preserve"> J</w:t>
      </w:r>
      <w:r w:rsidR="00701788">
        <w:rPr>
          <w:b/>
          <w:sz w:val="20"/>
        </w:rPr>
        <w:t xml:space="preserve">udicial </w:t>
      </w:r>
      <w:r w:rsidR="00CE739B">
        <w:rPr>
          <w:b/>
          <w:sz w:val="20"/>
        </w:rPr>
        <w:t>Council of California</w:t>
      </w:r>
      <w:r w:rsidRPr="00C314CE">
        <w:rPr>
          <w:sz w:val="20"/>
        </w:rPr>
        <w:t xml:space="preserve">. </w:t>
      </w:r>
    </w:p>
    <w:p w14:paraId="458BA7E3" w14:textId="0B50DE1D" w:rsidR="003B3C0B" w:rsidRPr="00287443" w:rsidRDefault="003B3C0B" w:rsidP="003B3C0B">
      <w:pPr>
        <w:ind w:left="-450" w:hanging="270"/>
        <w:rPr>
          <w:sz w:val="20"/>
        </w:rPr>
      </w:pPr>
      <w:r w:rsidRPr="00287443">
        <w:rPr>
          <w:sz w:val="20"/>
        </w:rPr>
        <w:t xml:space="preserve">2.  This Agreement is effective as of </w:t>
      </w:r>
      <w:r w:rsidR="008E58E0">
        <w:rPr>
          <w:b/>
          <w:sz w:val="20"/>
          <w:highlight w:val="yellow"/>
        </w:rPr>
        <w:t>May 1, 2020</w:t>
      </w:r>
      <w:r w:rsidRPr="00287443">
        <w:rPr>
          <w:sz w:val="20"/>
        </w:rPr>
        <w:t xml:space="preserve"> </w:t>
      </w:r>
      <w:r>
        <w:rPr>
          <w:sz w:val="20"/>
        </w:rPr>
        <w:t>(</w:t>
      </w:r>
      <w:r w:rsidRPr="00287443">
        <w:rPr>
          <w:sz w:val="20"/>
        </w:rPr>
        <w:t xml:space="preserve">“Effective Date”) and expires on </w:t>
      </w:r>
      <w:r w:rsidR="008E58E0">
        <w:rPr>
          <w:b/>
          <w:sz w:val="20"/>
          <w:highlight w:val="yellow"/>
        </w:rPr>
        <w:t>June 30, 2022</w:t>
      </w:r>
      <w:r w:rsidRPr="00287443">
        <w:rPr>
          <w:sz w:val="20"/>
        </w:rPr>
        <w:t xml:space="preserve"> (“Expiration Date”).  </w:t>
      </w:r>
    </w:p>
    <w:p w14:paraId="19B484F6" w14:textId="1AA7E63A"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8E58E0">
        <w:rPr>
          <w:sz w:val="20"/>
        </w:rPr>
        <w:t xml:space="preserve">three (3) consecutive two-year </w:t>
      </w:r>
      <w:r w:rsidRPr="00287443">
        <w:rPr>
          <w:sz w:val="20"/>
        </w:rPr>
        <w:t>option</w:t>
      </w:r>
      <w:r w:rsidR="008E58E0">
        <w:rPr>
          <w:sz w:val="20"/>
        </w:rPr>
        <w:t xml:space="preserve"> terms</w:t>
      </w:r>
      <w:r w:rsidRPr="00287443">
        <w:rPr>
          <w:sz w:val="20"/>
        </w:rPr>
        <w:t xml:space="preserve"> to extend through </w:t>
      </w:r>
      <w:r w:rsidR="008E58E0">
        <w:rPr>
          <w:b/>
          <w:sz w:val="20"/>
          <w:highlight w:val="yellow"/>
        </w:rPr>
        <w:t>June 30, 2028</w:t>
      </w:r>
      <w:r>
        <w:rPr>
          <w:sz w:val="20"/>
        </w:rPr>
        <w:t>.</w:t>
      </w:r>
      <w:r>
        <w:rPr>
          <w:sz w:val="20"/>
        </w:rPr>
        <w:tab/>
      </w:r>
    </w:p>
    <w:p w14:paraId="3D5D8E82" w14:textId="721921B6"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AD7F7F" w:rsidRPr="00AD7F7F">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AD7F7F" w:rsidRPr="00AD7F7F">
        <w:rPr>
          <w:sz w:val="20"/>
        </w:rPr>
        <w:t>Judicial Council</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B1772A">
        <w:rPr>
          <w:sz w:val="20"/>
        </w:rPr>
        <w:t xml:space="preserve">first </w:t>
      </w:r>
      <w:r w:rsidR="003646A9">
        <w:rPr>
          <w:sz w:val="20"/>
        </w:rPr>
        <w:t>Option Term</w:t>
      </w:r>
      <w:r w:rsidR="00B1772A">
        <w:rPr>
          <w:sz w:val="20"/>
        </w:rPr>
        <w:t>, iii) $</w:t>
      </w:r>
      <w:r w:rsidR="00B1772A" w:rsidRPr="00B1772A">
        <w:rPr>
          <w:sz w:val="20"/>
        </w:rPr>
        <w:t>[</w:t>
      </w:r>
      <w:r w:rsidR="00B1772A" w:rsidRPr="00CC11C8">
        <w:rPr>
          <w:sz w:val="20"/>
          <w:highlight w:val="yellow"/>
        </w:rPr>
        <w:t>Dollar amount</w:t>
      </w:r>
      <w:r w:rsidR="00B1772A" w:rsidRPr="00B1772A">
        <w:rPr>
          <w:sz w:val="20"/>
        </w:rPr>
        <w:t>] during th</w:t>
      </w:r>
      <w:r w:rsidR="00B1772A">
        <w:rPr>
          <w:sz w:val="20"/>
        </w:rPr>
        <w:t xml:space="preserve">e second </w:t>
      </w:r>
      <w:r w:rsidR="00B1772A" w:rsidRPr="00B1772A">
        <w:rPr>
          <w:sz w:val="20"/>
        </w:rPr>
        <w:t>Option Term</w:t>
      </w:r>
      <w:r w:rsidR="00B1772A">
        <w:rPr>
          <w:sz w:val="20"/>
        </w:rPr>
        <w:t>, and iv) $</w:t>
      </w:r>
      <w:r w:rsidR="00B1772A" w:rsidRPr="00B1772A">
        <w:rPr>
          <w:sz w:val="20"/>
        </w:rPr>
        <w:t xml:space="preserve">[Dollar amount] during the </w:t>
      </w:r>
      <w:r w:rsidR="00B1772A">
        <w:rPr>
          <w:sz w:val="20"/>
        </w:rPr>
        <w:t>third</w:t>
      </w:r>
      <w:r w:rsidR="00B1772A" w:rsidRPr="00B1772A">
        <w:rPr>
          <w:sz w:val="20"/>
        </w:rPr>
        <w:t xml:space="preserve"> Option Term</w:t>
      </w:r>
      <w:r w:rsidR="00B1772A">
        <w:rPr>
          <w:sz w:val="20"/>
        </w:rPr>
        <w:t>.</w:t>
      </w:r>
    </w:p>
    <w:p w14:paraId="4930F375" w14:textId="4A72C3C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F576B0">
        <w:rPr>
          <w:b/>
          <w:sz w:val="20"/>
          <w:highlight w:val="yellow"/>
        </w:rPr>
        <w:t>Judicial Branch Workers’ Compensation Risk Consulting Services</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626DA53"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w:t>
      </w:r>
      <w:r w:rsidR="00041BD3">
        <w:rPr>
          <w:sz w:val="20"/>
        </w:rPr>
        <w:t xml:space="preserve"> </w:t>
      </w:r>
      <w:r w:rsidR="00041BD3" w:rsidRPr="00041BD3">
        <w:rPr>
          <w:sz w:val="20"/>
          <w:highlight w:val="yellow"/>
        </w:rPr>
        <w:t>RFP-</w:t>
      </w:r>
      <w:r w:rsidR="008E58E0">
        <w:rPr>
          <w:sz w:val="20"/>
          <w:highlight w:val="yellow"/>
        </w:rPr>
        <w:t>JBWCP</w:t>
      </w:r>
      <w:r w:rsidR="00041BD3" w:rsidRPr="00041BD3">
        <w:rPr>
          <w:sz w:val="20"/>
          <w:highlight w:val="yellow"/>
        </w:rPr>
        <w:t>-</w:t>
      </w:r>
      <w:r w:rsidR="008E58E0">
        <w:rPr>
          <w:sz w:val="20"/>
          <w:highlight w:val="yellow"/>
        </w:rPr>
        <w:t>2019-0</w:t>
      </w:r>
      <w:r w:rsidR="00F576B0">
        <w:rPr>
          <w:sz w:val="20"/>
          <w:highlight w:val="yellow"/>
        </w:rPr>
        <w:t>7</w:t>
      </w:r>
      <w:r w:rsidR="008E58E0">
        <w:rPr>
          <w:sz w:val="20"/>
          <w:highlight w:val="yellow"/>
        </w:rPr>
        <w:t>-</w:t>
      </w:r>
      <w:r w:rsidR="00041BD3" w:rsidRPr="00041BD3">
        <w:rPr>
          <w:sz w:val="20"/>
          <w:highlight w:val="yellow"/>
        </w:rPr>
        <w:t>DM (the RFP)</w:t>
      </w:r>
      <w:r w:rsidR="00041BD3" w:rsidRPr="00041BD3">
        <w:rPr>
          <w:sz w:val="20"/>
        </w:rPr>
        <w:t>,</w:t>
      </w:r>
      <w:r w:rsidRPr="00287443">
        <w:rPr>
          <w:sz w:val="20"/>
        </w:rPr>
        <w:t xml:space="preserve">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Pr="00CD19A5" w:rsidRDefault="009341F2" w:rsidP="003B3C0B">
      <w:pPr>
        <w:pBdr>
          <w:bottom w:val="single" w:sz="6" w:space="1" w:color="auto"/>
        </w:pBdr>
        <w:ind w:left="-450" w:hanging="270"/>
        <w:rPr>
          <w:color w:val="000000" w:themeColor="text1"/>
          <w:sz w:val="20"/>
        </w:rPr>
      </w:pPr>
      <w:r>
        <w:rPr>
          <w:sz w:val="20"/>
        </w:rPr>
        <w:tab/>
        <w:t xml:space="preserve">Appendix E </w:t>
      </w:r>
      <w:r w:rsidRPr="00287443">
        <w:rPr>
          <w:sz w:val="20"/>
        </w:rPr>
        <w:t>–</w:t>
      </w:r>
      <w:r>
        <w:rPr>
          <w:sz w:val="20"/>
        </w:rPr>
        <w:t xml:space="preserve"> Unruh Civil Rights Act and FEHA Certification </w:t>
      </w:r>
      <w:r w:rsidRPr="00CD19A5">
        <w:rPr>
          <w:b/>
          <w:i/>
          <w:color w:val="000000" w:themeColor="text1"/>
          <w:sz w:val="20"/>
        </w:rPr>
        <w:t>[Only when entering into or renewing a contract $100,000 or more]</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402A05">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43FF5AC" w:rsidR="003B3C0B" w:rsidRPr="00114412" w:rsidRDefault="00AD7F7F"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402A05">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962C77">
        <w:trPr>
          <w:trHeight w:hRule="exact" w:val="909"/>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49F907FC" w:rsidR="003B3C0B" w:rsidRPr="00114412" w:rsidRDefault="00962C77" w:rsidP="00D662AB">
            <w:pPr>
              <w:jc w:val="both"/>
              <w:rPr>
                <w:sz w:val="18"/>
              </w:rPr>
            </w:pPr>
            <w:r>
              <w:rPr>
                <w:b/>
                <w:sz w:val="20"/>
              </w:rPr>
              <w:t>Judicial Council of California</w:t>
            </w:r>
          </w:p>
        </w:tc>
        <w:tc>
          <w:tcPr>
            <w:tcW w:w="462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328F299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567A6A6B" w14:textId="5905293D" w:rsidR="003B3C0B" w:rsidRPr="00114412" w:rsidRDefault="00E31872"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DDFDE11" wp14:editId="5C866DBC">
                      <wp:simplePos x="0" y="0"/>
                      <wp:positionH relativeFrom="column">
                        <wp:posOffset>171450</wp:posOffset>
                      </wp:positionH>
                      <wp:positionV relativeFrom="paragraph">
                        <wp:posOffset>1270</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D084DCE" w14:textId="77777777" w:rsidR="001C775D" w:rsidRPr="00FB4888" w:rsidRDefault="001C775D" w:rsidP="00E31872">
                                  <w:pPr>
                                    <w:spacing w:before="360"/>
                                    <w:jc w:val="center"/>
                                    <w:rPr>
                                      <w:b/>
                                      <w:smallCaps/>
                                      <w:sz w:val="48"/>
                                    </w:rPr>
                                  </w:pPr>
                                  <w:permStart w:id="800677828" w:edGrp="everyone"/>
                                  <w:r w:rsidRPr="00631BBB">
                                    <w:rPr>
                                      <w:b/>
                                      <w:smallCaps/>
                                      <w:sz w:val="48"/>
                                    </w:rPr>
                                    <w:t>Sample Only – Do Not Sign</w:t>
                                  </w:r>
                                  <w:permEnd w:id="8006778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DE11" id="Rectangle 2" o:spid="_x0000_s1026" style="position:absolute;margin-left:13.5pt;margin-top:.1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" strokecolor="#fabf8f" strokeweight="1pt">
                      <v:fill color2="#fbd4b4" focus="100%" type="gradient"/>
                      <v:shadow on="t" color="#974706" opacity=".5" offset="1pt"/>
                      <v:textbox>
                        <w:txbxContent>
                          <w:p w14:paraId="0D084DCE" w14:textId="77777777" w:rsidR="001C775D" w:rsidRPr="00FB4888" w:rsidRDefault="001C775D" w:rsidP="00E31872">
                            <w:pPr>
                              <w:spacing w:before="360"/>
                              <w:jc w:val="center"/>
                              <w:rPr>
                                <w:b/>
                                <w:smallCaps/>
                                <w:sz w:val="48"/>
                              </w:rPr>
                            </w:pPr>
                            <w:permStart w:id="800677828" w:edGrp="everyone"/>
                            <w:r w:rsidRPr="00631BBB">
                              <w:rPr>
                                <w:b/>
                                <w:smallCaps/>
                                <w:sz w:val="48"/>
                              </w:rPr>
                              <w:t>Sample Only – Do Not Sign</w:t>
                            </w:r>
                            <w:permEnd w:id="800677828"/>
                          </w:p>
                        </w:txbxContent>
                      </v:textbox>
                    </v:rect>
                  </w:pict>
                </mc:Fallback>
              </mc:AlternateContent>
            </w: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402A05">
        <w:trPr>
          <w:trHeight w:hRule="exact" w:val="699"/>
        </w:trPr>
        <w:tc>
          <w:tcPr>
            <w:tcW w:w="5460" w:type="dxa"/>
            <w:tcBorders>
              <w:top w:val="nil"/>
              <w:left w:val="single" w:sz="8" w:space="0" w:color="auto"/>
              <w:bottom w:val="single" w:sz="8" w:space="0" w:color="auto"/>
              <w:right w:val="single" w:sz="8" w:space="0" w:color="auto"/>
            </w:tcBorders>
          </w:tcPr>
          <w:p w14:paraId="61828F32" w14:textId="2BF9A01D"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041C9ECF"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402A05">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37FD80C5" w:rsidR="003B3C0B" w:rsidRPr="00287443" w:rsidRDefault="00402A05" w:rsidP="00D662AB">
            <w:pPr>
              <w:tabs>
                <w:tab w:val="left" w:pos="3600"/>
              </w:tabs>
              <w:rPr>
                <w:sz w:val="20"/>
              </w:rPr>
            </w:pPr>
            <w:r>
              <w:rPr>
                <w:b/>
                <w:sz w:val="20"/>
                <w:highlight w:val="yellow"/>
              </w:rPr>
              <w:t>Brian Walsh, Supervisor, Contracts</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356B85FE"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667507">
        <w:trPr>
          <w:trHeight w:hRule="exact" w:val="749"/>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5E898875" w:rsidR="00993261" w:rsidRPr="00114412" w:rsidRDefault="003F1B2B" w:rsidP="003F1B2B">
            <w:pPr>
              <w:tabs>
                <w:tab w:val="left" w:pos="3600"/>
              </w:tabs>
              <w:rPr>
                <w:sz w:val="14"/>
              </w:rPr>
            </w:pPr>
            <w:r>
              <w:rPr>
                <w:b/>
                <w:sz w:val="20"/>
                <w:highlight w:val="yellow"/>
              </w:rPr>
              <w:t>Date</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1813E2C8" w:rsidR="003F1B2B" w:rsidRPr="00114412" w:rsidRDefault="003F1B2B" w:rsidP="00D662AB">
            <w:pPr>
              <w:tabs>
                <w:tab w:val="left" w:pos="3600"/>
              </w:tabs>
              <w:rPr>
                <w:sz w:val="14"/>
              </w:rPr>
            </w:pPr>
            <w:r>
              <w:rPr>
                <w:b/>
                <w:sz w:val="20"/>
                <w:highlight w:val="yellow"/>
              </w:rPr>
              <w:t>Date</w:t>
            </w:r>
          </w:p>
        </w:tc>
      </w:tr>
      <w:tr w:rsidR="003B3C0B" w:rsidRPr="00114412" w14:paraId="439E5F66"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962C77">
        <w:trPr>
          <w:trHeight w:hRule="exact" w:val="1143"/>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49BC3910" w14:textId="77777777" w:rsidR="00402A05" w:rsidRPr="00402A05" w:rsidRDefault="00402A05" w:rsidP="00402A05">
            <w:pPr>
              <w:tabs>
                <w:tab w:val="left" w:pos="3600"/>
              </w:tabs>
              <w:rPr>
                <w:b/>
                <w:sz w:val="20"/>
              </w:rPr>
            </w:pPr>
            <w:r w:rsidRPr="00402A05">
              <w:rPr>
                <w:b/>
                <w:sz w:val="20"/>
              </w:rPr>
              <w:t>Attn: Procurement</w:t>
            </w:r>
          </w:p>
          <w:p w14:paraId="54E5F806" w14:textId="77777777" w:rsidR="00402A05" w:rsidRPr="00402A05" w:rsidRDefault="00402A05" w:rsidP="00402A05">
            <w:pPr>
              <w:tabs>
                <w:tab w:val="left" w:pos="3600"/>
              </w:tabs>
              <w:rPr>
                <w:b/>
                <w:sz w:val="20"/>
              </w:rPr>
            </w:pPr>
            <w:r w:rsidRPr="00402A05">
              <w:rPr>
                <w:b/>
                <w:sz w:val="20"/>
              </w:rPr>
              <w:t>Branch Accounting &amp; Procurement | Administrative Division</w:t>
            </w:r>
          </w:p>
          <w:p w14:paraId="1568D686" w14:textId="77777777" w:rsidR="00402A05" w:rsidRPr="00402A05" w:rsidRDefault="00402A05" w:rsidP="00402A05">
            <w:pPr>
              <w:tabs>
                <w:tab w:val="left" w:pos="3600"/>
              </w:tabs>
              <w:rPr>
                <w:b/>
                <w:sz w:val="20"/>
              </w:rPr>
            </w:pPr>
            <w:r w:rsidRPr="00402A05">
              <w:rPr>
                <w:b/>
                <w:sz w:val="20"/>
              </w:rPr>
              <w:t>455 Golden Gate Avenue, 6th Floor</w:t>
            </w:r>
          </w:p>
          <w:p w14:paraId="72E182B9" w14:textId="71FA8C12" w:rsidR="003B3C0B" w:rsidRPr="00287443" w:rsidRDefault="00402A05" w:rsidP="00402A05">
            <w:pPr>
              <w:tabs>
                <w:tab w:val="left" w:pos="3600"/>
              </w:tabs>
              <w:rPr>
                <w:sz w:val="20"/>
              </w:rPr>
            </w:pPr>
            <w:r w:rsidRPr="00402A05">
              <w:rPr>
                <w:b/>
                <w:sz w:val="20"/>
              </w:rPr>
              <w:t>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0234DC2A"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3D06D13E" w14:textId="10A9C2C5"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C314CE">
        <w:rPr>
          <w:b/>
          <w:sz w:val="14"/>
          <w:szCs w:val="14"/>
        </w:rPr>
        <w:t xml:space="preserve">                                                                                        </w:t>
      </w: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91803BF" w14:textId="611BB9DD" w:rsidR="00E61B6C" w:rsidRPr="00E61B6C" w:rsidRDefault="00EF6C03" w:rsidP="00E61B6C">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w:t>
      </w:r>
    </w:p>
    <w:p w14:paraId="3B50125F" w14:textId="7D025CD8" w:rsidR="0042524F" w:rsidRPr="0042524F" w:rsidRDefault="0042524F" w:rsidP="0042524F">
      <w:pPr>
        <w:pStyle w:val="ListParagraph"/>
        <w:keepNext/>
        <w:numPr>
          <w:ilvl w:val="1"/>
          <w:numId w:val="31"/>
        </w:numPr>
        <w:ind w:left="1440"/>
        <w:rPr>
          <w:rFonts w:asciiTheme="minorHAnsi" w:hAnsiTheme="minorHAnsi" w:cstheme="minorHAnsi"/>
          <w:bCs/>
          <w:sz w:val="20"/>
        </w:rPr>
      </w:pPr>
      <w:bookmarkStart w:id="0" w:name="_Hlk23173153"/>
      <w:r w:rsidRPr="0042524F">
        <w:rPr>
          <w:rFonts w:asciiTheme="minorHAnsi" w:hAnsiTheme="minorHAnsi" w:cstheme="minorHAnsi"/>
          <w:bCs/>
          <w:sz w:val="20"/>
        </w:rPr>
        <w:t xml:space="preserve">Judicial Council of California.  The Judicial Council of California (JCC) is the policymaking body of the California courts, the largest court system in the nation. Under the leadership of the Chief Justice and in accordance with the California Constitution, the council is responsible for ensuring the consistent, independent, impartial, and accessible administration of justice. Judicial Council staff help implement the council’s policies. </w:t>
      </w:r>
    </w:p>
    <w:p w14:paraId="09DDAAFF" w14:textId="77777777" w:rsidR="0042524F" w:rsidRPr="0042524F" w:rsidRDefault="0042524F" w:rsidP="0042524F">
      <w:pPr>
        <w:keepNext/>
        <w:ind w:left="1440"/>
        <w:rPr>
          <w:rFonts w:asciiTheme="minorHAnsi" w:hAnsiTheme="minorHAnsi" w:cstheme="minorHAnsi"/>
          <w:bCs/>
          <w:sz w:val="20"/>
        </w:rPr>
      </w:pPr>
    </w:p>
    <w:p w14:paraId="17F59C01" w14:textId="77777777" w:rsidR="0042524F" w:rsidRPr="0042524F" w:rsidRDefault="0042524F" w:rsidP="0042524F">
      <w:pPr>
        <w:keepNext/>
        <w:ind w:left="1440"/>
        <w:rPr>
          <w:rFonts w:asciiTheme="minorHAnsi" w:hAnsiTheme="minorHAnsi" w:cstheme="minorHAnsi"/>
          <w:bCs/>
          <w:sz w:val="20"/>
        </w:rPr>
      </w:pPr>
      <w:r w:rsidRPr="0042524F">
        <w:rPr>
          <w:rFonts w:asciiTheme="minorHAnsi" w:hAnsiTheme="minorHAnsi" w:cstheme="minorHAnsi"/>
          <w:bCs/>
          <w:sz w:val="20"/>
        </w:rPr>
        <w:t>The Judicial Branch Entities (JBE) consists of:</w:t>
      </w:r>
    </w:p>
    <w:p w14:paraId="446EA203" w14:textId="77777777" w:rsidR="0042524F" w:rsidRPr="0042524F" w:rsidRDefault="0042524F" w:rsidP="0042524F">
      <w:pPr>
        <w:keepNext/>
        <w:ind w:left="1440"/>
        <w:rPr>
          <w:rFonts w:asciiTheme="minorHAnsi" w:hAnsiTheme="minorHAnsi" w:cstheme="minorHAnsi"/>
          <w:bCs/>
          <w:sz w:val="20"/>
        </w:rPr>
      </w:pPr>
    </w:p>
    <w:p w14:paraId="634A2A26" w14:textId="77777777" w:rsidR="0042524F" w:rsidRPr="0042524F" w:rsidRDefault="0042524F" w:rsidP="0042524F">
      <w:pPr>
        <w:numPr>
          <w:ilvl w:val="0"/>
          <w:numId w:val="32"/>
        </w:numPr>
        <w:rPr>
          <w:rFonts w:asciiTheme="minorHAnsi" w:hAnsiTheme="minorHAnsi" w:cstheme="minorHAnsi"/>
          <w:bCs/>
          <w:sz w:val="20"/>
        </w:rPr>
      </w:pPr>
      <w:r w:rsidRPr="0042524F">
        <w:rPr>
          <w:rFonts w:asciiTheme="minorHAnsi" w:hAnsiTheme="minorHAnsi" w:cstheme="minorHAnsi"/>
          <w:bCs/>
          <w:sz w:val="20"/>
        </w:rPr>
        <w:t>The 58 Superior Courts of California (also referred to as trial courts-TC) located in each of the 58 Counties</w:t>
      </w:r>
    </w:p>
    <w:p w14:paraId="2F3FE493"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The Supreme Court of California (SC)</w:t>
      </w:r>
    </w:p>
    <w:p w14:paraId="41309D0A"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The District Courts of Appeal (DCA)</w:t>
      </w:r>
    </w:p>
    <w:p w14:paraId="010566F9"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 xml:space="preserve">The Habeas Corpus Resource Center (HCRC) </w:t>
      </w:r>
    </w:p>
    <w:p w14:paraId="474C05DF"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 xml:space="preserve">The Commission on Judicial Performance (CJP) </w:t>
      </w:r>
    </w:p>
    <w:p w14:paraId="4A8A0452"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The JCC, there are two locations for the JCC - San Francisco and Sacramento.</w:t>
      </w:r>
    </w:p>
    <w:bookmarkEnd w:id="0"/>
    <w:p w14:paraId="2BD48798" w14:textId="77777777" w:rsidR="0042524F" w:rsidRPr="0042524F" w:rsidRDefault="0042524F" w:rsidP="0042524F">
      <w:pPr>
        <w:rPr>
          <w:rFonts w:asciiTheme="minorHAnsi" w:hAnsiTheme="minorHAnsi" w:cstheme="minorHAnsi"/>
          <w:bCs/>
          <w:sz w:val="20"/>
        </w:rPr>
      </w:pPr>
    </w:p>
    <w:p w14:paraId="1362A8D7" w14:textId="77777777" w:rsidR="0042524F" w:rsidRPr="0042524F" w:rsidRDefault="0042524F" w:rsidP="0042524F">
      <w:pPr>
        <w:numPr>
          <w:ilvl w:val="1"/>
          <w:numId w:val="31"/>
        </w:numPr>
        <w:ind w:left="1440"/>
        <w:rPr>
          <w:rFonts w:asciiTheme="minorHAnsi" w:hAnsiTheme="minorHAnsi" w:cstheme="minorHAnsi"/>
          <w:bCs/>
          <w:sz w:val="20"/>
        </w:rPr>
      </w:pPr>
      <w:r w:rsidRPr="0042524F">
        <w:rPr>
          <w:rFonts w:asciiTheme="minorHAnsi" w:hAnsiTheme="minorHAnsi" w:cstheme="minorHAnsi"/>
          <w:bCs/>
          <w:sz w:val="20"/>
        </w:rPr>
        <w:t>Judicial Branch Workers’ Compensation Program</w:t>
      </w:r>
    </w:p>
    <w:p w14:paraId="4AF3F2AF" w14:textId="77777777" w:rsidR="0042524F" w:rsidRPr="0042524F" w:rsidRDefault="0042524F" w:rsidP="0042524F">
      <w:pPr>
        <w:ind w:left="720"/>
        <w:rPr>
          <w:rFonts w:asciiTheme="minorHAnsi" w:hAnsiTheme="minorHAnsi" w:cstheme="minorHAnsi"/>
          <w:bCs/>
          <w:sz w:val="20"/>
        </w:rPr>
      </w:pPr>
    </w:p>
    <w:p w14:paraId="0BB1EE5B"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JCC serves as the program administrator for the Judicial Branch Workers’ Compensation Program (JBWCP). The program consists of three components: </w:t>
      </w:r>
    </w:p>
    <w:p w14:paraId="4411D72D" w14:textId="77777777" w:rsidR="0042524F" w:rsidRPr="0042524F" w:rsidRDefault="0042524F" w:rsidP="0042524F">
      <w:pPr>
        <w:ind w:left="2160"/>
        <w:rPr>
          <w:rFonts w:asciiTheme="minorHAnsi" w:hAnsiTheme="minorHAnsi" w:cstheme="minorHAnsi"/>
          <w:bCs/>
          <w:sz w:val="20"/>
        </w:rPr>
      </w:pPr>
    </w:p>
    <w:p w14:paraId="7B78A313" w14:textId="77777777" w:rsidR="0042524F" w:rsidRPr="0042524F" w:rsidRDefault="0042524F" w:rsidP="0042524F">
      <w:pPr>
        <w:numPr>
          <w:ilvl w:val="0"/>
          <w:numId w:val="33"/>
        </w:numPr>
        <w:rPr>
          <w:rFonts w:asciiTheme="minorHAnsi" w:hAnsiTheme="minorHAnsi" w:cstheme="minorHAnsi"/>
          <w:bCs/>
          <w:sz w:val="20"/>
        </w:rPr>
      </w:pPr>
      <w:r w:rsidRPr="0042524F">
        <w:rPr>
          <w:rFonts w:asciiTheme="minorHAnsi" w:hAnsiTheme="minorHAnsi" w:cstheme="minorHAnsi"/>
          <w:bCs/>
          <w:sz w:val="20"/>
        </w:rPr>
        <w:t xml:space="preserve">The Trial Courts (TC) </w:t>
      </w:r>
    </w:p>
    <w:p w14:paraId="5E1505EA" w14:textId="77777777" w:rsidR="0042524F" w:rsidRPr="0042524F" w:rsidRDefault="0042524F" w:rsidP="0042524F">
      <w:pPr>
        <w:numPr>
          <w:ilvl w:val="0"/>
          <w:numId w:val="33"/>
        </w:numPr>
        <w:rPr>
          <w:rFonts w:asciiTheme="minorHAnsi" w:hAnsiTheme="minorHAnsi" w:cstheme="minorHAnsi"/>
          <w:bCs/>
          <w:sz w:val="20"/>
        </w:rPr>
      </w:pPr>
      <w:r w:rsidRPr="0042524F">
        <w:rPr>
          <w:rFonts w:asciiTheme="minorHAnsi" w:hAnsiTheme="minorHAnsi" w:cstheme="minorHAnsi"/>
          <w:bCs/>
          <w:sz w:val="20"/>
        </w:rPr>
        <w:t xml:space="preserve">The Judiciary, which includes the SC, DCA, HCRC, CJP, and </w:t>
      </w:r>
    </w:p>
    <w:p w14:paraId="6790BF24" w14:textId="77777777" w:rsidR="0042524F" w:rsidRPr="0042524F" w:rsidRDefault="0042524F" w:rsidP="0042524F">
      <w:pPr>
        <w:ind w:left="2880"/>
        <w:rPr>
          <w:rFonts w:asciiTheme="minorHAnsi" w:hAnsiTheme="minorHAnsi" w:cstheme="minorHAnsi"/>
          <w:bCs/>
          <w:sz w:val="20"/>
        </w:rPr>
      </w:pPr>
      <w:r w:rsidRPr="0042524F">
        <w:rPr>
          <w:rFonts w:asciiTheme="minorHAnsi" w:hAnsiTheme="minorHAnsi" w:cstheme="minorHAnsi"/>
          <w:bCs/>
          <w:sz w:val="20"/>
        </w:rPr>
        <w:t xml:space="preserve">the JCC; and </w:t>
      </w:r>
    </w:p>
    <w:p w14:paraId="3701BFD0" w14:textId="77777777" w:rsidR="0042524F" w:rsidRPr="0042524F" w:rsidRDefault="0042524F" w:rsidP="0042524F">
      <w:pPr>
        <w:numPr>
          <w:ilvl w:val="0"/>
          <w:numId w:val="33"/>
        </w:numPr>
        <w:rPr>
          <w:rFonts w:asciiTheme="minorHAnsi" w:hAnsiTheme="minorHAnsi" w:cstheme="minorHAnsi"/>
          <w:bCs/>
          <w:sz w:val="20"/>
        </w:rPr>
      </w:pPr>
      <w:r w:rsidRPr="0042524F">
        <w:rPr>
          <w:rFonts w:asciiTheme="minorHAnsi" w:hAnsiTheme="minorHAnsi" w:cstheme="minorHAnsi"/>
          <w:bCs/>
          <w:sz w:val="20"/>
        </w:rPr>
        <w:t xml:space="preserve">The Judicial Officers, which consists of all trial court judges of the Superior Courts. </w:t>
      </w:r>
    </w:p>
    <w:p w14:paraId="59287271" w14:textId="77777777" w:rsidR="0042524F" w:rsidRPr="0042524F" w:rsidRDefault="0042524F" w:rsidP="0042524F">
      <w:pPr>
        <w:ind w:left="1440"/>
        <w:rPr>
          <w:rFonts w:asciiTheme="minorHAnsi" w:hAnsiTheme="minorHAnsi" w:cstheme="minorHAnsi"/>
          <w:bCs/>
          <w:sz w:val="20"/>
        </w:rPr>
      </w:pPr>
    </w:p>
    <w:p w14:paraId="7FBB37C2"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Existing law requires every employer in the State of California to provide workers’ compensation coverage for its employees, and the provision of benefits to employees is the sole financial obligation of the employer. The State of California, legally granted uninsured status by Section 3700 of the Labor Code, may carry their financial liability with no requirements. The JCC, identified as the State for purposes of workers’ compensation coverage, is considered lawfully uninsured. </w:t>
      </w:r>
    </w:p>
    <w:p w14:paraId="4C56FE18" w14:textId="77777777" w:rsidR="0042524F" w:rsidRPr="0042524F" w:rsidRDefault="0042524F" w:rsidP="0042524F">
      <w:pPr>
        <w:ind w:left="2160"/>
        <w:rPr>
          <w:rFonts w:asciiTheme="minorHAnsi" w:hAnsiTheme="minorHAnsi" w:cstheme="minorHAnsi"/>
          <w:bCs/>
          <w:sz w:val="20"/>
        </w:rPr>
      </w:pPr>
    </w:p>
    <w:p w14:paraId="405EB8DC"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Trial Court Employment Protection Act (SB2140), Government Code Section 71600 et al, established the trial courts as independent employers of trial court employees. SB2140, however, did not address the issue of defining the trial court as an employer, and with this definition </w:t>
      </w:r>
      <w:proofErr w:type="gramStart"/>
      <w:r w:rsidRPr="0042524F">
        <w:rPr>
          <w:rFonts w:asciiTheme="minorHAnsi" w:hAnsiTheme="minorHAnsi" w:cstheme="minorHAnsi"/>
          <w:bCs/>
          <w:sz w:val="20"/>
        </w:rPr>
        <w:t>the means by which</w:t>
      </w:r>
      <w:proofErr w:type="gramEnd"/>
      <w:r w:rsidRPr="0042524F">
        <w:rPr>
          <w:rFonts w:asciiTheme="minorHAnsi" w:hAnsiTheme="minorHAnsi" w:cstheme="minorHAnsi"/>
          <w:bCs/>
          <w:sz w:val="20"/>
        </w:rPr>
        <w:t xml:space="preserve"> a trial court could finance its workers’ compensation program. </w:t>
      </w:r>
      <w:r w:rsidRPr="0042524F">
        <w:rPr>
          <w:rFonts w:asciiTheme="minorHAnsi" w:hAnsiTheme="minorHAnsi" w:cstheme="minorHAnsi"/>
          <w:bCs/>
          <w:sz w:val="20"/>
        </w:rPr>
        <w:br/>
      </w:r>
    </w:p>
    <w:p w14:paraId="0CE6971B"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The JBWCP was created on July 1, 2001. Since the inception of the program on July 1, 2001, employees of the Judiciary and Judicial Officers jointly participate in the JBWCP provided by the JCC and administered by a third party.</w:t>
      </w:r>
      <w:r w:rsidRPr="0042524F">
        <w:rPr>
          <w:rFonts w:asciiTheme="minorHAnsi" w:hAnsiTheme="minorHAnsi" w:cstheme="minorHAnsi"/>
          <w:bCs/>
          <w:sz w:val="20"/>
        </w:rPr>
        <w:br/>
      </w:r>
    </w:p>
    <w:p w14:paraId="053FAFB8"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On January 1, 2001, each of the 58 trial courts became separate employers. Prior to this date, the trial courts were part of their respective counties. In response to the courts’ transition to becoming independent employers, the JBWCP was expanded to include the trial courts on January 1, 2003.  </w:t>
      </w:r>
      <w:r w:rsidRPr="0042524F">
        <w:rPr>
          <w:rFonts w:asciiTheme="minorHAnsi" w:hAnsiTheme="minorHAnsi" w:cstheme="minorHAnsi"/>
          <w:bCs/>
          <w:sz w:val="20"/>
        </w:rPr>
        <w:br/>
      </w:r>
    </w:p>
    <w:p w14:paraId="7744CF33"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By July 1, 2003, a total of 47 trial courts participated in the JBWCP. By July 1, 2004, six more courts participated. By July 1, 2008, two additional courts joined the program. To date, 57 trial courts participate in the program (excluding Los Angeles). </w:t>
      </w:r>
    </w:p>
    <w:p w14:paraId="25CDE1EC" w14:textId="77777777" w:rsidR="0042524F" w:rsidRPr="0042524F" w:rsidRDefault="0042524F" w:rsidP="0042524F">
      <w:pPr>
        <w:ind w:left="2160"/>
        <w:rPr>
          <w:rFonts w:asciiTheme="minorHAnsi" w:hAnsiTheme="minorHAnsi" w:cstheme="minorHAnsi"/>
          <w:bCs/>
          <w:sz w:val="20"/>
        </w:rPr>
      </w:pPr>
    </w:p>
    <w:p w14:paraId="6660E117"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JBWCP is a highly decentralized program. The Judiciary, Judicial Officers, and each of the 57 participating trial courts are independent employers which require the need to allow for some decentralized administration of this program. </w:t>
      </w:r>
    </w:p>
    <w:p w14:paraId="2DA81EB3" w14:textId="77777777" w:rsidR="0042524F" w:rsidRPr="0042524F" w:rsidRDefault="0042524F" w:rsidP="0042524F">
      <w:pPr>
        <w:ind w:left="720"/>
        <w:rPr>
          <w:rFonts w:asciiTheme="minorHAnsi" w:hAnsiTheme="minorHAnsi" w:cstheme="minorHAnsi"/>
          <w:bCs/>
          <w:sz w:val="20"/>
        </w:rPr>
      </w:pPr>
    </w:p>
    <w:p w14:paraId="25AE8FB9"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The JBWCP is loss sensitive and there is a charge back system in place. The system is driven by payroll and each trial court, judiciary, and judicial officers’ loss activity. This charge back system is called the Member Premium Allocation (Premium). The loss data is used to calculate the loss modifier. Each individual organization is limited to a rolling three years of loss data excluding the most recent 12 months. The total premium is based on the annual actuarial report.</w:t>
      </w:r>
    </w:p>
    <w:p w14:paraId="34CC65C1" w14:textId="77777777" w:rsidR="0042524F" w:rsidRPr="0042524F" w:rsidRDefault="0042524F" w:rsidP="0042524F">
      <w:pPr>
        <w:ind w:left="720"/>
        <w:rPr>
          <w:rFonts w:asciiTheme="minorHAnsi" w:hAnsiTheme="minorHAnsi" w:cstheme="minorHAnsi"/>
          <w:bCs/>
          <w:sz w:val="20"/>
        </w:rPr>
      </w:pPr>
    </w:p>
    <w:p w14:paraId="3A095812" w14:textId="3CA0EF4C" w:rsidR="0066703F" w:rsidRDefault="0042524F" w:rsidP="0055280C">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w:t>
      </w:r>
      <w:hyperlink r:id="rId13" w:history="1">
        <w:r w:rsidRPr="0042524F">
          <w:rPr>
            <w:rFonts w:asciiTheme="minorHAnsi" w:hAnsiTheme="minorHAnsi" w:cstheme="minorHAnsi"/>
            <w:bCs/>
            <w:sz w:val="20"/>
          </w:rPr>
          <w:t>JBWCP Advisory Committee</w:t>
        </w:r>
      </w:hyperlink>
      <w:r w:rsidRPr="0042524F">
        <w:rPr>
          <w:rFonts w:asciiTheme="minorHAnsi" w:hAnsiTheme="minorHAnsi" w:cstheme="minorHAnsi"/>
          <w:bCs/>
          <w:sz w:val="20"/>
        </w:rPr>
        <w:t xml:space="preserve"> (Committee) oversees the program and makes recommendations to the Judicial Council for improving the statewide administration of the JBWCP. More Information on the Committee can be found on the following California Court’s website:</w:t>
      </w:r>
      <w:r w:rsidR="0055280C">
        <w:rPr>
          <w:rFonts w:asciiTheme="minorHAnsi" w:hAnsiTheme="minorHAnsi" w:cstheme="minorHAnsi"/>
          <w:bCs/>
          <w:sz w:val="20"/>
        </w:rPr>
        <w:t xml:space="preserve"> </w:t>
      </w:r>
      <w:hyperlink r:id="rId14" w:history="1">
        <w:r w:rsidR="00A33AE7" w:rsidRPr="007E7054">
          <w:rPr>
            <w:rStyle w:val="Hyperlink"/>
            <w:rFonts w:asciiTheme="minorHAnsi" w:hAnsiTheme="minorHAnsi" w:cstheme="minorHAnsi"/>
            <w:bCs/>
            <w:sz w:val="20"/>
          </w:rPr>
          <w:t>https://www.courts.ca.gov/jbwcp.htm</w:t>
        </w:r>
      </w:hyperlink>
    </w:p>
    <w:p w14:paraId="459296ED" w14:textId="77777777" w:rsidR="00A33AE7" w:rsidRDefault="00A33AE7" w:rsidP="00A33AE7">
      <w:pPr>
        <w:pStyle w:val="ListParagraph"/>
        <w:rPr>
          <w:rFonts w:asciiTheme="minorHAnsi" w:hAnsiTheme="minorHAnsi" w:cstheme="minorHAnsi"/>
          <w:bCs/>
          <w:sz w:val="20"/>
        </w:rPr>
      </w:pPr>
    </w:p>
    <w:p w14:paraId="5CE5D9C6" w14:textId="0BBE5A9F"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B91A12">
        <w:rPr>
          <w:rFonts w:asciiTheme="minorHAnsi" w:hAnsiTheme="minorHAnsi" w:cstheme="minorHAnsi"/>
          <w:sz w:val="20"/>
          <w:szCs w:val="20"/>
        </w:rPr>
        <w:t xml:space="preserve"> </w:t>
      </w:r>
      <w:r w:rsidR="00B91A12" w:rsidRPr="00B91A12">
        <w:rPr>
          <w:rFonts w:asciiTheme="minorHAnsi" w:hAnsiTheme="minorHAnsi" w:cstheme="minorHAnsi"/>
          <w:i/>
          <w:sz w:val="20"/>
          <w:szCs w:val="20"/>
        </w:rPr>
        <w:t>[</w:t>
      </w:r>
      <w:r w:rsidR="003861F7">
        <w:rPr>
          <w:rFonts w:asciiTheme="minorHAnsi" w:hAnsiTheme="minorHAnsi" w:cstheme="minorHAnsi"/>
          <w:i/>
          <w:sz w:val="20"/>
          <w:szCs w:val="20"/>
        </w:rPr>
        <w:t>LEFT BLANK</w:t>
      </w:r>
      <w:r w:rsidR="00B91A12" w:rsidRPr="00B91A12">
        <w:rPr>
          <w:rFonts w:asciiTheme="minorHAnsi" w:hAnsiTheme="minorHAnsi" w:cstheme="minorHAnsi"/>
          <w:i/>
          <w:sz w:val="20"/>
          <w:szCs w:val="20"/>
        </w:rPr>
        <w:t>]</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54488178" w14:textId="77777777" w:rsidR="00B10937" w:rsidRPr="00B10937" w:rsidRDefault="004544D7" w:rsidP="00B10937">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64274255" w14:textId="5128B429" w:rsidR="0046572C" w:rsidRDefault="00B10937" w:rsidP="0046572C">
      <w:pPr>
        <w:spacing w:before="120" w:after="120"/>
        <w:ind w:left="936"/>
        <w:rPr>
          <w:rFonts w:asciiTheme="minorHAnsi" w:hAnsiTheme="minorHAnsi" w:cstheme="minorHAnsi"/>
          <w:bCs/>
          <w:sz w:val="20"/>
        </w:rPr>
      </w:pPr>
      <w:r w:rsidRPr="00B10937">
        <w:rPr>
          <w:rFonts w:asciiTheme="minorHAnsi" w:hAnsiTheme="minorHAnsi" w:cstheme="minorHAnsi"/>
          <w:bCs/>
          <w:sz w:val="20"/>
        </w:rPr>
        <w:t xml:space="preserve">The Contractor will </w:t>
      </w:r>
      <w:r w:rsidR="0046572C" w:rsidRPr="0046572C">
        <w:rPr>
          <w:rFonts w:asciiTheme="minorHAnsi" w:hAnsiTheme="minorHAnsi" w:cstheme="minorHAnsi"/>
          <w:bCs/>
          <w:sz w:val="20"/>
        </w:rPr>
        <w:t xml:space="preserve">provide insurance broker services that include but are not limited to excess insurance placement and servicing, risk exposure analysis, as well as general insurance advisory services and claims assistance for the Judicial Branch Workers’ Compensation Program (“JBWCP”) </w:t>
      </w:r>
      <w:proofErr w:type="gramStart"/>
      <w:r w:rsidR="0046572C" w:rsidRPr="0046572C">
        <w:rPr>
          <w:rFonts w:asciiTheme="minorHAnsi" w:hAnsiTheme="minorHAnsi" w:cstheme="minorHAnsi"/>
          <w:bCs/>
          <w:sz w:val="20"/>
        </w:rPr>
        <w:t>for the purpose of</w:t>
      </w:r>
      <w:proofErr w:type="gramEnd"/>
      <w:r w:rsidR="0046572C" w:rsidRPr="0046572C">
        <w:rPr>
          <w:rFonts w:asciiTheme="minorHAnsi" w:hAnsiTheme="minorHAnsi" w:cstheme="minorHAnsi"/>
          <w:bCs/>
          <w:sz w:val="20"/>
        </w:rPr>
        <w:t xml:space="preserve"> developing and maintaining a comprehensive statewide workers’ compensation program. This includes the need for a Contractor who can bring a strong network of connections and contacts in the industry, is responsive, detail oriented, and able to convey complex workers’ compensation and insurance matters to Committee members and program staff that will guide them in understanding the nuances of risk pooling and the insurance industry.</w:t>
      </w:r>
    </w:p>
    <w:p w14:paraId="21945759" w14:textId="28F58927" w:rsidR="0046572C" w:rsidRDefault="0046572C" w:rsidP="0046572C">
      <w:pPr>
        <w:spacing w:before="120" w:after="120"/>
        <w:ind w:left="936"/>
        <w:rPr>
          <w:rFonts w:asciiTheme="minorHAnsi" w:hAnsiTheme="minorHAnsi" w:cstheme="minorHAnsi"/>
          <w:bCs/>
          <w:sz w:val="20"/>
        </w:rPr>
      </w:pPr>
      <w:r>
        <w:rPr>
          <w:rFonts w:asciiTheme="minorHAnsi" w:hAnsiTheme="minorHAnsi" w:cstheme="minorHAnsi"/>
          <w:bCs/>
          <w:sz w:val="20"/>
        </w:rPr>
        <w:t xml:space="preserve">The Contractor shall </w:t>
      </w:r>
      <w:r w:rsidRPr="0046572C">
        <w:rPr>
          <w:rFonts w:asciiTheme="minorHAnsi" w:hAnsiTheme="minorHAnsi" w:cstheme="minorHAnsi"/>
          <w:bCs/>
          <w:sz w:val="20"/>
        </w:rPr>
        <w:t>produce a cost-effective solution which integrates the highest standards of quality and service levels to the entire judicial branch.</w:t>
      </w:r>
    </w:p>
    <w:p w14:paraId="13BE9B1C" w14:textId="484158B3" w:rsidR="00C4177B" w:rsidRPr="00B10937" w:rsidRDefault="00C4177B" w:rsidP="0046572C">
      <w:pPr>
        <w:spacing w:before="120" w:after="120"/>
        <w:ind w:left="936"/>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6FB595AA" w14:textId="51C92225" w:rsidR="00B10937" w:rsidRPr="002C6335" w:rsidRDefault="0046572C" w:rsidP="002C6335">
      <w:pPr>
        <w:pStyle w:val="ListParagraph"/>
        <w:numPr>
          <w:ilvl w:val="2"/>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Workers’ </w:t>
      </w:r>
      <w:r w:rsidRPr="0046572C">
        <w:rPr>
          <w:rFonts w:asciiTheme="minorHAnsi" w:hAnsiTheme="minorHAnsi" w:cstheme="minorHAnsi"/>
          <w:bCs/>
          <w:sz w:val="20"/>
          <w:lang w:bidi="en-US"/>
        </w:rPr>
        <w:t>Compensation Program Management</w:t>
      </w:r>
    </w:p>
    <w:p w14:paraId="0D7B560B" w14:textId="774A272A" w:rsidR="0046572C" w:rsidRPr="0046572C" w:rsidRDefault="00B10937" w:rsidP="0046572C">
      <w:pPr>
        <w:pStyle w:val="ListParagraph"/>
        <w:numPr>
          <w:ilvl w:val="0"/>
          <w:numId w:val="34"/>
        </w:numPr>
        <w:rPr>
          <w:rFonts w:asciiTheme="minorHAnsi" w:hAnsiTheme="minorHAnsi" w:cstheme="minorHAnsi"/>
          <w:bCs/>
          <w:sz w:val="20"/>
          <w:lang w:bidi="en-US"/>
        </w:rPr>
      </w:pPr>
      <w:r w:rsidRPr="0046572C">
        <w:rPr>
          <w:rFonts w:asciiTheme="minorHAnsi" w:hAnsiTheme="minorHAnsi" w:cstheme="minorHAnsi"/>
          <w:bCs/>
          <w:sz w:val="20"/>
          <w:lang w:bidi="en-US"/>
        </w:rPr>
        <w:t>Pr</w:t>
      </w:r>
      <w:r w:rsidR="0046572C">
        <w:rPr>
          <w:rFonts w:asciiTheme="minorHAnsi" w:hAnsiTheme="minorHAnsi" w:cstheme="minorHAnsi"/>
          <w:bCs/>
          <w:sz w:val="20"/>
          <w:lang w:bidi="en-US"/>
        </w:rPr>
        <w:t xml:space="preserve">ovide </w:t>
      </w:r>
      <w:r w:rsidR="0046572C" w:rsidRPr="0046572C">
        <w:rPr>
          <w:rFonts w:asciiTheme="minorHAnsi" w:hAnsiTheme="minorHAnsi" w:cstheme="minorHAnsi"/>
          <w:bCs/>
          <w:sz w:val="20"/>
          <w:lang w:bidi="en-US"/>
        </w:rPr>
        <w:t>a dedicated Workers’ Compensation Program Manager and assigned staff with a minimum of 10 years of experience in the administration and application of California-specific workers’ compensation laws, including demonstrated experience in providing California workers’ compensation risk management consultation services for a decentralized statewide self-insured public employer workers’ compensation program.</w:t>
      </w:r>
    </w:p>
    <w:p w14:paraId="553CF881" w14:textId="14C780A8" w:rsidR="00B10937" w:rsidRPr="00885800" w:rsidRDefault="00885800" w:rsidP="00885800">
      <w:pPr>
        <w:pStyle w:val="ListParagraph"/>
        <w:numPr>
          <w:ilvl w:val="0"/>
          <w:numId w:val="34"/>
        </w:numPr>
        <w:spacing w:before="120" w:after="120"/>
        <w:ind w:left="936" w:firstLine="324"/>
        <w:rPr>
          <w:rFonts w:asciiTheme="minorHAnsi" w:hAnsiTheme="minorHAnsi" w:cstheme="minorHAnsi"/>
          <w:bCs/>
          <w:sz w:val="20"/>
          <w:lang w:bidi="en-US"/>
        </w:rPr>
      </w:pPr>
      <w:r>
        <w:rPr>
          <w:rFonts w:asciiTheme="minorHAnsi" w:hAnsiTheme="minorHAnsi" w:cstheme="minorHAnsi"/>
          <w:bCs/>
          <w:sz w:val="20"/>
          <w:lang w:bidi="en-US"/>
        </w:rPr>
        <w:t xml:space="preserve">    </w:t>
      </w:r>
      <w:r w:rsidR="0046572C" w:rsidRPr="0046572C">
        <w:rPr>
          <w:rFonts w:asciiTheme="minorHAnsi" w:hAnsiTheme="minorHAnsi" w:cstheme="minorHAnsi"/>
          <w:bCs/>
          <w:sz w:val="20"/>
          <w:lang w:bidi="en-US"/>
        </w:rPr>
        <w:t xml:space="preserve">Provide subject matter experts and qualified backup personnel with demonstrated experience in </w:t>
      </w:r>
      <w:r w:rsidR="0046572C">
        <w:rPr>
          <w:rFonts w:asciiTheme="minorHAnsi" w:hAnsiTheme="minorHAnsi" w:cstheme="minorHAnsi"/>
          <w:bCs/>
          <w:sz w:val="20"/>
          <w:lang w:bidi="en-US"/>
        </w:rPr>
        <w:tab/>
      </w:r>
      <w:r>
        <w:rPr>
          <w:rFonts w:asciiTheme="minorHAnsi" w:hAnsiTheme="minorHAnsi" w:cstheme="minorHAnsi"/>
          <w:bCs/>
          <w:sz w:val="20"/>
          <w:lang w:bidi="en-US"/>
        </w:rPr>
        <w:t xml:space="preserve">           </w:t>
      </w:r>
      <w:r>
        <w:rPr>
          <w:rFonts w:asciiTheme="minorHAnsi" w:hAnsiTheme="minorHAnsi" w:cstheme="minorHAnsi"/>
          <w:bCs/>
          <w:sz w:val="20"/>
          <w:lang w:bidi="en-US"/>
        </w:rPr>
        <w:tab/>
        <w:t xml:space="preserve">    </w:t>
      </w:r>
      <w:r w:rsidR="0046572C" w:rsidRPr="00885800">
        <w:rPr>
          <w:rFonts w:asciiTheme="minorHAnsi" w:hAnsiTheme="minorHAnsi" w:cstheme="minorHAnsi"/>
          <w:bCs/>
          <w:sz w:val="20"/>
          <w:lang w:bidi="en-US"/>
        </w:rPr>
        <w:t xml:space="preserve">California Workers’ Compensation claims (“WC”) administration, managed care, and loss </w:t>
      </w:r>
      <w:r>
        <w:rPr>
          <w:rFonts w:asciiTheme="minorHAnsi" w:hAnsiTheme="minorHAnsi" w:cstheme="minorHAnsi"/>
          <w:bCs/>
          <w:sz w:val="20"/>
          <w:lang w:bidi="en-US"/>
        </w:rPr>
        <w:tab/>
      </w:r>
      <w:r>
        <w:rPr>
          <w:rFonts w:asciiTheme="minorHAnsi" w:hAnsiTheme="minorHAnsi" w:cstheme="minorHAnsi"/>
          <w:bCs/>
          <w:sz w:val="20"/>
          <w:lang w:bidi="en-US"/>
        </w:rPr>
        <w:tab/>
        <w:t xml:space="preserve">    </w:t>
      </w:r>
      <w:r w:rsidR="0046572C" w:rsidRPr="00885800">
        <w:rPr>
          <w:rFonts w:asciiTheme="minorHAnsi" w:hAnsiTheme="minorHAnsi" w:cstheme="minorHAnsi"/>
          <w:bCs/>
          <w:sz w:val="20"/>
          <w:lang w:bidi="en-US"/>
        </w:rPr>
        <w:t>control.</w:t>
      </w:r>
      <w:r w:rsidR="002C6335" w:rsidRPr="00885800">
        <w:rPr>
          <w:rFonts w:asciiTheme="minorHAnsi" w:hAnsiTheme="minorHAnsi" w:cstheme="minorHAnsi"/>
          <w:bCs/>
          <w:sz w:val="20"/>
          <w:lang w:bidi="en-US"/>
        </w:rPr>
        <w:tab/>
      </w:r>
    </w:p>
    <w:p w14:paraId="385E5AE9" w14:textId="77777777" w:rsidR="00885800" w:rsidRDefault="00885800" w:rsidP="001C775D">
      <w:pPr>
        <w:pStyle w:val="ListParagraph"/>
        <w:numPr>
          <w:ilvl w:val="0"/>
          <w:numId w:val="34"/>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Participate </w:t>
      </w:r>
      <w:r w:rsidRPr="00885800">
        <w:rPr>
          <w:rFonts w:asciiTheme="minorHAnsi" w:hAnsiTheme="minorHAnsi" w:cstheme="minorHAnsi"/>
          <w:bCs/>
          <w:sz w:val="20"/>
          <w:lang w:bidi="en-US"/>
        </w:rPr>
        <w:t>in member claim file reviews and provide guidance on matters of pool administration, policy analysis, and industry best practices</w:t>
      </w:r>
      <w:r>
        <w:rPr>
          <w:rFonts w:asciiTheme="minorHAnsi" w:hAnsiTheme="minorHAnsi" w:cstheme="minorHAnsi"/>
          <w:bCs/>
          <w:sz w:val="20"/>
          <w:lang w:bidi="en-US"/>
        </w:rPr>
        <w:t>.</w:t>
      </w:r>
    </w:p>
    <w:p w14:paraId="6E87444B" w14:textId="30DD48CB" w:rsidR="00885800" w:rsidRDefault="00885800" w:rsidP="00885800">
      <w:pPr>
        <w:pStyle w:val="ListParagraph"/>
        <w:numPr>
          <w:ilvl w:val="0"/>
          <w:numId w:val="34"/>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In </w:t>
      </w:r>
      <w:r w:rsidRPr="00885800">
        <w:rPr>
          <w:rFonts w:asciiTheme="minorHAnsi" w:hAnsiTheme="minorHAnsi" w:cstheme="minorHAnsi"/>
          <w:bCs/>
          <w:sz w:val="20"/>
          <w:lang w:bidi="en-US"/>
        </w:rPr>
        <w:t>partnership with the BWCP and Program Manager, develop strategies to: reduce claim administrative costs, avoid deterioration of an organization’s claims inventory, assess the quality of workers’ compensation written programs and measure the effectiveness of and compliance with these programs, evaluate the effectiveness of new and existing program measures (in both design and execution) and recommend options that meet the goals of the program, the Committee and the membership.</w:t>
      </w:r>
    </w:p>
    <w:p w14:paraId="74105323" w14:textId="018914FD" w:rsidR="00726104" w:rsidRPr="00726104" w:rsidRDefault="00726104" w:rsidP="00726104">
      <w:pPr>
        <w:pStyle w:val="ListParagraph"/>
        <w:numPr>
          <w:ilvl w:val="0"/>
          <w:numId w:val="34"/>
        </w:numPr>
        <w:rPr>
          <w:rFonts w:asciiTheme="minorHAnsi" w:hAnsiTheme="minorHAnsi" w:cstheme="minorHAnsi"/>
          <w:bCs/>
          <w:sz w:val="20"/>
          <w:lang w:bidi="en-US"/>
        </w:rPr>
      </w:pPr>
      <w:r>
        <w:rPr>
          <w:rFonts w:asciiTheme="minorHAnsi" w:hAnsiTheme="minorHAnsi" w:cstheme="minorHAnsi"/>
          <w:bCs/>
          <w:sz w:val="20"/>
          <w:lang w:bidi="en-US"/>
        </w:rPr>
        <w:t xml:space="preserve">Analyze </w:t>
      </w:r>
      <w:r w:rsidRPr="00726104">
        <w:rPr>
          <w:rFonts w:asciiTheme="minorHAnsi" w:hAnsiTheme="minorHAnsi" w:cstheme="minorHAnsi"/>
          <w:bCs/>
          <w:sz w:val="20"/>
          <w:lang w:bidi="en-US"/>
        </w:rPr>
        <w:t>current and past JBWCP data and, in coordination with the Third Party Administrator (TPA), identify and develop metrics to reduce the cost of workers’ compensation losses for all JBWCP Members. Metrics should highlight trends, strengths, areas for improvement, or risks that may impact all Members, and include at a minimum the following factors:</w:t>
      </w:r>
    </w:p>
    <w:p w14:paraId="31EEBE69" w14:textId="6825252E" w:rsidR="00885800" w:rsidRPr="00726104" w:rsidRDefault="00885800" w:rsidP="00726104">
      <w:pPr>
        <w:pStyle w:val="ListParagraph"/>
        <w:ind w:left="1656"/>
        <w:rPr>
          <w:rFonts w:asciiTheme="minorHAnsi" w:hAnsiTheme="minorHAnsi" w:cstheme="minorHAnsi"/>
          <w:bCs/>
          <w:sz w:val="20"/>
          <w:lang w:bidi="en-US"/>
        </w:rPr>
      </w:pPr>
    </w:p>
    <w:p w14:paraId="537B6E4D"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Frequency (volume and rate comparison of types of claims)</w:t>
      </w:r>
    </w:p>
    <w:p w14:paraId="41435F52"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Severity of workers’ compensation losses (average cost per type of claim and average cost per claim open and closed)</w:t>
      </w:r>
    </w:p>
    <w:p w14:paraId="50AC98C4"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Duration of Claim</w:t>
      </w:r>
    </w:p>
    <w:p w14:paraId="086D7817"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Ratio of open vs. closed</w:t>
      </w:r>
    </w:p>
    <w:p w14:paraId="6AA4B882"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Claims Process Indicators (report lag from date of incident to date of report to date of first contact, closure lag)</w:t>
      </w:r>
    </w:p>
    <w:p w14:paraId="4C474F3C"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Outstanding Reserves</w:t>
      </w:r>
    </w:p>
    <w:p w14:paraId="66B77BDF"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Claims Handling Costs, which include, for example, costs associated with legal, medical, or subrogation</w:t>
      </w:r>
    </w:p>
    <w:p w14:paraId="28181A5E"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Loss Days</w:t>
      </w:r>
    </w:p>
    <w:p w14:paraId="3FB84165"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Cause of Injury</w:t>
      </w:r>
    </w:p>
    <w:p w14:paraId="1AB190D7" w14:textId="77777777" w:rsidR="00885800" w:rsidRPr="00885800" w:rsidRDefault="00885800" w:rsidP="00885800">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Type of injury</w:t>
      </w:r>
    </w:p>
    <w:p w14:paraId="317905BA" w14:textId="4069B95E" w:rsidR="00870F82" w:rsidRDefault="00885800" w:rsidP="00870F82">
      <w:pPr>
        <w:numPr>
          <w:ilvl w:val="1"/>
          <w:numId w:val="35"/>
        </w:numPr>
        <w:rPr>
          <w:rFonts w:asciiTheme="minorHAnsi" w:hAnsiTheme="minorHAnsi" w:cstheme="minorHAnsi"/>
          <w:bCs/>
          <w:sz w:val="20"/>
          <w:lang w:bidi="en-US"/>
        </w:rPr>
      </w:pPr>
      <w:r w:rsidRPr="00885800">
        <w:rPr>
          <w:rFonts w:asciiTheme="minorHAnsi" w:hAnsiTheme="minorHAnsi" w:cstheme="minorHAnsi"/>
          <w:bCs/>
          <w:sz w:val="20"/>
          <w:lang w:bidi="en-US"/>
        </w:rPr>
        <w:t>Location of Injury</w:t>
      </w:r>
    </w:p>
    <w:p w14:paraId="32F92A15" w14:textId="1BD046CA" w:rsidR="00870F82" w:rsidRDefault="00870F82" w:rsidP="00870F82">
      <w:pPr>
        <w:ind w:left="2430"/>
        <w:rPr>
          <w:rFonts w:asciiTheme="minorHAnsi" w:hAnsiTheme="minorHAnsi" w:cstheme="minorHAnsi"/>
          <w:bCs/>
          <w:sz w:val="20"/>
          <w:lang w:bidi="en-US"/>
        </w:rPr>
      </w:pPr>
    </w:p>
    <w:p w14:paraId="20388116" w14:textId="2CA38845" w:rsidR="00870F82" w:rsidRPr="00AC2A5A" w:rsidRDefault="00AC2A5A" w:rsidP="00AC2A5A">
      <w:pPr>
        <w:pStyle w:val="ListParagraph"/>
        <w:numPr>
          <w:ilvl w:val="0"/>
          <w:numId w:val="34"/>
        </w:numPr>
        <w:rPr>
          <w:rFonts w:asciiTheme="minorHAnsi" w:hAnsiTheme="minorHAnsi" w:cstheme="minorHAnsi"/>
          <w:bCs/>
          <w:sz w:val="20"/>
          <w:lang w:bidi="en-US"/>
        </w:rPr>
      </w:pPr>
      <w:r w:rsidRPr="00AC2A5A">
        <w:rPr>
          <w:rFonts w:asciiTheme="minorHAnsi" w:hAnsiTheme="minorHAnsi" w:cstheme="minorHAnsi"/>
          <w:bCs/>
          <w:sz w:val="20"/>
          <w:lang w:bidi="en-US"/>
        </w:rPr>
        <w:t>Meet with JBWCP staff in person to assess, strategize and review program activities related to any items listed above on a recurring monthly or quarterly basis, subject to the needs of the program.</w:t>
      </w:r>
    </w:p>
    <w:p w14:paraId="265E1F26" w14:textId="77777777" w:rsidR="00A52B61" w:rsidRPr="00A52B61" w:rsidRDefault="00A52B61" w:rsidP="00A52B61">
      <w:pPr>
        <w:ind w:left="2520"/>
        <w:rPr>
          <w:rFonts w:asciiTheme="minorHAnsi" w:hAnsiTheme="minorHAnsi" w:cstheme="minorHAnsi"/>
          <w:bCs/>
          <w:sz w:val="20"/>
          <w:lang w:bidi="en-US"/>
        </w:rPr>
      </w:pPr>
    </w:p>
    <w:p w14:paraId="1A111DFB" w14:textId="489E9E32" w:rsidR="00A52B61" w:rsidRPr="005F38E5" w:rsidRDefault="00A52B61" w:rsidP="00A52B61">
      <w:pPr>
        <w:pStyle w:val="ListParagraph"/>
        <w:numPr>
          <w:ilvl w:val="2"/>
          <w:numId w:val="18"/>
        </w:numPr>
        <w:rPr>
          <w:rFonts w:asciiTheme="minorHAnsi" w:hAnsiTheme="minorHAnsi" w:cstheme="minorHAnsi"/>
          <w:bCs/>
          <w:sz w:val="20"/>
          <w:lang w:bidi="en-US"/>
        </w:rPr>
      </w:pPr>
      <w:r>
        <w:rPr>
          <w:rFonts w:asciiTheme="minorHAnsi" w:hAnsiTheme="minorHAnsi" w:cstheme="minorHAnsi"/>
          <w:bCs/>
          <w:sz w:val="20"/>
          <w:lang w:bidi="en-US"/>
        </w:rPr>
        <w:t>Claims Oversight and Maintenance</w:t>
      </w:r>
    </w:p>
    <w:p w14:paraId="053DCA17" w14:textId="14E7B72C" w:rsidR="00A52B61" w:rsidRPr="00A52B61" w:rsidRDefault="00A52B61" w:rsidP="00A52B61">
      <w:pPr>
        <w:pStyle w:val="ListParagraph"/>
        <w:numPr>
          <w:ilvl w:val="0"/>
          <w:numId w:val="34"/>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The </w:t>
      </w:r>
      <w:r w:rsidRPr="00A52B61">
        <w:rPr>
          <w:rFonts w:asciiTheme="minorHAnsi" w:hAnsiTheme="minorHAnsi" w:cstheme="minorHAnsi"/>
          <w:bCs/>
          <w:sz w:val="20"/>
          <w:lang w:bidi="en-US"/>
        </w:rPr>
        <w:t xml:space="preserve">Contractor will provide ongoing oversight of the </w:t>
      </w:r>
      <w:proofErr w:type="gramStart"/>
      <w:r>
        <w:rPr>
          <w:rFonts w:asciiTheme="minorHAnsi" w:hAnsiTheme="minorHAnsi" w:cstheme="minorHAnsi"/>
          <w:bCs/>
          <w:sz w:val="20"/>
          <w:lang w:bidi="en-US"/>
        </w:rPr>
        <w:t>T</w:t>
      </w:r>
      <w:r w:rsidRPr="00A52B61">
        <w:rPr>
          <w:rFonts w:asciiTheme="minorHAnsi" w:hAnsiTheme="minorHAnsi" w:cstheme="minorHAnsi"/>
          <w:bCs/>
          <w:sz w:val="20"/>
          <w:lang w:bidi="en-US"/>
        </w:rPr>
        <w:t xml:space="preserve">hird </w:t>
      </w:r>
      <w:r>
        <w:rPr>
          <w:rFonts w:asciiTheme="minorHAnsi" w:hAnsiTheme="minorHAnsi" w:cstheme="minorHAnsi"/>
          <w:bCs/>
          <w:sz w:val="20"/>
          <w:lang w:bidi="en-US"/>
        </w:rPr>
        <w:t>P</w:t>
      </w:r>
      <w:r w:rsidRPr="00A52B61">
        <w:rPr>
          <w:rFonts w:asciiTheme="minorHAnsi" w:hAnsiTheme="minorHAnsi" w:cstheme="minorHAnsi"/>
          <w:bCs/>
          <w:sz w:val="20"/>
          <w:lang w:bidi="en-US"/>
        </w:rPr>
        <w:t>arty</w:t>
      </w:r>
      <w:proofErr w:type="gramEnd"/>
      <w:r w:rsidRPr="00A52B61">
        <w:rPr>
          <w:rFonts w:asciiTheme="minorHAnsi" w:hAnsiTheme="minorHAnsi" w:cstheme="minorHAnsi"/>
          <w:bCs/>
          <w:sz w:val="20"/>
          <w:lang w:bidi="en-US"/>
        </w:rPr>
        <w:t xml:space="preserve"> </w:t>
      </w:r>
      <w:r>
        <w:rPr>
          <w:rFonts w:asciiTheme="minorHAnsi" w:hAnsiTheme="minorHAnsi" w:cstheme="minorHAnsi"/>
          <w:bCs/>
          <w:sz w:val="20"/>
          <w:lang w:bidi="en-US"/>
        </w:rPr>
        <w:t>A</w:t>
      </w:r>
      <w:r w:rsidRPr="00A52B61">
        <w:rPr>
          <w:rFonts w:asciiTheme="minorHAnsi" w:hAnsiTheme="minorHAnsi" w:cstheme="minorHAnsi"/>
          <w:bCs/>
          <w:sz w:val="20"/>
          <w:lang w:bidi="en-US"/>
        </w:rPr>
        <w:t>dministrator’s claims administration process and assist the JBWCP in identifying claims for closure or settlement.</w:t>
      </w:r>
    </w:p>
    <w:p w14:paraId="489AD7A0" w14:textId="186AD633" w:rsidR="00A52B61" w:rsidRDefault="00A52B61" w:rsidP="00A52B61">
      <w:pPr>
        <w:pStyle w:val="ListParagraph"/>
        <w:numPr>
          <w:ilvl w:val="0"/>
          <w:numId w:val="34"/>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The </w:t>
      </w:r>
      <w:r w:rsidRPr="00A52B61">
        <w:rPr>
          <w:rFonts w:asciiTheme="minorHAnsi" w:hAnsiTheme="minorHAnsi" w:cstheme="minorHAnsi"/>
          <w:bCs/>
          <w:sz w:val="20"/>
          <w:lang w:bidi="en-US"/>
        </w:rPr>
        <w:t xml:space="preserve">Contractor will identify optimal strategies for resolution, recommend and/or create reports for ongoing maintenance and oversight, and partner with the JBWCP and the </w:t>
      </w:r>
      <w:proofErr w:type="gramStart"/>
      <w:r>
        <w:rPr>
          <w:rFonts w:asciiTheme="minorHAnsi" w:hAnsiTheme="minorHAnsi" w:cstheme="minorHAnsi"/>
          <w:bCs/>
          <w:sz w:val="20"/>
          <w:lang w:bidi="en-US"/>
        </w:rPr>
        <w:t>T</w:t>
      </w:r>
      <w:r w:rsidRPr="00A52B61">
        <w:rPr>
          <w:rFonts w:asciiTheme="minorHAnsi" w:hAnsiTheme="minorHAnsi" w:cstheme="minorHAnsi"/>
          <w:bCs/>
          <w:sz w:val="20"/>
          <w:lang w:bidi="en-US"/>
        </w:rPr>
        <w:t xml:space="preserve">hird </w:t>
      </w:r>
      <w:r>
        <w:rPr>
          <w:rFonts w:asciiTheme="minorHAnsi" w:hAnsiTheme="minorHAnsi" w:cstheme="minorHAnsi"/>
          <w:bCs/>
          <w:sz w:val="20"/>
          <w:lang w:bidi="en-US"/>
        </w:rPr>
        <w:t>P</w:t>
      </w:r>
      <w:r w:rsidRPr="00A52B61">
        <w:rPr>
          <w:rFonts w:asciiTheme="minorHAnsi" w:hAnsiTheme="minorHAnsi" w:cstheme="minorHAnsi"/>
          <w:bCs/>
          <w:sz w:val="20"/>
          <w:lang w:bidi="en-US"/>
        </w:rPr>
        <w:t>arty</w:t>
      </w:r>
      <w:proofErr w:type="gramEnd"/>
      <w:r w:rsidRPr="00A52B61">
        <w:rPr>
          <w:rFonts w:asciiTheme="minorHAnsi" w:hAnsiTheme="minorHAnsi" w:cstheme="minorHAnsi"/>
          <w:bCs/>
          <w:sz w:val="20"/>
          <w:lang w:bidi="en-US"/>
        </w:rPr>
        <w:t xml:space="preserve"> </w:t>
      </w:r>
      <w:r>
        <w:rPr>
          <w:rFonts w:asciiTheme="minorHAnsi" w:hAnsiTheme="minorHAnsi" w:cstheme="minorHAnsi"/>
          <w:bCs/>
          <w:sz w:val="20"/>
          <w:lang w:bidi="en-US"/>
        </w:rPr>
        <w:t>A</w:t>
      </w:r>
      <w:r w:rsidRPr="00A52B61">
        <w:rPr>
          <w:rFonts w:asciiTheme="minorHAnsi" w:hAnsiTheme="minorHAnsi" w:cstheme="minorHAnsi"/>
          <w:bCs/>
          <w:sz w:val="20"/>
          <w:lang w:bidi="en-US"/>
        </w:rPr>
        <w:t>dministrator to develop specific action plans and achieve desired results. Evaluation measurements and reviews will include, but are not limited to:</w:t>
      </w:r>
    </w:p>
    <w:p w14:paraId="43C31045" w14:textId="77777777" w:rsidR="00A52B61" w:rsidRPr="005B297B" w:rsidRDefault="00A52B61" w:rsidP="005B297B">
      <w:pPr>
        <w:pStyle w:val="ListParagraph"/>
        <w:numPr>
          <w:ilvl w:val="2"/>
          <w:numId w:val="37"/>
        </w:numPr>
        <w:ind w:left="2520" w:hanging="270"/>
        <w:rPr>
          <w:rFonts w:asciiTheme="minorHAnsi" w:hAnsiTheme="minorHAnsi" w:cstheme="minorHAnsi"/>
          <w:bCs/>
          <w:sz w:val="20"/>
          <w:lang w:bidi="en-US"/>
        </w:rPr>
      </w:pPr>
      <w:r w:rsidRPr="005B297B">
        <w:rPr>
          <w:rFonts w:asciiTheme="minorHAnsi" w:hAnsiTheme="minorHAnsi" w:cstheme="minorHAnsi"/>
          <w:bCs/>
          <w:sz w:val="20"/>
          <w:lang w:bidi="en-US"/>
        </w:rPr>
        <w:t>Inactive files;</w:t>
      </w:r>
    </w:p>
    <w:p w14:paraId="2D53F49E" w14:textId="77777777" w:rsidR="00A52B61" w:rsidRPr="005B297B" w:rsidRDefault="00A52B61" w:rsidP="005B297B">
      <w:pPr>
        <w:pStyle w:val="ListParagraph"/>
        <w:numPr>
          <w:ilvl w:val="2"/>
          <w:numId w:val="37"/>
        </w:numPr>
        <w:ind w:left="2520" w:hanging="270"/>
        <w:rPr>
          <w:rFonts w:asciiTheme="minorHAnsi" w:hAnsiTheme="minorHAnsi" w:cstheme="minorHAnsi"/>
          <w:bCs/>
          <w:sz w:val="20"/>
          <w:lang w:bidi="en-US"/>
        </w:rPr>
      </w:pPr>
      <w:r w:rsidRPr="005B297B">
        <w:rPr>
          <w:rFonts w:asciiTheme="minorHAnsi" w:hAnsiTheme="minorHAnsi" w:cstheme="minorHAnsi"/>
          <w:bCs/>
          <w:sz w:val="20"/>
          <w:lang w:bidi="en-US"/>
        </w:rPr>
        <w:t>Files with stale diaries (past due diaries may indicate opportunity for settlement or closure);</w:t>
      </w:r>
    </w:p>
    <w:p w14:paraId="08DC2B2B" w14:textId="77777777" w:rsidR="00A52B61" w:rsidRPr="005B297B" w:rsidRDefault="00A52B61" w:rsidP="005B297B">
      <w:pPr>
        <w:pStyle w:val="ListParagraph"/>
        <w:numPr>
          <w:ilvl w:val="2"/>
          <w:numId w:val="37"/>
        </w:numPr>
        <w:ind w:left="2520" w:hanging="270"/>
        <w:rPr>
          <w:rFonts w:asciiTheme="minorHAnsi" w:hAnsiTheme="minorHAnsi" w:cstheme="minorHAnsi"/>
          <w:bCs/>
          <w:sz w:val="20"/>
          <w:lang w:bidi="en-US"/>
        </w:rPr>
      </w:pPr>
      <w:r w:rsidRPr="005B297B">
        <w:rPr>
          <w:rFonts w:asciiTheme="minorHAnsi" w:hAnsiTheme="minorHAnsi" w:cstheme="minorHAnsi"/>
          <w:bCs/>
          <w:sz w:val="20"/>
          <w:lang w:bidi="en-US"/>
        </w:rPr>
        <w:t xml:space="preserve">Future medical files; </w:t>
      </w:r>
    </w:p>
    <w:p w14:paraId="0170B4F7" w14:textId="77777777" w:rsidR="00A52B61" w:rsidRPr="005B297B" w:rsidRDefault="00A52B61" w:rsidP="005B297B">
      <w:pPr>
        <w:pStyle w:val="ListParagraph"/>
        <w:numPr>
          <w:ilvl w:val="2"/>
          <w:numId w:val="37"/>
        </w:numPr>
        <w:ind w:left="2520" w:hanging="270"/>
        <w:rPr>
          <w:rFonts w:asciiTheme="minorHAnsi" w:hAnsiTheme="minorHAnsi" w:cstheme="minorHAnsi"/>
          <w:bCs/>
          <w:sz w:val="20"/>
          <w:lang w:bidi="en-US"/>
        </w:rPr>
      </w:pPr>
      <w:r w:rsidRPr="005B297B">
        <w:rPr>
          <w:rFonts w:asciiTheme="minorHAnsi" w:hAnsiTheme="minorHAnsi" w:cstheme="minorHAnsi"/>
          <w:bCs/>
          <w:sz w:val="20"/>
          <w:lang w:bidi="en-US"/>
        </w:rPr>
        <w:t>Medicare beneficiary files;</w:t>
      </w:r>
    </w:p>
    <w:p w14:paraId="5BDB1EE0" w14:textId="77777777" w:rsidR="00A52B61" w:rsidRPr="005B297B" w:rsidRDefault="00A52B61" w:rsidP="005B297B">
      <w:pPr>
        <w:pStyle w:val="ListParagraph"/>
        <w:numPr>
          <w:ilvl w:val="2"/>
          <w:numId w:val="37"/>
        </w:numPr>
        <w:ind w:left="2520" w:hanging="270"/>
        <w:rPr>
          <w:rFonts w:asciiTheme="minorHAnsi" w:hAnsiTheme="minorHAnsi" w:cstheme="minorHAnsi"/>
          <w:bCs/>
          <w:sz w:val="20"/>
          <w:lang w:bidi="en-US"/>
        </w:rPr>
      </w:pPr>
      <w:r w:rsidRPr="005B297B">
        <w:rPr>
          <w:rFonts w:asciiTheme="minorHAnsi" w:hAnsiTheme="minorHAnsi" w:cstheme="minorHAnsi"/>
          <w:bCs/>
          <w:sz w:val="20"/>
          <w:lang w:bidi="en-US"/>
        </w:rPr>
        <w:t>Claimants with multiple open claims and companion files; and</w:t>
      </w:r>
    </w:p>
    <w:p w14:paraId="25D95DB2" w14:textId="05BF1485" w:rsidR="00885800" w:rsidRPr="005F38E5" w:rsidRDefault="00A52B61" w:rsidP="005F38E5">
      <w:pPr>
        <w:pStyle w:val="ListParagraph"/>
        <w:numPr>
          <w:ilvl w:val="2"/>
          <w:numId w:val="37"/>
        </w:numPr>
        <w:ind w:left="2520" w:hanging="270"/>
        <w:rPr>
          <w:rFonts w:asciiTheme="minorHAnsi" w:hAnsiTheme="minorHAnsi" w:cstheme="minorHAnsi"/>
          <w:bCs/>
          <w:sz w:val="20"/>
          <w:lang w:bidi="en-US"/>
        </w:rPr>
      </w:pPr>
      <w:r w:rsidRPr="005B297B">
        <w:rPr>
          <w:rFonts w:asciiTheme="minorHAnsi" w:hAnsiTheme="minorHAnsi" w:cstheme="minorHAnsi"/>
          <w:bCs/>
          <w:sz w:val="20"/>
          <w:lang w:bidi="en-US"/>
        </w:rPr>
        <w:t>Claims without open/active litigation</w:t>
      </w:r>
    </w:p>
    <w:p w14:paraId="6AB89946" w14:textId="77777777" w:rsidR="00885800" w:rsidRDefault="00885800" w:rsidP="00885800">
      <w:pPr>
        <w:pStyle w:val="ListParagraph"/>
        <w:ind w:left="1368"/>
        <w:rPr>
          <w:rFonts w:asciiTheme="minorHAnsi" w:hAnsiTheme="minorHAnsi" w:cstheme="minorHAnsi"/>
          <w:bCs/>
          <w:sz w:val="20"/>
          <w:lang w:bidi="en-US"/>
        </w:rPr>
      </w:pPr>
    </w:p>
    <w:p w14:paraId="4B910E29" w14:textId="60DCA243" w:rsidR="005F38E5" w:rsidRDefault="005F38E5" w:rsidP="005F38E5">
      <w:pPr>
        <w:pStyle w:val="ListParagraph"/>
        <w:numPr>
          <w:ilvl w:val="2"/>
          <w:numId w:val="18"/>
        </w:numPr>
        <w:rPr>
          <w:rFonts w:asciiTheme="minorHAnsi" w:hAnsiTheme="minorHAnsi" w:cstheme="minorHAnsi"/>
          <w:bCs/>
          <w:sz w:val="20"/>
          <w:lang w:bidi="en-US"/>
        </w:rPr>
      </w:pPr>
      <w:r>
        <w:rPr>
          <w:rFonts w:asciiTheme="minorHAnsi" w:hAnsiTheme="minorHAnsi" w:cstheme="minorHAnsi"/>
          <w:bCs/>
          <w:sz w:val="20"/>
          <w:lang w:bidi="en-US"/>
        </w:rPr>
        <w:t>Training</w:t>
      </w:r>
    </w:p>
    <w:p w14:paraId="0B49DB54" w14:textId="77777777" w:rsidR="00F8352F" w:rsidRPr="00F8352F" w:rsidRDefault="00F8352F" w:rsidP="00F8352F">
      <w:pPr>
        <w:pStyle w:val="ListParagraph"/>
        <w:ind w:left="1368"/>
        <w:rPr>
          <w:rFonts w:asciiTheme="minorHAnsi" w:hAnsiTheme="minorHAnsi" w:cstheme="minorHAnsi"/>
          <w:bCs/>
          <w:sz w:val="20"/>
          <w:lang w:bidi="en-US"/>
        </w:rPr>
      </w:pPr>
    </w:p>
    <w:p w14:paraId="23A68352" w14:textId="52538901" w:rsidR="005F38E5" w:rsidRPr="00885800" w:rsidRDefault="005F38E5" w:rsidP="00AF232B">
      <w:pPr>
        <w:pStyle w:val="ListParagraph"/>
        <w:numPr>
          <w:ilvl w:val="0"/>
          <w:numId w:val="34"/>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Partner </w:t>
      </w:r>
      <w:r w:rsidRPr="005F38E5">
        <w:rPr>
          <w:rFonts w:asciiTheme="minorHAnsi" w:hAnsiTheme="minorHAnsi" w:cstheme="minorHAnsi"/>
          <w:bCs/>
          <w:sz w:val="20"/>
          <w:lang w:bidi="en-US"/>
        </w:rPr>
        <w:t>with the JBWCP to deliver relevant information and training to Members. Specific duties include the ability to:</w:t>
      </w:r>
    </w:p>
    <w:p w14:paraId="558AFD93" w14:textId="27085527" w:rsidR="00F8352F" w:rsidRDefault="00F8352F" w:rsidP="00F8352F">
      <w:pPr>
        <w:numPr>
          <w:ilvl w:val="0"/>
          <w:numId w:val="38"/>
        </w:numPr>
        <w:spacing w:before="120" w:after="120"/>
        <w:rPr>
          <w:rFonts w:asciiTheme="minorHAnsi" w:hAnsiTheme="minorHAnsi" w:cstheme="minorHAnsi"/>
          <w:bCs/>
          <w:sz w:val="20"/>
          <w:lang w:bidi="en-US"/>
        </w:rPr>
      </w:pPr>
      <w:r w:rsidRPr="00F8352F">
        <w:rPr>
          <w:rFonts w:asciiTheme="minorHAnsi" w:hAnsiTheme="minorHAnsi" w:cstheme="minorHAnsi"/>
          <w:bCs/>
          <w:sz w:val="20"/>
          <w:lang w:bidi="en-US"/>
        </w:rPr>
        <w:t xml:space="preserve">Design and deliver web-based or on-site training for JBWCP </w:t>
      </w:r>
      <w:proofErr w:type="gramStart"/>
      <w:r w:rsidRPr="00F8352F">
        <w:rPr>
          <w:rFonts w:asciiTheme="minorHAnsi" w:hAnsiTheme="minorHAnsi" w:cstheme="minorHAnsi"/>
          <w:bCs/>
          <w:sz w:val="20"/>
          <w:lang w:bidi="en-US"/>
        </w:rPr>
        <w:t>Members  (</w:t>
      </w:r>
      <w:proofErr w:type="gramEnd"/>
      <w:r w:rsidRPr="00F8352F">
        <w:rPr>
          <w:rFonts w:asciiTheme="minorHAnsi" w:hAnsiTheme="minorHAnsi" w:cstheme="minorHAnsi"/>
          <w:bCs/>
          <w:sz w:val="20"/>
          <w:lang w:bidi="en-US"/>
        </w:rPr>
        <w:t>Northern, Southern, Central California), up to six (6) times per year. On-site training may be on Judicial Council locations with a collaboration of surrounding area courts and may not necessarily be in San Francisco or Sacramento.</w:t>
      </w:r>
    </w:p>
    <w:p w14:paraId="0B55C83D" w14:textId="547C4420" w:rsidR="00F8352F" w:rsidRDefault="00F8352F" w:rsidP="00F8352F">
      <w:pPr>
        <w:pStyle w:val="ListParagraph"/>
        <w:numPr>
          <w:ilvl w:val="0"/>
          <w:numId w:val="38"/>
        </w:numPr>
        <w:rPr>
          <w:rFonts w:asciiTheme="minorHAnsi" w:hAnsiTheme="minorHAnsi" w:cstheme="minorHAnsi"/>
          <w:bCs/>
          <w:sz w:val="20"/>
          <w:lang w:bidi="en-US"/>
        </w:rPr>
      </w:pPr>
      <w:r w:rsidRPr="00F8352F">
        <w:rPr>
          <w:rFonts w:asciiTheme="minorHAnsi" w:hAnsiTheme="minorHAnsi" w:cstheme="minorHAnsi"/>
          <w:bCs/>
          <w:sz w:val="20"/>
          <w:lang w:bidi="en-US"/>
        </w:rPr>
        <w:t>Provide a work plan for and deliver three (3) customized training for JBWCP Members (Northern, Southern, Central California) per year, which includes:</w:t>
      </w:r>
    </w:p>
    <w:p w14:paraId="3E4E6933" w14:textId="77777777" w:rsidR="00F8352F" w:rsidRPr="00F8352F" w:rsidRDefault="00F8352F" w:rsidP="00F8352F">
      <w:pPr>
        <w:pStyle w:val="ListParagraph"/>
        <w:ind w:left="2520"/>
        <w:rPr>
          <w:rFonts w:asciiTheme="minorHAnsi" w:hAnsiTheme="minorHAnsi" w:cstheme="minorHAnsi"/>
          <w:bCs/>
          <w:sz w:val="20"/>
          <w:lang w:bidi="en-US"/>
        </w:rPr>
      </w:pPr>
    </w:p>
    <w:p w14:paraId="57DC8600" w14:textId="77777777" w:rsidR="00F8352F" w:rsidRPr="00F8352F" w:rsidRDefault="00F8352F" w:rsidP="00F8352F">
      <w:pPr>
        <w:pStyle w:val="ListParagraph"/>
        <w:numPr>
          <w:ilvl w:val="5"/>
          <w:numId w:val="38"/>
        </w:numPr>
        <w:ind w:left="3240"/>
        <w:rPr>
          <w:rFonts w:asciiTheme="minorHAnsi" w:hAnsiTheme="minorHAnsi" w:cstheme="minorHAnsi"/>
          <w:bCs/>
          <w:sz w:val="20"/>
          <w:lang w:bidi="en-US"/>
        </w:rPr>
      </w:pPr>
      <w:r w:rsidRPr="00F8352F">
        <w:rPr>
          <w:rFonts w:asciiTheme="minorHAnsi" w:hAnsiTheme="minorHAnsi" w:cstheme="minorHAnsi"/>
          <w:bCs/>
          <w:sz w:val="20"/>
          <w:lang w:bidi="en-US"/>
        </w:rPr>
        <w:t>All course scheduling efforts including development of itinerary plans and course materials as well as curricula</w:t>
      </w:r>
    </w:p>
    <w:p w14:paraId="420D8B49" w14:textId="77777777" w:rsidR="00F8352F" w:rsidRPr="00F8352F" w:rsidRDefault="00F8352F" w:rsidP="00F8352F">
      <w:pPr>
        <w:pStyle w:val="ListParagraph"/>
        <w:numPr>
          <w:ilvl w:val="5"/>
          <w:numId w:val="38"/>
        </w:numPr>
        <w:ind w:left="3240"/>
        <w:rPr>
          <w:rFonts w:asciiTheme="minorHAnsi" w:hAnsiTheme="minorHAnsi" w:cstheme="minorHAnsi"/>
          <w:bCs/>
          <w:sz w:val="20"/>
          <w:lang w:bidi="en-US"/>
        </w:rPr>
      </w:pPr>
      <w:r w:rsidRPr="00F8352F">
        <w:rPr>
          <w:rFonts w:asciiTheme="minorHAnsi" w:hAnsiTheme="minorHAnsi" w:cstheme="minorHAnsi"/>
          <w:bCs/>
          <w:sz w:val="20"/>
          <w:lang w:bidi="en-US"/>
        </w:rPr>
        <w:t>Each training session of approximately 1-2 hours in duration</w:t>
      </w:r>
    </w:p>
    <w:p w14:paraId="1CA54ED5" w14:textId="77777777" w:rsidR="00F8352F" w:rsidRPr="00F8352F" w:rsidRDefault="00F8352F" w:rsidP="00F8352F">
      <w:pPr>
        <w:pStyle w:val="ListParagraph"/>
        <w:numPr>
          <w:ilvl w:val="5"/>
          <w:numId w:val="38"/>
        </w:numPr>
        <w:ind w:left="3240"/>
        <w:rPr>
          <w:rFonts w:asciiTheme="minorHAnsi" w:hAnsiTheme="minorHAnsi" w:cstheme="minorHAnsi"/>
          <w:bCs/>
          <w:sz w:val="20"/>
          <w:lang w:bidi="en-US"/>
        </w:rPr>
      </w:pPr>
      <w:r w:rsidRPr="00F8352F">
        <w:rPr>
          <w:rFonts w:asciiTheme="minorHAnsi" w:hAnsiTheme="minorHAnsi" w:cstheme="minorHAnsi"/>
          <w:bCs/>
          <w:sz w:val="20"/>
          <w:lang w:bidi="en-US"/>
        </w:rPr>
        <w:t>One hard copy or online access to training materials (including any pre-course materials), tools, instructions on use of tools, per attendee of the training class</w:t>
      </w:r>
    </w:p>
    <w:p w14:paraId="1D935D90" w14:textId="5269DCBD" w:rsidR="00AF232B" w:rsidRDefault="00F8352F" w:rsidP="00AF232B">
      <w:pPr>
        <w:pStyle w:val="ListParagraph"/>
        <w:numPr>
          <w:ilvl w:val="5"/>
          <w:numId w:val="38"/>
        </w:numPr>
        <w:ind w:left="3240"/>
        <w:rPr>
          <w:rFonts w:asciiTheme="minorHAnsi" w:hAnsiTheme="minorHAnsi" w:cstheme="minorHAnsi"/>
          <w:bCs/>
          <w:sz w:val="20"/>
          <w:lang w:bidi="en-US"/>
        </w:rPr>
      </w:pPr>
      <w:r w:rsidRPr="00F8352F">
        <w:rPr>
          <w:rFonts w:asciiTheme="minorHAnsi" w:hAnsiTheme="minorHAnsi" w:cstheme="minorHAnsi"/>
          <w:bCs/>
          <w:sz w:val="20"/>
          <w:lang w:bidi="en-US"/>
        </w:rPr>
        <w:t xml:space="preserve">Any other </w:t>
      </w:r>
      <w:proofErr w:type="gramStart"/>
      <w:r w:rsidRPr="00F8352F">
        <w:rPr>
          <w:rFonts w:asciiTheme="minorHAnsi" w:hAnsiTheme="minorHAnsi" w:cstheme="minorHAnsi"/>
          <w:bCs/>
          <w:sz w:val="20"/>
          <w:lang w:bidi="en-US"/>
        </w:rPr>
        <w:t>value added</w:t>
      </w:r>
      <w:proofErr w:type="gramEnd"/>
      <w:r w:rsidRPr="00F8352F">
        <w:rPr>
          <w:rFonts w:asciiTheme="minorHAnsi" w:hAnsiTheme="minorHAnsi" w:cstheme="minorHAnsi"/>
          <w:bCs/>
          <w:sz w:val="20"/>
          <w:lang w:bidi="en-US"/>
        </w:rPr>
        <w:t xml:space="preserve"> products, remote access technology, processes, or services that may complement the training.</w:t>
      </w:r>
    </w:p>
    <w:p w14:paraId="42462C35" w14:textId="191AB629" w:rsidR="00AF232B" w:rsidRDefault="00AF232B" w:rsidP="00AF232B">
      <w:pPr>
        <w:pStyle w:val="ListParagraph"/>
        <w:ind w:left="3600"/>
        <w:rPr>
          <w:rFonts w:asciiTheme="minorHAnsi" w:hAnsiTheme="minorHAnsi" w:cstheme="minorHAnsi"/>
          <w:bCs/>
          <w:sz w:val="20"/>
          <w:lang w:bidi="en-US"/>
        </w:rPr>
      </w:pPr>
    </w:p>
    <w:p w14:paraId="30CB129F" w14:textId="123CA30C" w:rsidR="00AF232B" w:rsidRPr="00AF232B" w:rsidRDefault="00AF232B" w:rsidP="00AF232B">
      <w:pPr>
        <w:pStyle w:val="ListParagraph"/>
        <w:numPr>
          <w:ilvl w:val="0"/>
          <w:numId w:val="34"/>
        </w:numPr>
        <w:rPr>
          <w:rFonts w:asciiTheme="minorHAnsi" w:hAnsiTheme="minorHAnsi" w:cstheme="minorHAnsi"/>
          <w:bCs/>
          <w:sz w:val="20"/>
          <w:lang w:bidi="en-US"/>
        </w:rPr>
      </w:pPr>
      <w:r w:rsidRPr="00AF232B">
        <w:rPr>
          <w:rFonts w:asciiTheme="minorHAnsi" w:hAnsiTheme="minorHAnsi" w:cstheme="minorHAnsi"/>
          <w:bCs/>
          <w:sz w:val="20"/>
          <w:lang w:bidi="en-US"/>
        </w:rPr>
        <w:t xml:space="preserve">Provide subject matter expertise and guidance for the development of informational and supplemental training materials for distribution to all Members.  Materials may include manuals/booklets, forms, newsletters, or web-based media. </w:t>
      </w:r>
    </w:p>
    <w:p w14:paraId="131684AC" w14:textId="270230D5" w:rsidR="00B10937" w:rsidRPr="00042C33" w:rsidRDefault="005011B0" w:rsidP="00042C33">
      <w:pPr>
        <w:pStyle w:val="ListParagraph"/>
        <w:numPr>
          <w:ilvl w:val="2"/>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Insurance Brokerage </w:t>
      </w:r>
      <w:r w:rsidRPr="005011B0">
        <w:rPr>
          <w:rFonts w:asciiTheme="minorHAnsi" w:hAnsiTheme="minorHAnsi" w:cstheme="minorHAnsi"/>
          <w:bCs/>
          <w:sz w:val="20"/>
          <w:lang w:bidi="en-US"/>
        </w:rPr>
        <w:t>and Marketing Services</w:t>
      </w:r>
    </w:p>
    <w:p w14:paraId="20F65C11" w14:textId="24724B43" w:rsidR="005011B0" w:rsidRDefault="005011B0" w:rsidP="005011B0">
      <w:pPr>
        <w:pStyle w:val="ListParagraph"/>
        <w:numPr>
          <w:ilvl w:val="0"/>
          <w:numId w:val="34"/>
        </w:numPr>
        <w:rPr>
          <w:rFonts w:asciiTheme="minorHAnsi" w:hAnsiTheme="minorHAnsi" w:cstheme="minorHAnsi"/>
          <w:bCs/>
          <w:sz w:val="20"/>
          <w:lang w:bidi="en-US"/>
        </w:rPr>
      </w:pPr>
      <w:r>
        <w:rPr>
          <w:rFonts w:asciiTheme="minorHAnsi" w:hAnsiTheme="minorHAnsi" w:cstheme="minorHAnsi"/>
          <w:bCs/>
          <w:sz w:val="20"/>
          <w:lang w:bidi="en-US"/>
        </w:rPr>
        <w:t xml:space="preserve">Annually </w:t>
      </w:r>
      <w:r w:rsidRPr="005011B0">
        <w:rPr>
          <w:rFonts w:asciiTheme="minorHAnsi" w:hAnsiTheme="minorHAnsi" w:cstheme="minorHAnsi"/>
          <w:bCs/>
          <w:sz w:val="20"/>
          <w:lang w:bidi="en-US"/>
        </w:rPr>
        <w:t>solicit quotes from insurers, conduct a comparison evaluation of competing insurance companies, identify the most beneficial entity for the JBWCP, and negotiate a flat fee with selected insurers on behalf of the JCC and the JBWCP.</w:t>
      </w:r>
    </w:p>
    <w:p w14:paraId="4FBE1731" w14:textId="77777777" w:rsidR="00667D3B" w:rsidRPr="005011B0" w:rsidRDefault="00667D3B" w:rsidP="00667D3B">
      <w:pPr>
        <w:pStyle w:val="ListParagraph"/>
        <w:ind w:left="1656"/>
        <w:rPr>
          <w:rFonts w:asciiTheme="minorHAnsi" w:hAnsiTheme="minorHAnsi" w:cstheme="minorHAnsi"/>
          <w:bCs/>
          <w:sz w:val="20"/>
          <w:lang w:bidi="en-US"/>
        </w:rPr>
      </w:pPr>
    </w:p>
    <w:p w14:paraId="445A127A" w14:textId="77777777" w:rsidR="00667D3B" w:rsidRPr="00667D3B" w:rsidRDefault="00667D3B" w:rsidP="00667D3B">
      <w:pPr>
        <w:pStyle w:val="ListParagraph"/>
        <w:numPr>
          <w:ilvl w:val="0"/>
          <w:numId w:val="34"/>
        </w:numPr>
        <w:rPr>
          <w:rFonts w:asciiTheme="minorHAnsi" w:hAnsiTheme="minorHAnsi" w:cstheme="minorHAnsi"/>
          <w:bCs/>
          <w:sz w:val="20"/>
          <w:lang w:bidi="en-US"/>
        </w:rPr>
      </w:pPr>
      <w:r w:rsidRPr="00667D3B">
        <w:rPr>
          <w:rFonts w:asciiTheme="minorHAnsi" w:hAnsiTheme="minorHAnsi" w:cstheme="minorHAnsi"/>
          <w:bCs/>
          <w:sz w:val="20"/>
          <w:lang w:bidi="en-US"/>
        </w:rPr>
        <w:t>Each year, as required, the Contractor will provide insurance marketing services for excess coverage, using an industry standard competitive process. The JBWCP has maintained excess coverage for the trial court program only at $2,000,000.00 - $25,000.000.00.  Communication of the workers’ compensation excess program will require the Contractor to effectively explain the level of decentralization.</w:t>
      </w:r>
    </w:p>
    <w:p w14:paraId="2EEFE31A" w14:textId="59A51B35" w:rsidR="00B10937" w:rsidRDefault="00B10937" w:rsidP="00667D3B">
      <w:pPr>
        <w:pStyle w:val="ListParagraph"/>
        <w:ind w:left="1656"/>
        <w:rPr>
          <w:rFonts w:asciiTheme="minorHAnsi" w:hAnsiTheme="minorHAnsi" w:cstheme="minorHAnsi"/>
          <w:bCs/>
          <w:sz w:val="20"/>
          <w:lang w:bidi="en-US"/>
        </w:rPr>
      </w:pPr>
    </w:p>
    <w:p w14:paraId="0A27039B" w14:textId="783C9832" w:rsidR="00C00AE0" w:rsidRDefault="00667D3B" w:rsidP="00A87552">
      <w:pPr>
        <w:pStyle w:val="ListParagraph"/>
        <w:numPr>
          <w:ilvl w:val="2"/>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Runoff Claims (As Needed)</w:t>
      </w:r>
    </w:p>
    <w:p w14:paraId="45A90F8A" w14:textId="3FF53C55" w:rsidR="00667D3B" w:rsidRDefault="00667D3B" w:rsidP="00667D3B">
      <w:pPr>
        <w:pStyle w:val="ListParagraph"/>
        <w:numPr>
          <w:ilvl w:val="0"/>
          <w:numId w:val="34"/>
        </w:numPr>
        <w:rPr>
          <w:rFonts w:asciiTheme="minorHAnsi" w:hAnsiTheme="minorHAnsi" w:cstheme="minorHAnsi"/>
          <w:bCs/>
          <w:sz w:val="20"/>
          <w:lang w:bidi="en-US"/>
        </w:rPr>
      </w:pPr>
      <w:r>
        <w:rPr>
          <w:rFonts w:asciiTheme="minorHAnsi" w:hAnsiTheme="minorHAnsi" w:cstheme="minorHAnsi"/>
          <w:bCs/>
          <w:sz w:val="20"/>
          <w:lang w:bidi="en-US"/>
        </w:rPr>
        <w:t xml:space="preserve">From </w:t>
      </w:r>
      <w:r w:rsidRPr="00667D3B">
        <w:rPr>
          <w:rFonts w:asciiTheme="minorHAnsi" w:hAnsiTheme="minorHAnsi" w:cstheme="minorHAnsi"/>
          <w:bCs/>
          <w:sz w:val="20"/>
          <w:lang w:bidi="en-US"/>
        </w:rPr>
        <w:t xml:space="preserve">the period January 1, 2001, to the date of each trial court’s conversion into the JBWCP, the trial courts’ workers’ compensation claims were adjusted by their respective counties. While </w:t>
      </w:r>
      <w:proofErr w:type="gramStart"/>
      <w:r w:rsidRPr="00667D3B">
        <w:rPr>
          <w:rFonts w:asciiTheme="minorHAnsi" w:hAnsiTheme="minorHAnsi" w:cstheme="minorHAnsi"/>
          <w:bCs/>
          <w:sz w:val="20"/>
          <w:lang w:bidi="en-US"/>
        </w:rPr>
        <w:t>the majority of</w:t>
      </w:r>
      <w:proofErr w:type="gramEnd"/>
      <w:r w:rsidRPr="00667D3B">
        <w:rPr>
          <w:rFonts w:asciiTheme="minorHAnsi" w:hAnsiTheme="minorHAnsi" w:cstheme="minorHAnsi"/>
          <w:bCs/>
          <w:sz w:val="20"/>
          <w:lang w:bidi="en-US"/>
        </w:rPr>
        <w:t xml:space="preserve"> these county-administered caseloads have been transferred into the JBWCP, the Contractor may be requested to assist with the conversion of several runoff claim transfers. Specific duties may include conducting data verification of: </w:t>
      </w:r>
    </w:p>
    <w:p w14:paraId="3E186378" w14:textId="3B03CFBB" w:rsidR="00667D3B" w:rsidRDefault="00667D3B" w:rsidP="00667D3B">
      <w:pPr>
        <w:pStyle w:val="ListParagraph"/>
        <w:ind w:left="1656"/>
        <w:rPr>
          <w:rFonts w:asciiTheme="minorHAnsi" w:hAnsiTheme="minorHAnsi" w:cstheme="minorHAnsi"/>
          <w:bCs/>
          <w:sz w:val="20"/>
          <w:lang w:bidi="en-US"/>
        </w:rPr>
      </w:pPr>
    </w:p>
    <w:p w14:paraId="76F63228" w14:textId="77777777" w:rsidR="00667D3B" w:rsidRPr="00667D3B" w:rsidRDefault="00667D3B" w:rsidP="00667D3B">
      <w:pPr>
        <w:pStyle w:val="ListParagraph"/>
        <w:numPr>
          <w:ilvl w:val="0"/>
          <w:numId w:val="39"/>
        </w:numPr>
        <w:rPr>
          <w:rFonts w:asciiTheme="minorHAnsi" w:hAnsiTheme="minorHAnsi" w:cstheme="minorHAnsi"/>
          <w:bCs/>
          <w:sz w:val="20"/>
          <w:lang w:bidi="en-US"/>
        </w:rPr>
      </w:pPr>
      <w:r w:rsidRPr="00667D3B">
        <w:rPr>
          <w:rFonts w:asciiTheme="minorHAnsi" w:hAnsiTheme="minorHAnsi" w:cstheme="minorHAnsi"/>
          <w:bCs/>
          <w:sz w:val="20"/>
          <w:lang w:bidi="en-US"/>
        </w:rPr>
        <w:t xml:space="preserve">Payments made by the counties on behalf of the court files (date of inception: January 1, 2001 to the date of each trial court’s conversion into the JBWCP). </w:t>
      </w:r>
    </w:p>
    <w:p w14:paraId="5DEF13C1" w14:textId="77777777" w:rsidR="00667D3B" w:rsidRPr="00667D3B" w:rsidRDefault="00667D3B" w:rsidP="00667D3B">
      <w:pPr>
        <w:pStyle w:val="ListParagraph"/>
        <w:ind w:left="1656"/>
        <w:rPr>
          <w:rFonts w:asciiTheme="minorHAnsi" w:hAnsiTheme="minorHAnsi" w:cstheme="minorHAnsi"/>
          <w:bCs/>
          <w:sz w:val="20"/>
          <w:lang w:bidi="en-US"/>
        </w:rPr>
      </w:pPr>
    </w:p>
    <w:p w14:paraId="37D5AA41" w14:textId="77777777" w:rsidR="00667D3B" w:rsidRPr="00667D3B" w:rsidRDefault="00667D3B" w:rsidP="00667D3B">
      <w:pPr>
        <w:pStyle w:val="ListParagraph"/>
        <w:numPr>
          <w:ilvl w:val="0"/>
          <w:numId w:val="39"/>
        </w:numPr>
        <w:rPr>
          <w:rFonts w:asciiTheme="minorHAnsi" w:hAnsiTheme="minorHAnsi" w:cstheme="minorHAnsi"/>
          <w:bCs/>
          <w:sz w:val="20"/>
          <w:lang w:bidi="en-US"/>
        </w:rPr>
      </w:pPr>
      <w:r w:rsidRPr="00667D3B">
        <w:rPr>
          <w:rFonts w:asciiTheme="minorHAnsi" w:hAnsiTheme="minorHAnsi" w:cstheme="minorHAnsi"/>
          <w:bCs/>
          <w:sz w:val="20"/>
          <w:lang w:bidi="en-US"/>
        </w:rPr>
        <w:t>Amounts collected by the counties from the courts for the administration and payment of the court files.</w:t>
      </w:r>
    </w:p>
    <w:p w14:paraId="1AF162F9" w14:textId="77777777" w:rsidR="00667D3B" w:rsidRPr="00667D3B" w:rsidRDefault="00667D3B" w:rsidP="00667D3B">
      <w:pPr>
        <w:pStyle w:val="ListParagraph"/>
        <w:ind w:left="1656"/>
        <w:rPr>
          <w:rFonts w:asciiTheme="minorHAnsi" w:hAnsiTheme="minorHAnsi" w:cstheme="minorHAnsi"/>
          <w:bCs/>
          <w:sz w:val="20"/>
          <w:lang w:bidi="en-US"/>
        </w:rPr>
      </w:pPr>
    </w:p>
    <w:p w14:paraId="396E9864" w14:textId="77777777" w:rsidR="00667D3B" w:rsidRPr="00667D3B" w:rsidRDefault="00667D3B" w:rsidP="00667D3B">
      <w:pPr>
        <w:pStyle w:val="ListParagraph"/>
        <w:numPr>
          <w:ilvl w:val="0"/>
          <w:numId w:val="39"/>
        </w:numPr>
        <w:rPr>
          <w:rFonts w:asciiTheme="minorHAnsi" w:hAnsiTheme="minorHAnsi" w:cstheme="minorHAnsi"/>
          <w:bCs/>
          <w:sz w:val="20"/>
          <w:lang w:bidi="en-US"/>
        </w:rPr>
      </w:pPr>
      <w:r w:rsidRPr="00667D3B">
        <w:rPr>
          <w:rFonts w:asciiTheme="minorHAnsi" w:hAnsiTheme="minorHAnsi" w:cstheme="minorHAnsi"/>
          <w:bCs/>
          <w:sz w:val="20"/>
          <w:lang w:bidi="en-US"/>
        </w:rPr>
        <w:t xml:space="preserve">Amounts the court reflects as payments made to the counties for the administration and payment of court files. </w:t>
      </w:r>
    </w:p>
    <w:p w14:paraId="1C451420" w14:textId="77777777" w:rsidR="00667D3B" w:rsidRPr="00667D3B" w:rsidRDefault="00667D3B" w:rsidP="00667D3B">
      <w:pPr>
        <w:pStyle w:val="ListParagraph"/>
        <w:ind w:left="1656"/>
        <w:rPr>
          <w:rFonts w:asciiTheme="minorHAnsi" w:hAnsiTheme="minorHAnsi" w:cstheme="minorHAnsi"/>
          <w:bCs/>
          <w:sz w:val="20"/>
          <w:lang w:bidi="en-US"/>
        </w:rPr>
      </w:pPr>
    </w:p>
    <w:p w14:paraId="058B02AA" w14:textId="1D3B5501" w:rsidR="00667D3B" w:rsidRDefault="00667D3B" w:rsidP="00667D3B">
      <w:pPr>
        <w:pStyle w:val="ListParagraph"/>
        <w:numPr>
          <w:ilvl w:val="0"/>
          <w:numId w:val="34"/>
        </w:numPr>
        <w:rPr>
          <w:rFonts w:asciiTheme="minorHAnsi" w:hAnsiTheme="minorHAnsi" w:cstheme="minorHAnsi"/>
          <w:bCs/>
          <w:sz w:val="20"/>
          <w:lang w:bidi="en-US"/>
        </w:rPr>
      </w:pPr>
      <w:r>
        <w:rPr>
          <w:rFonts w:asciiTheme="minorHAnsi" w:hAnsiTheme="minorHAnsi" w:cstheme="minorHAnsi"/>
          <w:bCs/>
          <w:sz w:val="20"/>
          <w:lang w:bidi="en-US"/>
        </w:rPr>
        <w:t xml:space="preserve">The </w:t>
      </w:r>
      <w:r w:rsidRPr="00667D3B">
        <w:rPr>
          <w:rFonts w:asciiTheme="minorHAnsi" w:hAnsiTheme="minorHAnsi" w:cstheme="minorHAnsi"/>
          <w:bCs/>
          <w:sz w:val="20"/>
          <w:lang w:bidi="en-US"/>
        </w:rPr>
        <w:t>Contractor will provide the following:</w:t>
      </w:r>
    </w:p>
    <w:p w14:paraId="0838B8AB" w14:textId="77777777" w:rsidR="00667D3B" w:rsidRDefault="00667D3B" w:rsidP="00667D3B">
      <w:pPr>
        <w:pStyle w:val="ListParagraph"/>
        <w:ind w:left="1656"/>
        <w:rPr>
          <w:rFonts w:asciiTheme="minorHAnsi" w:hAnsiTheme="minorHAnsi" w:cstheme="minorHAnsi"/>
          <w:bCs/>
          <w:sz w:val="20"/>
          <w:lang w:bidi="en-US"/>
        </w:rPr>
      </w:pPr>
    </w:p>
    <w:p w14:paraId="1BC5CCDB" w14:textId="77777777" w:rsidR="00667D3B" w:rsidRPr="00667D3B" w:rsidRDefault="00667D3B" w:rsidP="00667D3B">
      <w:pPr>
        <w:pStyle w:val="ListParagraph"/>
        <w:numPr>
          <w:ilvl w:val="0"/>
          <w:numId w:val="40"/>
        </w:numPr>
        <w:rPr>
          <w:rFonts w:asciiTheme="minorHAnsi" w:hAnsiTheme="minorHAnsi" w:cstheme="minorHAnsi"/>
          <w:bCs/>
          <w:sz w:val="20"/>
          <w:lang w:bidi="en-US"/>
        </w:rPr>
      </w:pPr>
      <w:r w:rsidRPr="00667D3B">
        <w:rPr>
          <w:rFonts w:asciiTheme="minorHAnsi" w:hAnsiTheme="minorHAnsi" w:cstheme="minorHAnsi"/>
          <w:bCs/>
          <w:sz w:val="20"/>
          <w:lang w:bidi="en-US"/>
        </w:rPr>
        <w:t xml:space="preserve">Program Management – prioritize unresolved counties runoff liabilities based on available data from the counties and </w:t>
      </w:r>
      <w:proofErr w:type="gramStart"/>
      <w:r w:rsidRPr="00667D3B">
        <w:rPr>
          <w:rFonts w:asciiTheme="minorHAnsi" w:hAnsiTheme="minorHAnsi" w:cstheme="minorHAnsi"/>
          <w:bCs/>
          <w:sz w:val="20"/>
          <w:lang w:bidi="en-US"/>
        </w:rPr>
        <w:t>courts, and</w:t>
      </w:r>
      <w:proofErr w:type="gramEnd"/>
      <w:r w:rsidRPr="00667D3B">
        <w:rPr>
          <w:rFonts w:asciiTheme="minorHAnsi" w:hAnsiTheme="minorHAnsi" w:cstheme="minorHAnsi"/>
          <w:bCs/>
          <w:sz w:val="20"/>
          <w:lang w:bidi="en-US"/>
        </w:rPr>
        <w:t xml:space="preserve"> assist the JCC with dispute resolutions on the unresolved liabilities with the counties.</w:t>
      </w:r>
    </w:p>
    <w:p w14:paraId="0E50C168" w14:textId="77777777" w:rsidR="00667D3B" w:rsidRPr="00667D3B" w:rsidRDefault="00667D3B" w:rsidP="00667D3B">
      <w:pPr>
        <w:pStyle w:val="ListParagraph"/>
        <w:ind w:left="2520"/>
        <w:rPr>
          <w:rFonts w:asciiTheme="minorHAnsi" w:hAnsiTheme="minorHAnsi" w:cstheme="minorHAnsi"/>
          <w:bCs/>
          <w:sz w:val="20"/>
          <w:lang w:bidi="en-US"/>
        </w:rPr>
      </w:pPr>
    </w:p>
    <w:p w14:paraId="4B187012" w14:textId="77777777" w:rsidR="00667D3B" w:rsidRPr="00667D3B" w:rsidRDefault="00667D3B" w:rsidP="00667D3B">
      <w:pPr>
        <w:pStyle w:val="ListParagraph"/>
        <w:numPr>
          <w:ilvl w:val="0"/>
          <w:numId w:val="40"/>
        </w:numPr>
        <w:rPr>
          <w:rFonts w:asciiTheme="minorHAnsi" w:hAnsiTheme="minorHAnsi" w:cstheme="minorHAnsi"/>
          <w:bCs/>
          <w:sz w:val="20"/>
          <w:lang w:bidi="en-US"/>
        </w:rPr>
      </w:pPr>
      <w:r w:rsidRPr="00667D3B">
        <w:rPr>
          <w:rFonts w:asciiTheme="minorHAnsi" w:hAnsiTheme="minorHAnsi" w:cstheme="minorHAnsi"/>
          <w:bCs/>
          <w:sz w:val="20"/>
          <w:lang w:bidi="en-US"/>
        </w:rPr>
        <w:t xml:space="preserve">Reserve Analysis – review open runoff claims and determine the adequacy of reserves and exposures. </w:t>
      </w:r>
    </w:p>
    <w:p w14:paraId="039052B6" w14:textId="77777777" w:rsidR="00667D3B" w:rsidRPr="00667D3B" w:rsidRDefault="00667D3B" w:rsidP="00667D3B">
      <w:pPr>
        <w:rPr>
          <w:rFonts w:asciiTheme="minorHAnsi" w:hAnsiTheme="minorHAnsi" w:cstheme="minorHAnsi"/>
          <w:bCs/>
          <w:sz w:val="20"/>
          <w:lang w:bidi="en-US"/>
        </w:rPr>
      </w:pPr>
    </w:p>
    <w:p w14:paraId="52C1C05F" w14:textId="5215E7AB" w:rsidR="00667D3B" w:rsidRDefault="00667D3B" w:rsidP="00667D3B">
      <w:pPr>
        <w:pStyle w:val="ListParagraph"/>
        <w:numPr>
          <w:ilvl w:val="0"/>
          <w:numId w:val="40"/>
        </w:numPr>
      </w:pPr>
      <w:r w:rsidRPr="00667D3B">
        <w:rPr>
          <w:rFonts w:asciiTheme="minorHAnsi" w:hAnsiTheme="minorHAnsi" w:cstheme="minorHAnsi"/>
          <w:bCs/>
          <w:sz w:val="20"/>
          <w:lang w:bidi="en-US"/>
        </w:rPr>
        <w:t xml:space="preserve">Data Validation and Collection – collect and validate all runoff claims’ data, payments, employment of claimants, allocations assessed by the counties to the courts, and verify allocations charged by the counties with the courts. In </w:t>
      </w:r>
      <w:proofErr w:type="gramStart"/>
      <w:r w:rsidRPr="00667D3B">
        <w:rPr>
          <w:rFonts w:asciiTheme="minorHAnsi" w:hAnsiTheme="minorHAnsi" w:cstheme="minorHAnsi"/>
          <w:bCs/>
          <w:sz w:val="20"/>
          <w:lang w:bidi="en-US"/>
        </w:rPr>
        <w:t>addition</w:t>
      </w:r>
      <w:proofErr w:type="gramEnd"/>
      <w:r w:rsidRPr="00667D3B">
        <w:rPr>
          <w:rFonts w:asciiTheme="minorHAnsi" w:hAnsiTheme="minorHAnsi" w:cstheme="minorHAnsi"/>
          <w:bCs/>
          <w:sz w:val="20"/>
          <w:lang w:bidi="en-US"/>
        </w:rPr>
        <w:t xml:space="preserve"> the Contractor will gather additional information as needed for validation purposes</w:t>
      </w:r>
      <w:r w:rsidRPr="00873C79">
        <w:t xml:space="preserve">. </w:t>
      </w:r>
    </w:p>
    <w:p w14:paraId="2D656A5B" w14:textId="5AD2190D" w:rsidR="007B3C95" w:rsidRDefault="007B3C95" w:rsidP="007B3C95">
      <w:pPr>
        <w:pStyle w:val="ListParagraph"/>
        <w:ind w:left="2520"/>
      </w:pPr>
    </w:p>
    <w:p w14:paraId="7CE33F31" w14:textId="22273793" w:rsidR="00667D3B" w:rsidRPr="007B3C95" w:rsidRDefault="007B3C95" w:rsidP="007B3C95">
      <w:pPr>
        <w:pStyle w:val="ListParagraph"/>
        <w:numPr>
          <w:ilvl w:val="2"/>
          <w:numId w:val="18"/>
        </w:numPr>
        <w:rPr>
          <w:rFonts w:asciiTheme="minorHAnsi" w:hAnsiTheme="minorHAnsi" w:cstheme="minorHAnsi"/>
          <w:bCs/>
          <w:sz w:val="20"/>
          <w:lang w:bidi="en-US"/>
        </w:rPr>
      </w:pPr>
      <w:r w:rsidRPr="007B3C95">
        <w:rPr>
          <w:rFonts w:asciiTheme="minorHAnsi" w:hAnsiTheme="minorHAnsi" w:cstheme="minorHAnsi"/>
          <w:bCs/>
          <w:sz w:val="20"/>
          <w:lang w:bidi="en-US"/>
        </w:rPr>
        <w:t xml:space="preserve">The Contractor </w:t>
      </w:r>
      <w:r>
        <w:rPr>
          <w:rFonts w:asciiTheme="minorHAnsi" w:hAnsiTheme="minorHAnsi" w:cstheme="minorHAnsi"/>
          <w:bCs/>
          <w:sz w:val="20"/>
          <w:lang w:bidi="en-US"/>
        </w:rPr>
        <w:t xml:space="preserve">shall have </w:t>
      </w:r>
      <w:r w:rsidRPr="007B3C95">
        <w:rPr>
          <w:rFonts w:asciiTheme="minorHAnsi" w:hAnsiTheme="minorHAnsi" w:cstheme="minorHAnsi"/>
          <w:bCs/>
          <w:sz w:val="20"/>
          <w:lang w:bidi="en-US"/>
        </w:rPr>
        <w:t>security measures in place to protect confidential information, including personnel and medical information, from unauthorized use, access or disclosure.</w:t>
      </w: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055FB46B" w14:textId="504CCB00" w:rsidR="008258DA" w:rsidRDefault="008258DA" w:rsidP="00846E22">
      <w:pPr>
        <w:pStyle w:val="ListParagraph"/>
        <w:numPr>
          <w:ilvl w:val="0"/>
          <w:numId w:val="21"/>
        </w:numPr>
        <w:spacing w:before="120" w:after="120"/>
        <w:ind w:left="1260"/>
        <w:rPr>
          <w:rFonts w:asciiTheme="minorHAnsi" w:hAnsiTheme="minorHAnsi" w:cstheme="minorHAnsi"/>
          <w:bCs/>
          <w:sz w:val="20"/>
          <w:lang w:bidi="en-US"/>
        </w:rPr>
      </w:pPr>
      <w:r w:rsidRPr="008258DA">
        <w:rPr>
          <w:rFonts w:asciiTheme="minorHAnsi" w:hAnsiTheme="minorHAnsi" w:cstheme="minorHAnsi"/>
          <w:b/>
          <w:bCs/>
          <w:sz w:val="20"/>
          <w:u w:val="single"/>
          <w:lang w:bidi="en-US"/>
        </w:rPr>
        <w:t>Workers’ Compensation Program Management</w:t>
      </w:r>
      <w:r>
        <w:rPr>
          <w:rFonts w:asciiTheme="minorHAnsi" w:hAnsiTheme="minorHAnsi" w:cstheme="minorHAnsi"/>
          <w:bCs/>
          <w:sz w:val="20"/>
          <w:lang w:bidi="en-US"/>
        </w:rPr>
        <w:t>: D</w:t>
      </w:r>
      <w:r w:rsidRPr="008258DA">
        <w:rPr>
          <w:rFonts w:asciiTheme="minorHAnsi" w:hAnsiTheme="minorHAnsi" w:cstheme="minorHAnsi"/>
          <w:bCs/>
          <w:sz w:val="20"/>
          <w:lang w:bidi="en-US"/>
        </w:rPr>
        <w:t>etailed invoices shall be submitted monthly identifying key staff and hours</w:t>
      </w:r>
      <w:r>
        <w:rPr>
          <w:rFonts w:asciiTheme="minorHAnsi" w:hAnsiTheme="minorHAnsi" w:cstheme="minorHAnsi"/>
          <w:bCs/>
          <w:sz w:val="20"/>
          <w:lang w:bidi="en-US"/>
        </w:rPr>
        <w:t>.</w:t>
      </w:r>
    </w:p>
    <w:p w14:paraId="74911F7A" w14:textId="0977AA72" w:rsidR="008258DA" w:rsidRPr="008258DA" w:rsidRDefault="008258DA" w:rsidP="00846E22">
      <w:pPr>
        <w:pStyle w:val="ListParagraph"/>
        <w:numPr>
          <w:ilvl w:val="0"/>
          <w:numId w:val="21"/>
        </w:numPr>
        <w:spacing w:before="120" w:after="120"/>
        <w:ind w:left="1260"/>
        <w:rPr>
          <w:rFonts w:asciiTheme="minorHAnsi" w:hAnsiTheme="minorHAnsi" w:cstheme="minorHAnsi"/>
          <w:bCs/>
          <w:sz w:val="20"/>
          <w:lang w:bidi="en-US"/>
        </w:rPr>
      </w:pPr>
      <w:r>
        <w:rPr>
          <w:rFonts w:asciiTheme="minorHAnsi" w:hAnsiTheme="minorHAnsi" w:cstheme="minorHAnsi"/>
          <w:b/>
          <w:bCs/>
          <w:sz w:val="20"/>
          <w:u w:val="single"/>
          <w:lang w:bidi="en-US"/>
        </w:rPr>
        <w:t>Claims Oversight and Maintenance</w:t>
      </w:r>
      <w:r w:rsidRPr="008258DA">
        <w:rPr>
          <w:rFonts w:asciiTheme="minorHAnsi" w:hAnsiTheme="minorHAnsi" w:cstheme="minorHAnsi"/>
          <w:bCs/>
          <w:sz w:val="20"/>
          <w:lang w:bidi="en-US"/>
        </w:rPr>
        <w:t>:</w:t>
      </w:r>
      <w:r>
        <w:rPr>
          <w:rFonts w:asciiTheme="minorHAnsi" w:hAnsiTheme="minorHAnsi" w:cstheme="minorHAnsi"/>
          <w:bCs/>
          <w:sz w:val="20"/>
          <w:lang w:bidi="en-US"/>
        </w:rPr>
        <w:t xml:space="preserve"> D</w:t>
      </w:r>
      <w:r w:rsidRPr="008258DA">
        <w:rPr>
          <w:rFonts w:asciiTheme="minorHAnsi" w:hAnsiTheme="minorHAnsi" w:cstheme="minorHAnsi"/>
          <w:bCs/>
          <w:sz w:val="20"/>
          <w:lang w:bidi="en-US"/>
        </w:rPr>
        <w:t>etailed invoices shall be submitted monthly identifying key staff and hours.</w:t>
      </w:r>
    </w:p>
    <w:p w14:paraId="529C7C1C" w14:textId="7F383236" w:rsidR="000033AA" w:rsidRPr="003861F7" w:rsidRDefault="001C775D" w:rsidP="00846E22">
      <w:pPr>
        <w:pStyle w:val="ListParagraph"/>
        <w:numPr>
          <w:ilvl w:val="0"/>
          <w:numId w:val="21"/>
        </w:numPr>
        <w:spacing w:before="120" w:after="120"/>
        <w:ind w:left="1260"/>
        <w:rPr>
          <w:rFonts w:asciiTheme="minorHAnsi" w:hAnsiTheme="minorHAnsi" w:cstheme="minorHAnsi"/>
          <w:bCs/>
          <w:sz w:val="20"/>
          <w:lang w:bidi="en-US"/>
        </w:rPr>
      </w:pPr>
      <w:r>
        <w:rPr>
          <w:rFonts w:asciiTheme="minorHAnsi" w:hAnsiTheme="minorHAnsi" w:cstheme="minorHAnsi"/>
          <w:b/>
          <w:bCs/>
          <w:sz w:val="20"/>
          <w:u w:val="single"/>
          <w:lang w:bidi="en-US"/>
        </w:rPr>
        <w:t>Training</w:t>
      </w:r>
      <w:r w:rsidR="003861F7" w:rsidRPr="003861F7">
        <w:rPr>
          <w:rFonts w:asciiTheme="minorHAnsi" w:hAnsiTheme="minorHAnsi" w:cstheme="minorHAnsi"/>
          <w:bCs/>
          <w:sz w:val="20"/>
          <w:lang w:bidi="en-US"/>
        </w:rPr>
        <w:t>:</w:t>
      </w:r>
      <w:r w:rsidR="003861F7">
        <w:rPr>
          <w:rFonts w:asciiTheme="minorHAnsi" w:hAnsiTheme="minorHAnsi" w:cstheme="minorHAnsi"/>
          <w:bCs/>
          <w:sz w:val="20"/>
          <w:lang w:bidi="en-US"/>
        </w:rPr>
        <w:t xml:space="preserve"> </w:t>
      </w:r>
      <w:r w:rsidR="008258DA">
        <w:rPr>
          <w:rFonts w:asciiTheme="minorHAnsi" w:hAnsiTheme="minorHAnsi" w:cstheme="minorHAnsi"/>
          <w:bCs/>
          <w:sz w:val="20"/>
          <w:lang w:bidi="en-US"/>
        </w:rPr>
        <w:t>S</w:t>
      </w:r>
      <w:r w:rsidR="003861F7" w:rsidRPr="003861F7">
        <w:rPr>
          <w:rFonts w:asciiTheme="minorHAnsi" w:hAnsiTheme="minorHAnsi" w:cstheme="minorHAnsi"/>
          <w:bCs/>
          <w:sz w:val="20"/>
          <w:lang w:bidi="en-US"/>
        </w:rPr>
        <w:t xml:space="preserve">hall be invoiced after the </w:t>
      </w:r>
      <w:r>
        <w:rPr>
          <w:rFonts w:asciiTheme="minorHAnsi" w:hAnsiTheme="minorHAnsi" w:cstheme="minorHAnsi"/>
          <w:bCs/>
          <w:sz w:val="20"/>
          <w:lang w:bidi="en-US"/>
        </w:rPr>
        <w:t xml:space="preserve">Training </w:t>
      </w:r>
      <w:r w:rsidR="003861F7" w:rsidRPr="003861F7">
        <w:rPr>
          <w:rFonts w:asciiTheme="minorHAnsi" w:hAnsiTheme="minorHAnsi" w:cstheme="minorHAnsi"/>
          <w:bCs/>
          <w:sz w:val="20"/>
          <w:lang w:bidi="en-US"/>
        </w:rPr>
        <w:t xml:space="preserve">has been </w:t>
      </w:r>
      <w:r>
        <w:rPr>
          <w:rFonts w:asciiTheme="minorHAnsi" w:hAnsiTheme="minorHAnsi" w:cstheme="minorHAnsi"/>
          <w:bCs/>
          <w:sz w:val="20"/>
          <w:lang w:bidi="en-US"/>
        </w:rPr>
        <w:t>completed</w:t>
      </w:r>
      <w:r w:rsidR="003861F7" w:rsidRPr="003861F7">
        <w:rPr>
          <w:rFonts w:asciiTheme="minorHAnsi" w:hAnsiTheme="minorHAnsi" w:cstheme="minorHAnsi"/>
          <w:bCs/>
          <w:sz w:val="20"/>
          <w:lang w:bidi="en-US"/>
        </w:rPr>
        <w:t xml:space="preserve"> and accepted by JBWCP Staff.</w:t>
      </w:r>
    </w:p>
    <w:p w14:paraId="7EDC6131" w14:textId="29EB3981" w:rsidR="003861F7" w:rsidRDefault="00F32525" w:rsidP="00F32525">
      <w:pPr>
        <w:pStyle w:val="ListParagraph"/>
        <w:numPr>
          <w:ilvl w:val="0"/>
          <w:numId w:val="21"/>
        </w:numPr>
        <w:spacing w:before="120" w:after="120"/>
        <w:ind w:left="1260"/>
        <w:rPr>
          <w:rFonts w:asciiTheme="minorHAnsi" w:hAnsiTheme="minorHAnsi" w:cstheme="minorHAnsi"/>
          <w:bCs/>
          <w:sz w:val="20"/>
          <w:lang w:bidi="en-US"/>
        </w:rPr>
      </w:pPr>
      <w:r>
        <w:rPr>
          <w:rFonts w:asciiTheme="minorHAnsi" w:hAnsiTheme="minorHAnsi" w:cstheme="minorHAnsi"/>
          <w:b/>
          <w:bCs/>
          <w:sz w:val="20"/>
          <w:u w:val="single"/>
          <w:lang w:bidi="en-US"/>
        </w:rPr>
        <w:t>Insurance Brokerage Marketing Services</w:t>
      </w:r>
      <w:r w:rsidR="003861F7" w:rsidRPr="003861F7">
        <w:rPr>
          <w:rFonts w:asciiTheme="minorHAnsi" w:hAnsiTheme="minorHAnsi" w:cstheme="minorHAnsi"/>
          <w:bCs/>
          <w:sz w:val="20"/>
          <w:lang w:bidi="en-US"/>
        </w:rPr>
        <w:t xml:space="preserve">: Shall be invoiced after </w:t>
      </w:r>
      <w:r>
        <w:rPr>
          <w:rFonts w:asciiTheme="minorHAnsi" w:hAnsiTheme="minorHAnsi" w:cstheme="minorHAnsi"/>
          <w:bCs/>
          <w:sz w:val="20"/>
          <w:lang w:bidi="en-US"/>
        </w:rPr>
        <w:t xml:space="preserve">the services </w:t>
      </w:r>
      <w:r w:rsidR="003861F7" w:rsidRPr="003861F7">
        <w:rPr>
          <w:rFonts w:asciiTheme="minorHAnsi" w:hAnsiTheme="minorHAnsi" w:cstheme="minorHAnsi"/>
          <w:bCs/>
          <w:sz w:val="20"/>
          <w:lang w:bidi="en-US"/>
        </w:rPr>
        <w:t>ha</w:t>
      </w:r>
      <w:r>
        <w:rPr>
          <w:rFonts w:asciiTheme="minorHAnsi" w:hAnsiTheme="minorHAnsi" w:cstheme="minorHAnsi"/>
          <w:bCs/>
          <w:sz w:val="20"/>
          <w:lang w:bidi="en-US"/>
        </w:rPr>
        <w:t>ve</w:t>
      </w:r>
      <w:r w:rsidR="003861F7" w:rsidRPr="003861F7">
        <w:rPr>
          <w:rFonts w:asciiTheme="minorHAnsi" w:hAnsiTheme="minorHAnsi" w:cstheme="minorHAnsi"/>
          <w:bCs/>
          <w:sz w:val="20"/>
          <w:lang w:bidi="en-US"/>
        </w:rPr>
        <w:t xml:space="preserve"> been </w:t>
      </w:r>
      <w:r>
        <w:rPr>
          <w:rFonts w:asciiTheme="minorHAnsi" w:hAnsiTheme="minorHAnsi" w:cstheme="minorHAnsi"/>
          <w:bCs/>
          <w:sz w:val="20"/>
          <w:lang w:bidi="en-US"/>
        </w:rPr>
        <w:t>completed</w:t>
      </w:r>
      <w:r w:rsidR="003861F7" w:rsidRPr="003861F7">
        <w:rPr>
          <w:rFonts w:asciiTheme="minorHAnsi" w:hAnsiTheme="minorHAnsi" w:cstheme="minorHAnsi"/>
          <w:bCs/>
          <w:sz w:val="20"/>
          <w:lang w:bidi="en-US"/>
        </w:rPr>
        <w:t xml:space="preserve"> and accepted by JBWCP Staf</w:t>
      </w:r>
      <w:r>
        <w:rPr>
          <w:rFonts w:asciiTheme="minorHAnsi" w:hAnsiTheme="minorHAnsi" w:cstheme="minorHAnsi"/>
          <w:bCs/>
          <w:sz w:val="20"/>
          <w:lang w:bidi="en-US"/>
        </w:rPr>
        <w:t>f</w:t>
      </w:r>
    </w:p>
    <w:p w14:paraId="4009D551" w14:textId="5880F650" w:rsidR="008258DA" w:rsidRPr="00F32525" w:rsidRDefault="008258DA" w:rsidP="00F32525">
      <w:pPr>
        <w:pStyle w:val="ListParagraph"/>
        <w:numPr>
          <w:ilvl w:val="0"/>
          <w:numId w:val="21"/>
        </w:numPr>
        <w:spacing w:before="120" w:after="120"/>
        <w:ind w:left="1260"/>
        <w:rPr>
          <w:rFonts w:asciiTheme="minorHAnsi" w:hAnsiTheme="minorHAnsi" w:cstheme="minorHAnsi"/>
          <w:bCs/>
          <w:sz w:val="20"/>
          <w:lang w:bidi="en-US"/>
        </w:rPr>
      </w:pPr>
      <w:r>
        <w:rPr>
          <w:rFonts w:asciiTheme="minorHAnsi" w:hAnsiTheme="minorHAnsi" w:cstheme="minorHAnsi"/>
          <w:b/>
          <w:bCs/>
          <w:sz w:val="20"/>
          <w:u w:val="single"/>
          <w:lang w:bidi="en-US"/>
        </w:rPr>
        <w:t>Runoff Claims (as needed)</w:t>
      </w:r>
      <w:r w:rsidRPr="008258DA">
        <w:rPr>
          <w:rFonts w:asciiTheme="minorHAnsi" w:hAnsiTheme="minorHAnsi" w:cstheme="minorHAnsi"/>
          <w:bCs/>
          <w:sz w:val="20"/>
          <w:lang w:bidi="en-US"/>
        </w:rPr>
        <w:t>:</w:t>
      </w:r>
      <w:r>
        <w:rPr>
          <w:rFonts w:asciiTheme="minorHAnsi" w:hAnsiTheme="minorHAnsi" w:cstheme="minorHAnsi"/>
          <w:bCs/>
          <w:sz w:val="20"/>
          <w:lang w:bidi="en-US"/>
        </w:rPr>
        <w:t xml:space="preserve"> </w:t>
      </w:r>
      <w:r w:rsidRPr="008258DA">
        <w:rPr>
          <w:rFonts w:asciiTheme="minorHAnsi" w:hAnsiTheme="minorHAnsi" w:cstheme="minorHAnsi"/>
          <w:bCs/>
          <w:sz w:val="20"/>
          <w:lang w:bidi="en-US"/>
        </w:rPr>
        <w:t>Detailed invoices shall be submitted monthly identifying key staff and hours.</w:t>
      </w:r>
    </w:p>
    <w:p w14:paraId="63559B65" w14:textId="13BFFBDE" w:rsidR="00C4177B" w:rsidRPr="00F32525"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2E34E9" w14:textId="66DEA488" w:rsidR="00F32525" w:rsidRPr="00927DC6" w:rsidRDefault="00F32525" w:rsidP="00F32525">
      <w:pPr>
        <w:spacing w:before="120" w:after="120"/>
        <w:ind w:left="936"/>
        <w:rPr>
          <w:rFonts w:asciiTheme="minorHAnsi" w:hAnsiTheme="minorHAnsi" w:cstheme="minorHAnsi"/>
          <w:bCs/>
          <w:sz w:val="20"/>
          <w:u w:val="single"/>
          <w:lang w:bidi="en-US"/>
        </w:rPr>
      </w:pPr>
      <w:r w:rsidRPr="00F32525">
        <w:rPr>
          <w:rFonts w:asciiTheme="minorHAnsi" w:hAnsiTheme="minorHAnsi" w:cstheme="minorHAnsi"/>
          <w:b/>
          <w:bCs/>
          <w:sz w:val="20"/>
          <w:highlight w:val="yellow"/>
          <w:lang w:bidi="en-US"/>
        </w:rPr>
        <w:t>TBD</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7BE2DE4D" w:rsidR="00B15A09" w:rsidRPr="00E31F33" w:rsidRDefault="00E37567" w:rsidP="00E31F33">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9"/>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159EBD4B" w:rsidR="00E165F5" w:rsidRPr="00DF2438" w:rsidRDefault="00DF2438" w:rsidP="00846E22">
      <w:pPr>
        <w:numPr>
          <w:ilvl w:val="0"/>
          <w:numId w:val="17"/>
        </w:numPr>
        <w:spacing w:before="120" w:after="120"/>
        <w:ind w:left="720" w:firstLine="0"/>
        <w:rPr>
          <w:rFonts w:asciiTheme="minorHAnsi" w:hAnsiTheme="minorHAnsi" w:cstheme="minorHAnsi"/>
          <w:b/>
          <w:bCs/>
          <w:i/>
          <w:sz w:val="20"/>
          <w:lang w:bidi="en-US"/>
        </w:rPr>
      </w:pPr>
      <w:r w:rsidRPr="00DF2438">
        <w:rPr>
          <w:rFonts w:asciiTheme="minorHAnsi" w:hAnsiTheme="minorHAnsi" w:cstheme="minorHAnsi"/>
          <w:b/>
          <w:bCs/>
          <w:i/>
          <w:sz w:val="20"/>
          <w:lang w:bidi="en-US"/>
        </w:rPr>
        <w:t>N/A</w:t>
      </w:r>
      <w:r w:rsidR="00E165F5" w:rsidRPr="00DF2438">
        <w:rPr>
          <w:rFonts w:asciiTheme="minorHAnsi" w:hAnsiTheme="minorHAnsi" w:cstheme="minorHAnsi"/>
          <w:b/>
          <w:bCs/>
          <w:i/>
          <w:sz w:val="20"/>
          <w:lang w:bidi="en-US"/>
        </w:rPr>
        <w:t xml:space="preserve">  </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D21F698" w14:textId="0A6F2121" w:rsidR="00C36343" w:rsidRPr="00E951A5" w:rsidRDefault="00E165F5" w:rsidP="00E951A5">
      <w:pPr>
        <w:numPr>
          <w:ilvl w:val="0"/>
          <w:numId w:val="17"/>
        </w:numPr>
        <w:spacing w:before="120" w:after="120"/>
        <w:ind w:left="720" w:firstLine="0"/>
        <w:rPr>
          <w:rFonts w:asciiTheme="minorHAnsi" w:hAnsiTheme="minorHAnsi" w:cstheme="minorHAnsi"/>
          <w:bCs/>
          <w:i/>
          <w:sz w:val="20"/>
          <w:highlight w:val="yellow"/>
          <w:lang w:bidi="en-US"/>
        </w:rPr>
      </w:pPr>
      <w:r>
        <w:rPr>
          <w:rFonts w:asciiTheme="minorHAnsi" w:hAnsiTheme="minorHAnsi" w:cstheme="minorHAnsi"/>
          <w:bCs/>
          <w:i/>
          <w:sz w:val="20"/>
          <w:lang w:bidi="en-US"/>
        </w:rPr>
        <w:t xml:space="preserve">  </w:t>
      </w:r>
      <w:r w:rsidR="00AF47B6" w:rsidRPr="00AF47B6">
        <w:rPr>
          <w:rFonts w:asciiTheme="minorHAnsi" w:hAnsiTheme="minorHAnsi" w:cstheme="minorHAnsi"/>
          <w:bCs/>
          <w:i/>
          <w:sz w:val="20"/>
          <w:highlight w:val="yellow"/>
          <w:lang w:bidi="en-US"/>
        </w:rPr>
        <w:t>TBD</w:t>
      </w: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w:t>
      </w:r>
      <w:r w:rsidR="00702D06" w:rsidRPr="00CD19A5">
        <w:rPr>
          <w:rFonts w:asciiTheme="minorHAnsi" w:hAnsiTheme="minorHAnsi" w:cstheme="minorHAnsi"/>
          <w:bCs/>
          <w:sz w:val="20"/>
          <w:highlight w:val="yellow"/>
        </w:rPr>
        <w:t xml:space="preserve">(15%)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65695C" w14:textId="012E7324" w:rsidR="00513347" w:rsidRPr="003361AC" w:rsidRDefault="00B6312C" w:rsidP="003361AC">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52BC5652" w14:textId="7F6211F1" w:rsidR="00E165F5" w:rsidRPr="00AF47B6" w:rsidRDefault="00AF47B6" w:rsidP="00AF47B6">
      <w:pPr>
        <w:pStyle w:val="ListParagraph"/>
        <w:spacing w:before="120" w:after="120"/>
        <w:ind w:left="360"/>
        <w:rPr>
          <w:rFonts w:asciiTheme="minorHAnsi" w:hAnsiTheme="minorHAnsi" w:cstheme="minorHAnsi"/>
          <w:b/>
          <w:bCs/>
          <w:sz w:val="20"/>
        </w:rPr>
      </w:pPr>
      <w:r w:rsidRPr="00AF47B6">
        <w:rPr>
          <w:rFonts w:asciiTheme="minorHAnsi" w:hAnsiTheme="minorHAnsi" w:cstheme="minorHAnsi"/>
          <w:b/>
          <w:bCs/>
          <w:sz w:val="20"/>
        </w:rPr>
        <w:t>No</w:t>
      </w:r>
      <w:r>
        <w:rPr>
          <w:rFonts w:asciiTheme="minorHAnsi" w:hAnsiTheme="minorHAnsi" w:cstheme="minorHAnsi"/>
          <w:b/>
          <w:bCs/>
          <w:sz w:val="20"/>
        </w:rPr>
        <w:t xml:space="preserve"> </w:t>
      </w:r>
      <w:r w:rsidRPr="00AF47B6">
        <w:rPr>
          <w:rFonts w:asciiTheme="minorHAnsi" w:hAnsiTheme="minorHAnsi" w:cstheme="minorHAnsi"/>
          <w:b/>
          <w:bCs/>
          <w:sz w:val="20"/>
        </w:rPr>
        <w:t>Travel Reimbursement</w:t>
      </w:r>
      <w:r>
        <w:rPr>
          <w:rFonts w:asciiTheme="minorHAnsi" w:hAnsiTheme="minorHAnsi" w:cstheme="minorHAnsi"/>
          <w:b/>
          <w:bCs/>
          <w:sz w:val="20"/>
        </w:rPr>
        <w:t xml:space="preserve"> is allowed.</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0"/>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6C51F0E"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sidRPr="00153C8D">
        <w:rPr>
          <w:rFonts w:asciiTheme="minorHAnsi" w:hAnsiTheme="minorHAnsi" w:cstheme="minorHAnsi"/>
          <w:bCs/>
          <w:sz w:val="20"/>
          <w:highlight w:val="yellow"/>
        </w:rPr>
        <w:t>extend</w:t>
      </w:r>
      <w:r w:rsidR="00081C7A" w:rsidRPr="00153C8D">
        <w:rPr>
          <w:rFonts w:asciiTheme="minorHAnsi" w:hAnsiTheme="minorHAnsi" w:cstheme="minorHAnsi"/>
          <w:bCs/>
          <w:sz w:val="20"/>
          <w:highlight w:val="yellow"/>
        </w:rPr>
        <w:t xml:space="preserve"> this Agreement for </w:t>
      </w:r>
      <w:r w:rsidR="00153C8D" w:rsidRPr="00153C8D">
        <w:rPr>
          <w:rFonts w:asciiTheme="minorHAnsi" w:hAnsiTheme="minorHAnsi" w:cstheme="minorHAnsi"/>
          <w:bCs/>
          <w:sz w:val="20"/>
          <w:highlight w:val="yellow"/>
        </w:rPr>
        <w:t>up to three (3) consecutive two-year option terms</w:t>
      </w:r>
      <w:r w:rsidR="00153C8D">
        <w:rPr>
          <w:rFonts w:asciiTheme="minorHAnsi" w:hAnsiTheme="minorHAnsi" w:cstheme="minorHAnsi"/>
          <w:bCs/>
          <w:sz w:val="20"/>
        </w:rPr>
        <w:t xml:space="preserve">, </w:t>
      </w:r>
      <w:r w:rsidR="00081C7A" w:rsidRPr="00081C7A">
        <w:rPr>
          <w:rFonts w:asciiTheme="minorHAnsi" w:hAnsiTheme="minorHAnsi" w:cstheme="minorHAnsi"/>
          <w:bCs/>
          <w:sz w:val="20"/>
        </w:rPr>
        <w:t>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4F2FDC4C"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662012">
              <w:rPr>
                <w:rFonts w:ascii="Times New Roman" w:hAnsi="Times New Roman"/>
                <w:b/>
                <w:bCs/>
                <w:sz w:val="20"/>
              </w:rPr>
              <w:t>Judicial Council</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816704">
        <w:rPr>
          <w:rFonts w:asciiTheme="minorHAnsi" w:hAnsiTheme="minorHAnsi" w:cstheme="minorHAnsi"/>
          <w:i/>
          <w:sz w:val="20"/>
          <w:highlight w:val="yellow"/>
        </w:rPr>
        <w:t xml:space="preserve">If the Contract Amount is </w:t>
      </w:r>
      <w:r w:rsidR="00EC6410" w:rsidRPr="00816704">
        <w:rPr>
          <w:rFonts w:asciiTheme="minorHAnsi" w:hAnsiTheme="minorHAnsi" w:cstheme="minorHAnsi"/>
          <w:i/>
          <w:sz w:val="20"/>
          <w:highlight w:val="yellow"/>
        </w:rPr>
        <w:t xml:space="preserve">over </w:t>
      </w:r>
      <w:r w:rsidRPr="00816704">
        <w:rPr>
          <w:rFonts w:asciiTheme="minorHAnsi" w:hAnsiTheme="minorHAnsi" w:cstheme="minorHAnsi"/>
          <w:i/>
          <w:sz w:val="20"/>
          <w:highlight w:val="yellow"/>
        </w:rPr>
        <w:t>$50,000</w:t>
      </w:r>
      <w:r w:rsidR="00642075" w:rsidRPr="00816704">
        <w:rPr>
          <w:rFonts w:asciiTheme="minorHAnsi" w:hAnsiTheme="minorHAnsi" w:cstheme="minorHAnsi"/>
          <w:i/>
          <w:sz w:val="20"/>
          <w:highlight w:val="yellow"/>
        </w:rPr>
        <w:t xml:space="preserve">, </w:t>
      </w:r>
      <w:r w:rsidR="00E70FF3" w:rsidRPr="00816704">
        <w:rPr>
          <w:rFonts w:asciiTheme="minorHAnsi" w:hAnsiTheme="minorHAnsi" w:cstheme="minorHAnsi"/>
          <w:bCs/>
          <w:i/>
          <w:sz w:val="20"/>
          <w:highlight w:val="yellow"/>
        </w:rPr>
        <w:t>this section is applicable</w:t>
      </w:r>
      <w:r w:rsidR="00642075" w:rsidRPr="00816704">
        <w:rPr>
          <w:rFonts w:asciiTheme="minorHAnsi" w:hAnsiTheme="minorHAnsi" w:cstheme="minorHAnsi"/>
          <w:i/>
          <w:sz w:val="20"/>
          <w:highlight w:val="yellow"/>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271B8F">
        <w:rPr>
          <w:rFonts w:asciiTheme="minorHAnsi" w:hAnsiTheme="minorHAnsi" w:cstheme="minorHAnsi"/>
          <w:bCs/>
          <w:i/>
          <w:sz w:val="20"/>
          <w:highlight w:val="yellow"/>
        </w:rPr>
        <w:t>If the Contract Amount is $100,000 or more, this section is applicable</w:t>
      </w:r>
      <w:r w:rsidRPr="00EC6410">
        <w:rPr>
          <w:rFonts w:asciiTheme="minorHAnsi" w:hAnsiTheme="minorHAnsi" w:cstheme="minorHAnsi"/>
          <w:bCs/>
          <w:i/>
          <w:sz w:val="20"/>
        </w:rPr>
        <w:t xml:space="preserv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w:t>
      </w:r>
      <w:r w:rsidRPr="00E00F8B">
        <w:rPr>
          <w:rFonts w:asciiTheme="minorHAnsi" w:hAnsiTheme="minorHAnsi" w:cstheme="minorHAnsi"/>
          <w:bCs/>
          <w:i/>
          <w:sz w:val="20"/>
          <w:highlight w:val="yellow"/>
        </w:rPr>
        <w:t>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4E5B69">
        <w:rPr>
          <w:rFonts w:asciiTheme="minorHAnsi" w:hAnsiTheme="minorHAnsi" w:cstheme="minorHAnsi"/>
          <w:bCs/>
          <w:i/>
          <w:sz w:val="20"/>
          <w:highlight w:val="yellow"/>
        </w:rPr>
        <w:t>If the Contract Amount is over $2</w:t>
      </w:r>
      <w:r w:rsidR="00B651F5" w:rsidRPr="004E5B69">
        <w:rPr>
          <w:rFonts w:asciiTheme="minorHAnsi" w:hAnsiTheme="minorHAnsi" w:cstheme="minorHAnsi"/>
          <w:bCs/>
          <w:i/>
          <w:sz w:val="20"/>
          <w:highlight w:val="yellow"/>
        </w:rPr>
        <w:t xml:space="preserve">00,000 and this Agreement is for services (other than Consulting Services), </w:t>
      </w:r>
      <w:r w:rsidRPr="004E5B69">
        <w:rPr>
          <w:rFonts w:asciiTheme="minorHAnsi" w:hAnsiTheme="minorHAnsi" w:cstheme="minorHAnsi"/>
          <w:bCs/>
          <w:i/>
          <w:sz w:val="20"/>
          <w:highlight w:val="yellow"/>
        </w:rPr>
        <w:t>this section is applicable.</w:t>
      </w:r>
      <w:r w:rsidRPr="00EC6410">
        <w:rPr>
          <w:rFonts w:asciiTheme="minorHAnsi" w:hAnsiTheme="minorHAnsi" w:cstheme="minorHAnsi"/>
          <w:bCs/>
          <w:i/>
          <w:sz w:val="20"/>
        </w:rPr>
        <w:t xml:space="preserv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Iran Contracting Act</w:t>
      </w:r>
      <w:r w:rsidRPr="004E5B69">
        <w:rPr>
          <w:rFonts w:asciiTheme="minorHAnsi" w:hAnsiTheme="minorHAnsi" w:cstheme="minorHAnsi"/>
          <w:b/>
          <w:bCs/>
          <w:sz w:val="20"/>
          <w:highlight w:val="yellow"/>
          <w:lang w:bidi="en-US"/>
        </w:rPr>
        <w:t xml:space="preserve">.  </w:t>
      </w:r>
      <w:r w:rsidRPr="004E5B69">
        <w:rPr>
          <w:rFonts w:asciiTheme="minorHAnsi" w:hAnsiTheme="minorHAnsi" w:cstheme="minorHAnsi"/>
          <w:bCs/>
          <w:i/>
          <w:sz w:val="20"/>
          <w:highlight w:val="yellow"/>
        </w:rPr>
        <w:t>If the Contract Amount is $1,000,000 or more</w:t>
      </w:r>
      <w:r w:rsidR="00D17605" w:rsidRPr="004E5B69">
        <w:rPr>
          <w:rFonts w:asciiTheme="minorHAnsi" w:hAnsiTheme="minorHAnsi" w:cstheme="minorHAnsi"/>
          <w:bCs/>
          <w:i/>
          <w:sz w:val="20"/>
          <w:highlight w:val="yellow"/>
        </w:rPr>
        <w:t xml:space="preserve"> and Contractor did not provide to </w:t>
      </w:r>
      <w:r w:rsidR="00323CD0" w:rsidRPr="004E5B69">
        <w:rPr>
          <w:rFonts w:asciiTheme="minorHAnsi" w:hAnsiTheme="minorHAnsi" w:cstheme="minorHAnsi"/>
          <w:bCs/>
          <w:i/>
          <w:sz w:val="20"/>
          <w:highlight w:val="yellow"/>
        </w:rPr>
        <w:t>JBE</w:t>
      </w:r>
      <w:r w:rsidR="00D17605" w:rsidRPr="004E5B69">
        <w:rPr>
          <w:rFonts w:asciiTheme="minorHAnsi" w:hAnsiTheme="minorHAnsi" w:cstheme="minorHAnsi"/>
          <w:bCs/>
          <w:i/>
          <w:sz w:val="20"/>
          <w:highlight w:val="yellow"/>
        </w:rPr>
        <w:t xml:space="preserve"> an Iran Contracting Act certification as part of the solicitation process</w:t>
      </w:r>
      <w:r w:rsidRPr="004E5B69">
        <w:rPr>
          <w:rFonts w:asciiTheme="minorHAnsi" w:hAnsiTheme="minorHAnsi" w:cstheme="minorHAnsi"/>
          <w:bCs/>
          <w:i/>
          <w:sz w:val="20"/>
          <w:highlight w:val="yellow"/>
        </w:rPr>
        <w:t>, this section is applicable.</w:t>
      </w:r>
      <w:r w:rsidRPr="00EC6410">
        <w:rPr>
          <w:rFonts w:asciiTheme="minorHAnsi" w:hAnsiTheme="minorHAnsi" w:cstheme="minorHAnsi"/>
          <w:bCs/>
          <w:i/>
          <w:sz w:val="20"/>
        </w:rPr>
        <w:t xml:space="preserv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EADB9F6" w14:textId="77777777" w:rsidR="00E77106" w:rsidRPr="00334AB1" w:rsidRDefault="00E77106" w:rsidP="00334AB1">
      <w:pPr>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334AB1">
        <w:rPr>
          <w:rFonts w:asciiTheme="minorHAnsi" w:hAnsiTheme="minorHAnsi" w:cstheme="minorHAnsi"/>
          <w:bCs/>
          <w:i/>
          <w:sz w:val="20"/>
          <w:highlight w:val="yellow"/>
        </w:rPr>
        <w:t xml:space="preserve">If this Agreement is funded in whole or in part by the federal government, </w:t>
      </w:r>
      <w:r w:rsidR="00E77106" w:rsidRPr="00334AB1">
        <w:rPr>
          <w:rFonts w:asciiTheme="minorHAnsi" w:hAnsiTheme="minorHAnsi" w:cstheme="minorHAnsi"/>
          <w:i/>
          <w:sz w:val="20"/>
          <w:highlight w:val="yellow"/>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86DB8">
        <w:rPr>
          <w:rFonts w:asciiTheme="minorHAnsi" w:hAnsiTheme="minorHAnsi" w:cstheme="minorHAnsi"/>
          <w:i/>
          <w:sz w:val="20"/>
          <w:highlight w:val="yellow"/>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186DB8">
        <w:rPr>
          <w:rFonts w:asciiTheme="minorHAnsi" w:hAnsiTheme="minorHAnsi" w:cstheme="minorHAnsi"/>
          <w:i/>
          <w:sz w:val="20"/>
          <w:highlight w:val="yellow"/>
        </w:rPr>
        <w:t>If this Agreement resulted from a competitive solicitation, 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186DB8">
        <w:rPr>
          <w:rFonts w:asciiTheme="minorHAnsi" w:hAnsiTheme="minorHAnsi" w:cstheme="minorHAnsi"/>
          <w:i/>
          <w:sz w:val="20"/>
          <w:highlight w:val="yellow"/>
        </w:rPr>
        <w:t>If this Agreement is for legal services, 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33015EC0" w:rsidR="00E367B1" w:rsidRPr="000F3DAF" w:rsidRDefault="006A354E" w:rsidP="000F3DAF">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82A31">
        <w:rPr>
          <w:rFonts w:asciiTheme="minorHAnsi" w:hAnsiTheme="minorHAnsi" w:cstheme="minorHAnsi"/>
          <w:bCs/>
          <w:i/>
          <w:sz w:val="20"/>
          <w:highlight w:val="yellow"/>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1"/>
          <w:footerReference w:type="first" r:id="rId22"/>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59886F8" w14:textId="77777777" w:rsidR="005C0822" w:rsidRDefault="00437785" w:rsidP="005C5777">
      <w:pPr>
        <w:pStyle w:val="BodyText"/>
        <w:spacing w:before="120" w:after="120" w:line="240" w:lineRule="auto"/>
        <w:rPr>
          <w:rFonts w:asciiTheme="minorHAnsi" w:hAnsiTheme="minorHAnsi" w:cstheme="minorHAnsi"/>
          <w:sz w:val="20"/>
        </w:rPr>
        <w:sectPr w:rsidR="005C0822" w:rsidSect="008B493E">
          <w:footerReference w:type="default" r:id="rId23"/>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57F53900"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1C775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1C775D">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1C775D">
            <w:pPr>
              <w:keepNext/>
              <w:spacing w:line="480" w:lineRule="auto"/>
              <w:rPr>
                <w:rFonts w:cs="Arial"/>
                <w:sz w:val="20"/>
              </w:rPr>
            </w:pPr>
            <w:r w:rsidRPr="00C337CA">
              <w:rPr>
                <w:rFonts w:cs="Arial"/>
                <w:i/>
                <w:iCs/>
                <w:sz w:val="20"/>
              </w:rPr>
              <w:t>Federal ID Number </w:t>
            </w:r>
          </w:p>
        </w:tc>
      </w:tr>
      <w:tr w:rsidR="00C337CA" w:rsidRPr="00C337CA" w14:paraId="0358BF68" w14:textId="77777777" w:rsidTr="001C775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1C775D">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1C775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1C775D">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1C775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1C775D">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1C775D">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1C775D">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bookmarkStart w:id="7" w:name="_GoBack"/>
      <w:bookmarkEnd w:id="7"/>
    </w:p>
    <w:sectPr w:rsidR="009C3D22" w:rsidRPr="00C337CA" w:rsidSect="008B493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D96E" w14:textId="77777777" w:rsidR="001C775D" w:rsidRDefault="001C775D" w:rsidP="00437785">
      <w:r>
        <w:separator/>
      </w:r>
    </w:p>
  </w:endnote>
  <w:endnote w:type="continuationSeparator" w:id="0">
    <w:p w14:paraId="3C464EEB" w14:textId="77777777" w:rsidR="001C775D" w:rsidRDefault="001C775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1C775D" w:rsidRDefault="001C775D"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1C775D" w:rsidRDefault="001C775D"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70C46A60" w:rsidR="001C775D" w:rsidRDefault="001C775D" w:rsidP="00896EE8">
    <w:pPr>
      <w:pStyle w:val="Footer"/>
      <w:jc w:val="right"/>
    </w:pPr>
    <w:r>
      <w:rPr>
        <w:sz w:val="16"/>
        <w:szCs w:val="16"/>
      </w:rPr>
      <w:t>rev July 2018</w:t>
    </w:r>
    <w:r>
      <w:rPr>
        <w:b/>
        <w:sz w:val="16"/>
        <w:szCs w:val="16"/>
      </w:rPr>
      <w:tab/>
    </w:r>
    <w:r>
      <w:rPr>
        <w:b/>
        <w:sz w:val="16"/>
        <w:szCs w:val="16"/>
      </w:rPr>
      <w:tab/>
    </w:r>
  </w:p>
  <w:p w14:paraId="12629BF0" w14:textId="03AC60CA" w:rsidR="001C775D" w:rsidRDefault="005C0822" w:rsidP="005C0822">
    <w:pPr>
      <w:pStyle w:val="Footer"/>
      <w:ind w:right="360"/>
      <w:jc w:val="right"/>
    </w:pPr>
    <w: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C3EE" w14:textId="77777777" w:rsidR="005C0822" w:rsidRDefault="005C0822" w:rsidP="00896EE8">
    <w:pPr>
      <w:pStyle w:val="Footer"/>
      <w:jc w:val="right"/>
    </w:pPr>
    <w:r>
      <w:rPr>
        <w:sz w:val="16"/>
        <w:szCs w:val="16"/>
      </w:rPr>
      <w:t>rev July 2018</w:t>
    </w:r>
    <w:r>
      <w:rPr>
        <w:b/>
        <w:sz w:val="16"/>
        <w:szCs w:val="16"/>
      </w:rPr>
      <w:tab/>
    </w:r>
    <w:r>
      <w:rPr>
        <w:b/>
        <w:sz w:val="16"/>
        <w:szCs w:val="16"/>
      </w:rPr>
      <w:tab/>
    </w:r>
  </w:p>
  <w:p w14:paraId="62E64AD0" w14:textId="42E33F7F" w:rsidR="005C0822" w:rsidRDefault="005C0822" w:rsidP="005C0822">
    <w:pPr>
      <w:pStyle w:val="Footer"/>
      <w:ind w:right="360"/>
      <w:jc w:val="right"/>
    </w:pPr>
    <w:r>
      <w:t>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1C775D" w:rsidRDefault="001C775D"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016176"/>
      <w:docPartObj>
        <w:docPartGallery w:val="Page Numbers (Bottom of Page)"/>
        <w:docPartUnique/>
      </w:docPartObj>
    </w:sdtPr>
    <w:sdtEndPr>
      <w:rPr>
        <w:noProof/>
        <w:sz w:val="20"/>
      </w:rPr>
    </w:sdtEndPr>
    <w:sdtContent>
      <w:p w14:paraId="6D508DF5" w14:textId="708AA18C" w:rsidR="001C775D" w:rsidRPr="006E52DA" w:rsidRDefault="001C775D">
        <w:pPr>
          <w:pStyle w:val="Footer"/>
          <w:jc w:val="right"/>
          <w:rPr>
            <w:sz w:val="20"/>
          </w:rPr>
        </w:pPr>
        <w:r w:rsidRPr="006E52DA">
          <w:rPr>
            <w:sz w:val="20"/>
          </w:rPr>
          <w:t xml:space="preserve">Page </w:t>
        </w:r>
        <w:r w:rsidRPr="006E52DA">
          <w:rPr>
            <w:sz w:val="20"/>
          </w:rPr>
          <w:fldChar w:fldCharType="begin"/>
        </w:r>
        <w:r w:rsidRPr="006E52DA">
          <w:rPr>
            <w:sz w:val="20"/>
          </w:rPr>
          <w:instrText xml:space="preserve"> PAGE   \* MERGEFORMAT </w:instrText>
        </w:r>
        <w:r w:rsidRPr="006E52DA">
          <w:rPr>
            <w:sz w:val="20"/>
          </w:rPr>
          <w:fldChar w:fldCharType="separate"/>
        </w:r>
        <w:r w:rsidRPr="006E52DA">
          <w:rPr>
            <w:noProof/>
            <w:sz w:val="20"/>
          </w:rPr>
          <w:t>2</w:t>
        </w:r>
        <w:r w:rsidRPr="006E52DA">
          <w:rPr>
            <w:noProof/>
            <w:sz w:val="20"/>
          </w:rPr>
          <w:fldChar w:fldCharType="end"/>
        </w:r>
        <w:r w:rsidRPr="006E52DA">
          <w:rPr>
            <w:noProof/>
            <w:sz w:val="20"/>
          </w:rPr>
          <w:t xml:space="preserve"> of 1</w:t>
        </w:r>
      </w:p>
    </w:sdtContent>
  </w:sdt>
  <w:p w14:paraId="18ED30BF" w14:textId="0DF78FB3" w:rsidR="001C775D" w:rsidRPr="008953BE" w:rsidRDefault="001C775D">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6642A509" w:rsidR="001C775D" w:rsidRDefault="001C775D" w:rsidP="00896EE8">
    <w:pPr>
      <w:pStyle w:val="Footer"/>
      <w:jc w:val="right"/>
    </w:pPr>
    <w:r>
      <w:rPr>
        <w:sz w:val="16"/>
        <w:szCs w:val="16"/>
      </w:rPr>
      <w:t>rev July 2018</w:t>
    </w:r>
    <w:r>
      <w:rPr>
        <w:b/>
        <w:sz w:val="16"/>
        <w:szCs w:val="16"/>
      </w:rPr>
      <w:tab/>
    </w:r>
    <w:r>
      <w:rPr>
        <w:b/>
        <w:sz w:val="16"/>
        <w:szCs w:val="16"/>
      </w:rPr>
      <w:tab/>
    </w:r>
    <w:sdt>
      <w:sdtPr>
        <w:rPr>
          <w:szCs w:val="24"/>
        </w:rPr>
        <w:id w:val="17147072"/>
        <w:docPartObj>
          <w:docPartGallery w:val="Page Numbers (Bottom of Page)"/>
          <w:docPartUnique/>
        </w:docPartObj>
      </w:sdtPr>
      <w:sdtEndPr/>
      <w:sdtContent>
        <w:r w:rsidRPr="00D06F60">
          <w:rPr>
            <w:szCs w:val="24"/>
          </w:rPr>
          <w:t>A-</w:t>
        </w:r>
        <w:r w:rsidRPr="00D06F60">
          <w:rPr>
            <w:szCs w:val="24"/>
          </w:rPr>
          <w:fldChar w:fldCharType="begin"/>
        </w:r>
        <w:r w:rsidRPr="00D06F60">
          <w:rPr>
            <w:szCs w:val="24"/>
          </w:rPr>
          <w:instrText xml:space="preserve"> PAGE   \* MERGEFORMAT </w:instrText>
        </w:r>
        <w:r w:rsidRPr="00D06F60">
          <w:rPr>
            <w:szCs w:val="24"/>
          </w:rPr>
          <w:fldChar w:fldCharType="separate"/>
        </w:r>
        <w:r w:rsidRPr="00D06F60">
          <w:rPr>
            <w:noProof/>
            <w:szCs w:val="24"/>
          </w:rPr>
          <w:t>4</w:t>
        </w:r>
        <w:r w:rsidRPr="00D06F60">
          <w:rPr>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6758274C" w:rsidR="001C775D" w:rsidRPr="008953BE" w:rsidRDefault="001C775D" w:rsidP="00142B4F">
    <w:pPr>
      <w:pStyle w:val="Footer"/>
      <w:jc w:val="right"/>
      <w:rPr>
        <w:sz w:val="16"/>
        <w:szCs w:val="16"/>
      </w:rPr>
    </w:pPr>
    <w:r w:rsidRPr="008953BE">
      <w:rPr>
        <w:sz w:val="16"/>
        <w:szCs w:val="16"/>
      </w:rPr>
      <w:t xml:space="preserve">rev. </w:t>
    </w:r>
    <w:r>
      <w:rPr>
        <w:sz w:val="16"/>
        <w:szCs w:val="16"/>
      </w:rPr>
      <w:t xml:space="preserve">July 2018                                                                                                                                              </w:t>
    </w:r>
    <w:r w:rsidRPr="00000725">
      <w:rPr>
        <w:szCs w:val="24"/>
      </w:rPr>
      <w:t>A-</w:t>
    </w:r>
    <w:r w:rsidRPr="00000725">
      <w:rPr>
        <w:szCs w:val="24"/>
      </w:rPr>
      <w:fldChar w:fldCharType="begin"/>
    </w:r>
    <w:r w:rsidRPr="00000725">
      <w:rPr>
        <w:szCs w:val="24"/>
      </w:rPr>
      <w:instrText xml:space="preserve"> PAGE   \* MERGEFORMAT </w:instrText>
    </w:r>
    <w:r w:rsidRPr="00000725">
      <w:rPr>
        <w:szCs w:val="24"/>
      </w:rPr>
      <w:fldChar w:fldCharType="separate"/>
    </w:r>
    <w:r w:rsidRPr="00000725">
      <w:rPr>
        <w:noProof/>
        <w:szCs w:val="24"/>
      </w:rPr>
      <w:t>1</w:t>
    </w:r>
    <w:r w:rsidRPr="00000725">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050BC22C" w:rsidR="001C775D" w:rsidRDefault="001C775D" w:rsidP="00896EE8">
    <w:pPr>
      <w:pStyle w:val="Footer"/>
      <w:jc w:val="right"/>
    </w:pPr>
    <w:r>
      <w:rPr>
        <w:sz w:val="16"/>
        <w:szCs w:val="16"/>
      </w:rPr>
      <w:t>rev July 2018</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C775D" w:rsidRDefault="001C775D"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7CBAAEDE" w:rsidR="001C775D" w:rsidRDefault="001C775D" w:rsidP="00896EE8">
    <w:pPr>
      <w:pStyle w:val="Footer"/>
      <w:jc w:val="right"/>
    </w:pPr>
    <w:r>
      <w:rPr>
        <w:sz w:val="16"/>
        <w:szCs w:val="16"/>
      </w:rPr>
      <w:t>rev July 2018</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10</w:t>
        </w:r>
        <w:r>
          <w:rPr>
            <w:noProof/>
          </w:rPr>
          <w:fldChar w:fldCharType="end"/>
        </w:r>
      </w:sdtContent>
    </w:sdt>
  </w:p>
  <w:p w14:paraId="40D99C2E" w14:textId="77777777" w:rsidR="001C775D" w:rsidRDefault="001C775D"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52507E3C" w:rsidR="001C775D" w:rsidRDefault="001C775D" w:rsidP="00896EE8">
    <w:pPr>
      <w:pStyle w:val="Footer"/>
      <w:jc w:val="right"/>
    </w:pPr>
    <w:r>
      <w:rPr>
        <w:sz w:val="16"/>
        <w:szCs w:val="16"/>
      </w:rPr>
      <w:t>rev July 2018</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1C775D" w:rsidRDefault="001C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57DCC" w14:textId="77777777" w:rsidR="001C775D" w:rsidRDefault="001C775D" w:rsidP="00437785">
      <w:r>
        <w:separator/>
      </w:r>
    </w:p>
  </w:footnote>
  <w:footnote w:type="continuationSeparator" w:id="0">
    <w:p w14:paraId="3BBCAAA1" w14:textId="77777777" w:rsidR="001C775D" w:rsidRDefault="001C775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1C775D" w:rsidRPr="003E52BA" w:rsidRDefault="001C775D"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1C775D" w:rsidRDefault="001C775D">
    <w:pPr>
      <w:ind w:left="-86"/>
      <w:rPr>
        <w:rFonts w:ascii="Arial" w:eastAsia="Times New Roman" w:hAnsi="Arial"/>
        <w:b/>
        <w:sz w:val="22"/>
      </w:rPr>
    </w:pPr>
  </w:p>
  <w:p w14:paraId="054033CB" w14:textId="77777777" w:rsidR="001C775D" w:rsidRPr="000D2618" w:rsidRDefault="001C775D"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02E7" w14:textId="77777777" w:rsidR="001C775D" w:rsidRPr="003B3C0B" w:rsidRDefault="001C775D"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F7D2" w14:textId="77777777" w:rsidR="001C775D" w:rsidRPr="003E52BA" w:rsidRDefault="001C775D" w:rsidP="009263F4">
    <w:pPr>
      <w:ind w:left="-86"/>
      <w:rPr>
        <w:rFonts w:asciiTheme="minorHAnsi" w:eastAsia="Times New Roman" w:hAnsiTheme="minorHAnsi" w:cstheme="minorHAnsi"/>
        <w:i/>
        <w:sz w:val="16"/>
        <w:szCs w:val="16"/>
      </w:rPr>
    </w:pPr>
    <w:bookmarkStart w:id="5" w:name="_Hlk15370632"/>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5"/>
  <w:p w14:paraId="49CAD502" w14:textId="77777777" w:rsidR="001C775D" w:rsidRDefault="001C775D">
    <w:pPr>
      <w:ind w:left="-86"/>
      <w:rPr>
        <w:rFonts w:ascii="Arial" w:eastAsia="Times New Roman" w:hAnsi="Arial"/>
        <w:b/>
        <w:sz w:val="22"/>
      </w:rPr>
    </w:pPr>
  </w:p>
  <w:p w14:paraId="055A7D88" w14:textId="77777777" w:rsidR="001C775D" w:rsidRPr="000D2618" w:rsidRDefault="001C775D" w:rsidP="000D2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C9D9" w14:textId="77777777" w:rsidR="001C775D" w:rsidRPr="003E52BA" w:rsidRDefault="001C775D" w:rsidP="00ED2609">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54494E04" w14:textId="77777777" w:rsidR="001C775D" w:rsidRPr="003B3C0B" w:rsidRDefault="001C775D"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65"/>
    <w:multiLevelType w:val="hybridMultilevel"/>
    <w:tmpl w:val="54EC79B6"/>
    <w:lvl w:ilvl="0" w:tplc="300EF8F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7D8"/>
    <w:multiLevelType w:val="hybridMultilevel"/>
    <w:tmpl w:val="527E14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174C97"/>
    <w:multiLevelType w:val="hybridMultilevel"/>
    <w:tmpl w:val="133098AA"/>
    <w:lvl w:ilvl="0" w:tplc="3544C47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F40A9"/>
    <w:multiLevelType w:val="hybridMultilevel"/>
    <w:tmpl w:val="E5D6CE0C"/>
    <w:lvl w:ilvl="0" w:tplc="1004D2A0">
      <w:start w:val="1"/>
      <w:numFmt w:val="decimal"/>
      <w:lvlText w:val="5.2.%1"/>
      <w:lvlJc w:val="left"/>
      <w:pPr>
        <w:ind w:left="243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36FAD"/>
    <w:multiLevelType w:val="hybridMultilevel"/>
    <w:tmpl w:val="080AB62E"/>
    <w:lvl w:ilvl="0" w:tplc="3FB4471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4320733"/>
    <w:multiLevelType w:val="hybridMultilevel"/>
    <w:tmpl w:val="A54CDD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5877511"/>
    <w:multiLevelType w:val="multilevel"/>
    <w:tmpl w:val="2528CB18"/>
    <w:numStyleLink w:val="MOUList"/>
  </w:abstractNum>
  <w:abstractNum w:abstractNumId="29" w15:restartNumberingAfterBreak="0">
    <w:nsid w:val="574A032E"/>
    <w:multiLevelType w:val="hybridMultilevel"/>
    <w:tmpl w:val="79D2C9B6"/>
    <w:lvl w:ilvl="0" w:tplc="04090005">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0"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3"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8" w15:restartNumberingAfterBreak="0">
    <w:nsid w:val="6C0A7EE2"/>
    <w:multiLevelType w:val="hybridMultilevel"/>
    <w:tmpl w:val="E8FA547C"/>
    <w:lvl w:ilvl="0" w:tplc="04090005">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9" w15:restartNumberingAfterBreak="0">
    <w:nsid w:val="748E49B8"/>
    <w:multiLevelType w:val="hybridMultilevel"/>
    <w:tmpl w:val="4858C628"/>
    <w:lvl w:ilvl="0" w:tplc="D494C096">
      <w:start w:val="2"/>
      <w:numFmt w:val="decimal"/>
      <w:lvlText w:val="5.%1"/>
      <w:lvlJc w:val="left"/>
      <w:pPr>
        <w:ind w:left="1800" w:hanging="360"/>
      </w:pPr>
      <w:rPr>
        <w:rFonts w:hint="default"/>
      </w:rPr>
    </w:lvl>
    <w:lvl w:ilvl="1" w:tplc="DFDA6BC6">
      <w:start w:val="1"/>
      <w:numFmt w:val="decimal"/>
      <w:lvlText w:val="5.2.%2"/>
      <w:lvlJc w:val="left"/>
      <w:pPr>
        <w:ind w:left="2520" w:hanging="360"/>
      </w:pPr>
      <w:rPr>
        <w:rFonts w:hint="default"/>
      </w:rPr>
    </w:lvl>
    <w:lvl w:ilvl="2" w:tplc="6876DFC6">
      <w:start w:val="1"/>
      <w:numFmt w:val="lowerLetter"/>
      <w:lvlText w:val="%3."/>
      <w:lvlJc w:val="right"/>
      <w:pPr>
        <w:ind w:left="3240" w:hanging="18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32"/>
  </w:num>
  <w:num w:numId="4">
    <w:abstractNumId w:val="17"/>
  </w:num>
  <w:num w:numId="5">
    <w:abstractNumId w:val="13"/>
  </w:num>
  <w:num w:numId="6">
    <w:abstractNumId w:val="9"/>
  </w:num>
  <w:num w:numId="7">
    <w:abstractNumId w:val="22"/>
  </w:num>
  <w:num w:numId="8">
    <w:abstractNumId w:val="23"/>
  </w:num>
  <w:num w:numId="9">
    <w:abstractNumId w:val="8"/>
  </w:num>
  <w:num w:numId="10">
    <w:abstractNumId w:val="26"/>
  </w:num>
  <w:num w:numId="11">
    <w:abstractNumId w:val="6"/>
  </w:num>
  <w:num w:numId="12">
    <w:abstractNumId w:val="30"/>
  </w:num>
  <w:num w:numId="13">
    <w:abstractNumId w:val="34"/>
  </w:num>
  <w:num w:numId="14">
    <w:abstractNumId w:val="33"/>
  </w:num>
  <w:num w:numId="15">
    <w:abstractNumId w:val="5"/>
  </w:num>
  <w:num w:numId="16">
    <w:abstractNumId w:val="4"/>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9"/>
  </w:num>
  <w:num w:numId="20">
    <w:abstractNumId w:val="31"/>
  </w:num>
  <w:num w:numId="21">
    <w:abstractNumId w:val="18"/>
  </w:num>
  <w:num w:numId="22">
    <w:abstractNumId w:val="15"/>
  </w:num>
  <w:num w:numId="23">
    <w:abstractNumId w:val="21"/>
  </w:num>
  <w:num w:numId="24">
    <w:abstractNumId w:val="16"/>
  </w:num>
  <w:num w:numId="25">
    <w:abstractNumId w:val="35"/>
  </w:num>
  <w:num w:numId="26">
    <w:abstractNumId w:val="25"/>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7"/>
  </w:num>
  <w:num w:numId="29">
    <w:abstractNumId w:val="36"/>
  </w:num>
  <w:num w:numId="30">
    <w:abstractNumId w:val="12"/>
  </w:num>
  <w:num w:numId="31">
    <w:abstractNumId w:val="10"/>
  </w:num>
  <w:num w:numId="32">
    <w:abstractNumId w:val="20"/>
  </w:num>
  <w:num w:numId="33">
    <w:abstractNumId w:val="1"/>
  </w:num>
  <w:num w:numId="34">
    <w:abstractNumId w:val="29"/>
  </w:num>
  <w:num w:numId="35">
    <w:abstractNumId w:val="3"/>
  </w:num>
  <w:num w:numId="36">
    <w:abstractNumId w:val="38"/>
  </w:num>
  <w:num w:numId="37">
    <w:abstractNumId w:val="39"/>
  </w:num>
  <w:num w:numId="38">
    <w:abstractNumId w:val="2"/>
  </w:num>
  <w:num w:numId="39">
    <w:abstractNumId w:val="0"/>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72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1BD3"/>
    <w:rsid w:val="0004230B"/>
    <w:rsid w:val="00042C33"/>
    <w:rsid w:val="00044772"/>
    <w:rsid w:val="0004499B"/>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3349"/>
    <w:rsid w:val="000A44C5"/>
    <w:rsid w:val="000A55E2"/>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3DAF"/>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2B4F"/>
    <w:rsid w:val="00144EF7"/>
    <w:rsid w:val="0014500D"/>
    <w:rsid w:val="00146395"/>
    <w:rsid w:val="00146BA3"/>
    <w:rsid w:val="00150E36"/>
    <w:rsid w:val="00150FE1"/>
    <w:rsid w:val="001524A0"/>
    <w:rsid w:val="00152846"/>
    <w:rsid w:val="00152E34"/>
    <w:rsid w:val="00153C8D"/>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6DB8"/>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C775D"/>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4B8"/>
    <w:rsid w:val="00204BFF"/>
    <w:rsid w:val="0020756C"/>
    <w:rsid w:val="00207CAC"/>
    <w:rsid w:val="0021599C"/>
    <w:rsid w:val="00222C95"/>
    <w:rsid w:val="002237DE"/>
    <w:rsid w:val="00224C85"/>
    <w:rsid w:val="00230C9B"/>
    <w:rsid w:val="00231581"/>
    <w:rsid w:val="00232192"/>
    <w:rsid w:val="00233756"/>
    <w:rsid w:val="0023478D"/>
    <w:rsid w:val="0023667C"/>
    <w:rsid w:val="00241E02"/>
    <w:rsid w:val="00245806"/>
    <w:rsid w:val="002464F0"/>
    <w:rsid w:val="00251F8F"/>
    <w:rsid w:val="0025289F"/>
    <w:rsid w:val="00252FCB"/>
    <w:rsid w:val="00253223"/>
    <w:rsid w:val="00266469"/>
    <w:rsid w:val="00270F4F"/>
    <w:rsid w:val="00271B8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0E6F"/>
    <w:rsid w:val="002B13F1"/>
    <w:rsid w:val="002B170E"/>
    <w:rsid w:val="002B6210"/>
    <w:rsid w:val="002B6BEC"/>
    <w:rsid w:val="002B7412"/>
    <w:rsid w:val="002C0630"/>
    <w:rsid w:val="002C27DF"/>
    <w:rsid w:val="002C3EAE"/>
    <w:rsid w:val="002C4401"/>
    <w:rsid w:val="002C6335"/>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F61"/>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4AB1"/>
    <w:rsid w:val="00335894"/>
    <w:rsid w:val="00335EE5"/>
    <w:rsid w:val="003361AC"/>
    <w:rsid w:val="00337619"/>
    <w:rsid w:val="003420F5"/>
    <w:rsid w:val="00343498"/>
    <w:rsid w:val="00343C28"/>
    <w:rsid w:val="003507F1"/>
    <w:rsid w:val="00350C47"/>
    <w:rsid w:val="0035290D"/>
    <w:rsid w:val="00353038"/>
    <w:rsid w:val="003569D8"/>
    <w:rsid w:val="003579EC"/>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61F7"/>
    <w:rsid w:val="00387F13"/>
    <w:rsid w:val="00391DD1"/>
    <w:rsid w:val="00392AC3"/>
    <w:rsid w:val="00396831"/>
    <w:rsid w:val="003968D3"/>
    <w:rsid w:val="003971C7"/>
    <w:rsid w:val="003A1C4D"/>
    <w:rsid w:val="003A254A"/>
    <w:rsid w:val="003A4EAB"/>
    <w:rsid w:val="003A5C74"/>
    <w:rsid w:val="003B04F6"/>
    <w:rsid w:val="003B08BC"/>
    <w:rsid w:val="003B10D9"/>
    <w:rsid w:val="003B1D70"/>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A05"/>
    <w:rsid w:val="00402D43"/>
    <w:rsid w:val="00405381"/>
    <w:rsid w:val="00412133"/>
    <w:rsid w:val="00417572"/>
    <w:rsid w:val="00417B3C"/>
    <w:rsid w:val="00420271"/>
    <w:rsid w:val="004224F0"/>
    <w:rsid w:val="00422FF5"/>
    <w:rsid w:val="0042524F"/>
    <w:rsid w:val="004307BE"/>
    <w:rsid w:val="00431C14"/>
    <w:rsid w:val="00435DC8"/>
    <w:rsid w:val="00437785"/>
    <w:rsid w:val="004419A8"/>
    <w:rsid w:val="00443744"/>
    <w:rsid w:val="00445058"/>
    <w:rsid w:val="00445C89"/>
    <w:rsid w:val="0044669E"/>
    <w:rsid w:val="004544D7"/>
    <w:rsid w:val="0045759E"/>
    <w:rsid w:val="004624C0"/>
    <w:rsid w:val="00465653"/>
    <w:rsid w:val="0046572C"/>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5B69"/>
    <w:rsid w:val="004F7C4E"/>
    <w:rsid w:val="005011B0"/>
    <w:rsid w:val="00502D4E"/>
    <w:rsid w:val="00504C57"/>
    <w:rsid w:val="005075E3"/>
    <w:rsid w:val="005129C0"/>
    <w:rsid w:val="00513347"/>
    <w:rsid w:val="00513F73"/>
    <w:rsid w:val="00524487"/>
    <w:rsid w:val="00524AF9"/>
    <w:rsid w:val="005257B0"/>
    <w:rsid w:val="005264AE"/>
    <w:rsid w:val="00530507"/>
    <w:rsid w:val="005316F2"/>
    <w:rsid w:val="00531ACF"/>
    <w:rsid w:val="00531BE0"/>
    <w:rsid w:val="00535786"/>
    <w:rsid w:val="005361A7"/>
    <w:rsid w:val="005365C6"/>
    <w:rsid w:val="005367DD"/>
    <w:rsid w:val="00537F13"/>
    <w:rsid w:val="00543978"/>
    <w:rsid w:val="00543A67"/>
    <w:rsid w:val="00547188"/>
    <w:rsid w:val="0055258A"/>
    <w:rsid w:val="0055280C"/>
    <w:rsid w:val="00554566"/>
    <w:rsid w:val="00556636"/>
    <w:rsid w:val="00556840"/>
    <w:rsid w:val="00561427"/>
    <w:rsid w:val="00561483"/>
    <w:rsid w:val="00562F78"/>
    <w:rsid w:val="0056625F"/>
    <w:rsid w:val="0056626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7B"/>
    <w:rsid w:val="005B29DC"/>
    <w:rsid w:val="005B4C2B"/>
    <w:rsid w:val="005C0822"/>
    <w:rsid w:val="005C1E31"/>
    <w:rsid w:val="005C3491"/>
    <w:rsid w:val="005C554B"/>
    <w:rsid w:val="005C55DF"/>
    <w:rsid w:val="005C5777"/>
    <w:rsid w:val="005C5EAE"/>
    <w:rsid w:val="005C631C"/>
    <w:rsid w:val="005C7E7D"/>
    <w:rsid w:val="005D0FDF"/>
    <w:rsid w:val="005D13EB"/>
    <w:rsid w:val="005D1EC4"/>
    <w:rsid w:val="005D3D74"/>
    <w:rsid w:val="005D4FDA"/>
    <w:rsid w:val="005D5580"/>
    <w:rsid w:val="005D58E5"/>
    <w:rsid w:val="005D6CB6"/>
    <w:rsid w:val="005E764F"/>
    <w:rsid w:val="005E7901"/>
    <w:rsid w:val="005F084A"/>
    <w:rsid w:val="005F088F"/>
    <w:rsid w:val="005F1D97"/>
    <w:rsid w:val="005F305F"/>
    <w:rsid w:val="005F38E5"/>
    <w:rsid w:val="005F58FD"/>
    <w:rsid w:val="005F771E"/>
    <w:rsid w:val="00600813"/>
    <w:rsid w:val="00601266"/>
    <w:rsid w:val="00603B59"/>
    <w:rsid w:val="00604041"/>
    <w:rsid w:val="00607BD6"/>
    <w:rsid w:val="00610BAC"/>
    <w:rsid w:val="0061194F"/>
    <w:rsid w:val="00611B11"/>
    <w:rsid w:val="00612BB5"/>
    <w:rsid w:val="00616485"/>
    <w:rsid w:val="00632B03"/>
    <w:rsid w:val="00632E5F"/>
    <w:rsid w:val="00634BB6"/>
    <w:rsid w:val="006402DE"/>
    <w:rsid w:val="00642075"/>
    <w:rsid w:val="00642B89"/>
    <w:rsid w:val="0064401C"/>
    <w:rsid w:val="00644282"/>
    <w:rsid w:val="00651DC8"/>
    <w:rsid w:val="00653CC7"/>
    <w:rsid w:val="00654308"/>
    <w:rsid w:val="00656961"/>
    <w:rsid w:val="00660C37"/>
    <w:rsid w:val="00662012"/>
    <w:rsid w:val="006643D8"/>
    <w:rsid w:val="00664624"/>
    <w:rsid w:val="00665E2F"/>
    <w:rsid w:val="0066703F"/>
    <w:rsid w:val="00667507"/>
    <w:rsid w:val="00667D3B"/>
    <w:rsid w:val="006753E3"/>
    <w:rsid w:val="00676136"/>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2DA"/>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26104"/>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3C9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35AC"/>
    <w:rsid w:val="00805AD1"/>
    <w:rsid w:val="00806F13"/>
    <w:rsid w:val="00807BC8"/>
    <w:rsid w:val="00810509"/>
    <w:rsid w:val="008110B5"/>
    <w:rsid w:val="008114BC"/>
    <w:rsid w:val="00813FB6"/>
    <w:rsid w:val="00814FE4"/>
    <w:rsid w:val="00816704"/>
    <w:rsid w:val="0081736F"/>
    <w:rsid w:val="008258DA"/>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09C"/>
    <w:rsid w:val="008643CA"/>
    <w:rsid w:val="00864894"/>
    <w:rsid w:val="008648B6"/>
    <w:rsid w:val="00864FD0"/>
    <w:rsid w:val="00866E99"/>
    <w:rsid w:val="00870F82"/>
    <w:rsid w:val="008723E8"/>
    <w:rsid w:val="008758B9"/>
    <w:rsid w:val="00875E33"/>
    <w:rsid w:val="00876F69"/>
    <w:rsid w:val="00877076"/>
    <w:rsid w:val="00884DE5"/>
    <w:rsid w:val="00885800"/>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58E0"/>
    <w:rsid w:val="008E642A"/>
    <w:rsid w:val="008E69D0"/>
    <w:rsid w:val="008F1B64"/>
    <w:rsid w:val="008F1CA8"/>
    <w:rsid w:val="008F47FB"/>
    <w:rsid w:val="008F7E48"/>
    <w:rsid w:val="009041E6"/>
    <w:rsid w:val="0090613B"/>
    <w:rsid w:val="0090769D"/>
    <w:rsid w:val="0090796F"/>
    <w:rsid w:val="00910A29"/>
    <w:rsid w:val="009131B5"/>
    <w:rsid w:val="0091330D"/>
    <w:rsid w:val="00917C64"/>
    <w:rsid w:val="0092477C"/>
    <w:rsid w:val="00925FEE"/>
    <w:rsid w:val="009263E4"/>
    <w:rsid w:val="009263F4"/>
    <w:rsid w:val="00926411"/>
    <w:rsid w:val="00927784"/>
    <w:rsid w:val="00927DC6"/>
    <w:rsid w:val="00932B9E"/>
    <w:rsid w:val="009330F5"/>
    <w:rsid w:val="009341F2"/>
    <w:rsid w:val="0094285C"/>
    <w:rsid w:val="00942B7D"/>
    <w:rsid w:val="00943099"/>
    <w:rsid w:val="00945E3C"/>
    <w:rsid w:val="0094612E"/>
    <w:rsid w:val="00946D91"/>
    <w:rsid w:val="0094727C"/>
    <w:rsid w:val="00947E35"/>
    <w:rsid w:val="0095116E"/>
    <w:rsid w:val="009517F2"/>
    <w:rsid w:val="009528FA"/>
    <w:rsid w:val="00954E77"/>
    <w:rsid w:val="00960F32"/>
    <w:rsid w:val="00962C77"/>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8A"/>
    <w:rsid w:val="00A118C5"/>
    <w:rsid w:val="00A11950"/>
    <w:rsid w:val="00A137B5"/>
    <w:rsid w:val="00A13EDB"/>
    <w:rsid w:val="00A203FE"/>
    <w:rsid w:val="00A208E8"/>
    <w:rsid w:val="00A21332"/>
    <w:rsid w:val="00A23C0E"/>
    <w:rsid w:val="00A2566C"/>
    <w:rsid w:val="00A2777E"/>
    <w:rsid w:val="00A31134"/>
    <w:rsid w:val="00A31A82"/>
    <w:rsid w:val="00A33015"/>
    <w:rsid w:val="00A3307E"/>
    <w:rsid w:val="00A33AE7"/>
    <w:rsid w:val="00A35850"/>
    <w:rsid w:val="00A37BCE"/>
    <w:rsid w:val="00A43C44"/>
    <w:rsid w:val="00A43D8C"/>
    <w:rsid w:val="00A46FBE"/>
    <w:rsid w:val="00A51A60"/>
    <w:rsid w:val="00A51D9D"/>
    <w:rsid w:val="00A5202E"/>
    <w:rsid w:val="00A52B61"/>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87552"/>
    <w:rsid w:val="00A90043"/>
    <w:rsid w:val="00A90B9E"/>
    <w:rsid w:val="00A91FC3"/>
    <w:rsid w:val="00A932DF"/>
    <w:rsid w:val="00A95357"/>
    <w:rsid w:val="00AA1362"/>
    <w:rsid w:val="00AA236F"/>
    <w:rsid w:val="00AA23D8"/>
    <w:rsid w:val="00AA7661"/>
    <w:rsid w:val="00AB2267"/>
    <w:rsid w:val="00AC012C"/>
    <w:rsid w:val="00AC2A5A"/>
    <w:rsid w:val="00AC2E92"/>
    <w:rsid w:val="00AC360F"/>
    <w:rsid w:val="00AC3804"/>
    <w:rsid w:val="00AC497D"/>
    <w:rsid w:val="00AC4A49"/>
    <w:rsid w:val="00AC73EE"/>
    <w:rsid w:val="00AD3993"/>
    <w:rsid w:val="00AD550D"/>
    <w:rsid w:val="00AD682C"/>
    <w:rsid w:val="00AD7F7F"/>
    <w:rsid w:val="00AE253A"/>
    <w:rsid w:val="00AE61A6"/>
    <w:rsid w:val="00AE6F08"/>
    <w:rsid w:val="00AF232B"/>
    <w:rsid w:val="00AF47B6"/>
    <w:rsid w:val="00AF64AB"/>
    <w:rsid w:val="00B00CD8"/>
    <w:rsid w:val="00B00E84"/>
    <w:rsid w:val="00B03A7B"/>
    <w:rsid w:val="00B10937"/>
    <w:rsid w:val="00B1586F"/>
    <w:rsid w:val="00B15A09"/>
    <w:rsid w:val="00B15E24"/>
    <w:rsid w:val="00B170A3"/>
    <w:rsid w:val="00B174EC"/>
    <w:rsid w:val="00B1762D"/>
    <w:rsid w:val="00B1772A"/>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2A31"/>
    <w:rsid w:val="00B8714B"/>
    <w:rsid w:val="00B876B0"/>
    <w:rsid w:val="00B91A12"/>
    <w:rsid w:val="00B92573"/>
    <w:rsid w:val="00B9594C"/>
    <w:rsid w:val="00B95BF6"/>
    <w:rsid w:val="00B97478"/>
    <w:rsid w:val="00BA0E2A"/>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0AE0"/>
    <w:rsid w:val="00C01E7A"/>
    <w:rsid w:val="00C034E2"/>
    <w:rsid w:val="00C03C0F"/>
    <w:rsid w:val="00C03ED5"/>
    <w:rsid w:val="00C04E9F"/>
    <w:rsid w:val="00C05A87"/>
    <w:rsid w:val="00C05E3D"/>
    <w:rsid w:val="00C073BF"/>
    <w:rsid w:val="00C11790"/>
    <w:rsid w:val="00C1179D"/>
    <w:rsid w:val="00C11CE4"/>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1C8"/>
    <w:rsid w:val="00CC3816"/>
    <w:rsid w:val="00CC66B5"/>
    <w:rsid w:val="00CD0129"/>
    <w:rsid w:val="00CD120E"/>
    <w:rsid w:val="00CD19A5"/>
    <w:rsid w:val="00CD213D"/>
    <w:rsid w:val="00CE1F6A"/>
    <w:rsid w:val="00CE390C"/>
    <w:rsid w:val="00CE6E18"/>
    <w:rsid w:val="00CE739B"/>
    <w:rsid w:val="00CF045C"/>
    <w:rsid w:val="00CF16AA"/>
    <w:rsid w:val="00CF4418"/>
    <w:rsid w:val="00CF4D61"/>
    <w:rsid w:val="00CF57B5"/>
    <w:rsid w:val="00CF5FF4"/>
    <w:rsid w:val="00CF6AC2"/>
    <w:rsid w:val="00CF7FBD"/>
    <w:rsid w:val="00D03779"/>
    <w:rsid w:val="00D0381D"/>
    <w:rsid w:val="00D044F5"/>
    <w:rsid w:val="00D05306"/>
    <w:rsid w:val="00D06F60"/>
    <w:rsid w:val="00D111A4"/>
    <w:rsid w:val="00D138E3"/>
    <w:rsid w:val="00D14F73"/>
    <w:rsid w:val="00D1622D"/>
    <w:rsid w:val="00D17605"/>
    <w:rsid w:val="00D216E3"/>
    <w:rsid w:val="00D223D4"/>
    <w:rsid w:val="00D24DFA"/>
    <w:rsid w:val="00D259DB"/>
    <w:rsid w:val="00D27208"/>
    <w:rsid w:val="00D33AD0"/>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87EBC"/>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06F3"/>
    <w:rsid w:val="00DF1DE3"/>
    <w:rsid w:val="00DF2438"/>
    <w:rsid w:val="00DF27CD"/>
    <w:rsid w:val="00DF34C7"/>
    <w:rsid w:val="00DF3DAF"/>
    <w:rsid w:val="00DF411A"/>
    <w:rsid w:val="00DF4181"/>
    <w:rsid w:val="00DF516F"/>
    <w:rsid w:val="00DF6679"/>
    <w:rsid w:val="00DF7C30"/>
    <w:rsid w:val="00E00F8B"/>
    <w:rsid w:val="00E01C10"/>
    <w:rsid w:val="00E02AEF"/>
    <w:rsid w:val="00E03929"/>
    <w:rsid w:val="00E10CBD"/>
    <w:rsid w:val="00E1369E"/>
    <w:rsid w:val="00E165F5"/>
    <w:rsid w:val="00E17CB7"/>
    <w:rsid w:val="00E20E03"/>
    <w:rsid w:val="00E24A83"/>
    <w:rsid w:val="00E24A86"/>
    <w:rsid w:val="00E24E71"/>
    <w:rsid w:val="00E3061A"/>
    <w:rsid w:val="00E31872"/>
    <w:rsid w:val="00E31F33"/>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61B6C"/>
    <w:rsid w:val="00E64303"/>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51A5"/>
    <w:rsid w:val="00E97379"/>
    <w:rsid w:val="00EA166A"/>
    <w:rsid w:val="00EA6B56"/>
    <w:rsid w:val="00EB172C"/>
    <w:rsid w:val="00EB1B9B"/>
    <w:rsid w:val="00EB555A"/>
    <w:rsid w:val="00EB564D"/>
    <w:rsid w:val="00EB5D03"/>
    <w:rsid w:val="00EC03C8"/>
    <w:rsid w:val="00EC0826"/>
    <w:rsid w:val="00EC0B9F"/>
    <w:rsid w:val="00EC158B"/>
    <w:rsid w:val="00EC3A1D"/>
    <w:rsid w:val="00EC6410"/>
    <w:rsid w:val="00EC7B59"/>
    <w:rsid w:val="00ED0728"/>
    <w:rsid w:val="00ED2609"/>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2525"/>
    <w:rsid w:val="00F33637"/>
    <w:rsid w:val="00F36081"/>
    <w:rsid w:val="00F42516"/>
    <w:rsid w:val="00F430A5"/>
    <w:rsid w:val="00F4326D"/>
    <w:rsid w:val="00F540AD"/>
    <w:rsid w:val="00F5689F"/>
    <w:rsid w:val="00F569F1"/>
    <w:rsid w:val="00F57637"/>
    <w:rsid w:val="00F576B0"/>
    <w:rsid w:val="00F57EA3"/>
    <w:rsid w:val="00F6253C"/>
    <w:rsid w:val="00F63F01"/>
    <w:rsid w:val="00F75B4E"/>
    <w:rsid w:val="00F811C0"/>
    <w:rsid w:val="00F82147"/>
    <w:rsid w:val="00F8352F"/>
    <w:rsid w:val="00F83B1D"/>
    <w:rsid w:val="00F852C6"/>
    <w:rsid w:val="00F86F74"/>
    <w:rsid w:val="00F90856"/>
    <w:rsid w:val="00F90B91"/>
    <w:rsid w:val="00F911A8"/>
    <w:rsid w:val="00F91A9F"/>
    <w:rsid w:val="00F94D1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3EA5"/>
    <w:rsid w:val="00FF6F98"/>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ExhibitC1">
    <w:name w:val="ExhibitC1"/>
    <w:basedOn w:val="Normal"/>
    <w:rsid w:val="0042524F"/>
    <w:pPr>
      <w:numPr>
        <w:numId w:val="30"/>
      </w:numPr>
    </w:pPr>
    <w:rPr>
      <w:rFonts w:eastAsia="Times New Roman"/>
      <w:noProof/>
      <w:u w:val="single"/>
    </w:rPr>
  </w:style>
  <w:style w:type="paragraph" w:customStyle="1" w:styleId="ExhibitC2">
    <w:name w:val="ExhibitC2"/>
    <w:basedOn w:val="Normal"/>
    <w:rsid w:val="0042524F"/>
    <w:pPr>
      <w:numPr>
        <w:ilvl w:val="1"/>
        <w:numId w:val="30"/>
      </w:numPr>
    </w:pPr>
    <w:rPr>
      <w:rFonts w:eastAsia="Times New Roman"/>
      <w:noProof/>
    </w:rPr>
  </w:style>
  <w:style w:type="paragraph" w:customStyle="1" w:styleId="ExhibitC3">
    <w:name w:val="ExhibitC3"/>
    <w:basedOn w:val="Normal"/>
    <w:rsid w:val="0042524F"/>
    <w:pPr>
      <w:keepNext/>
      <w:numPr>
        <w:ilvl w:val="2"/>
        <w:numId w:val="30"/>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42524F"/>
    <w:pPr>
      <w:numPr>
        <w:ilvl w:val="3"/>
        <w:numId w:val="30"/>
      </w:numPr>
      <w:spacing w:before="120" w:after="120"/>
    </w:pPr>
    <w:rPr>
      <w:rFonts w:eastAsia="Times New Roman"/>
    </w:rPr>
  </w:style>
  <w:style w:type="paragraph" w:customStyle="1" w:styleId="ExhibitC5">
    <w:name w:val="ExhibitC5"/>
    <w:basedOn w:val="Normal"/>
    <w:rsid w:val="0042524F"/>
    <w:pPr>
      <w:numPr>
        <w:ilvl w:val="4"/>
        <w:numId w:val="30"/>
      </w:numPr>
      <w:spacing w:before="120" w:after="120"/>
    </w:pPr>
    <w:rPr>
      <w:rFonts w:eastAsia="Times New Roman"/>
    </w:rPr>
  </w:style>
  <w:style w:type="paragraph" w:customStyle="1" w:styleId="ExhibitC6">
    <w:name w:val="ExhibitC6"/>
    <w:basedOn w:val="Normal"/>
    <w:rsid w:val="0042524F"/>
    <w:pPr>
      <w:numPr>
        <w:ilvl w:val="5"/>
        <w:numId w:val="30"/>
      </w:numPr>
      <w:spacing w:before="120" w:after="120"/>
    </w:pPr>
    <w:rPr>
      <w:rFonts w:eastAsia="Times New Roman"/>
    </w:rPr>
  </w:style>
  <w:style w:type="paragraph" w:customStyle="1" w:styleId="ExhibitC7">
    <w:name w:val="ExhibitC7"/>
    <w:basedOn w:val="Normal"/>
    <w:rsid w:val="0042524F"/>
    <w:pPr>
      <w:numPr>
        <w:ilvl w:val="6"/>
        <w:numId w:val="30"/>
      </w:numPr>
      <w:spacing w:before="120" w:after="120"/>
    </w:pPr>
    <w:rPr>
      <w:rFonts w:eastAsia="Times New Roman"/>
    </w:rPr>
  </w:style>
  <w:style w:type="character" w:styleId="Hyperlink">
    <w:name w:val="Hyperlink"/>
    <w:basedOn w:val="DefaultParagraphFont"/>
    <w:uiPriority w:val="99"/>
    <w:unhideWhenUsed/>
    <w:rsid w:val="0055280C"/>
    <w:rPr>
      <w:color w:val="0000FF" w:themeColor="hyperlink"/>
      <w:u w:val="single"/>
    </w:rPr>
  </w:style>
  <w:style w:type="character" w:styleId="UnresolvedMention">
    <w:name w:val="Unresolved Mention"/>
    <w:basedOn w:val="DefaultParagraphFont"/>
    <w:uiPriority w:val="99"/>
    <w:semiHidden/>
    <w:unhideWhenUsed/>
    <w:rsid w:val="0055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ts.ca.gov/jbwcp.htm"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ts.ca.gov/jbwcp.htm" TargetMode="Externa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832C-228E-47D9-AD5C-8A01A7A6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10307</Words>
  <Characters>58752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2019-07-30T15:22:00Z</dcterms:created>
  <dcterms:modified xsi:type="dcterms:W3CDTF">2019-12-23T22:45:00Z</dcterms:modified>
</cp:coreProperties>
</file>