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D3D0B" w14:textId="34B12199" w:rsidR="003B3C0B" w:rsidRPr="0004499B" w:rsidRDefault="0004499B" w:rsidP="0004499B">
      <w:pPr>
        <w:widowControl w:val="0"/>
        <w:ind w:left="-720" w:hanging="4"/>
        <w:jc w:val="center"/>
        <w:rPr>
          <w:rStyle w:val="Emphasis"/>
          <w:b/>
          <w:i w:val="0"/>
        </w:rPr>
      </w:pPr>
      <w:r w:rsidRPr="0004499B">
        <w:rPr>
          <w:rStyle w:val="Emphasis"/>
          <w:b/>
          <w:i w:val="0"/>
        </w:rPr>
        <w:t>ATTACHMENT 2</w:t>
      </w: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20369F1F" w:rsidR="003B3C0B" w:rsidRPr="00C314CE" w:rsidRDefault="003B3C0B" w:rsidP="00E51021">
            <w:pPr>
              <w:ind w:left="-86"/>
              <w:rPr>
                <w:sz w:val="12"/>
              </w:rPr>
            </w:pPr>
            <w:r w:rsidRPr="00C314CE">
              <w:rPr>
                <w:b/>
                <w:sz w:val="22"/>
              </w:rPr>
              <w:t xml:space="preserve">STANDARD AGREEMENT </w:t>
            </w:r>
            <w:r>
              <w:rPr>
                <w:sz w:val="16"/>
                <w:szCs w:val="16"/>
              </w:rPr>
              <w:t xml:space="preserve">rev </w:t>
            </w:r>
            <w:r w:rsidR="00E51021">
              <w:rPr>
                <w:sz w:val="16"/>
                <w:szCs w:val="16"/>
              </w:rPr>
              <w:t>July</w:t>
            </w:r>
            <w:r w:rsidR="00DF27CD">
              <w:rPr>
                <w:sz w:val="16"/>
                <w:szCs w:val="16"/>
              </w:rPr>
              <w:t xml:space="preserve"> 201</w:t>
            </w:r>
            <w:r w:rsidR="000D7583">
              <w:rPr>
                <w:sz w:val="16"/>
                <w:szCs w:val="16"/>
              </w:rPr>
              <w:t>8</w:t>
            </w:r>
            <w:r>
              <w:rPr>
                <w:b/>
                <w:sz w:val="22"/>
              </w:rPr>
              <w:t xml:space="preserve"> </w:t>
            </w:r>
            <w:r w:rsidRPr="00C314CE">
              <w:rPr>
                <w:b/>
                <w:sz w:val="16"/>
                <w:szCs w:val="16"/>
              </w:rPr>
              <w:t xml:space="preserve"> </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60239EF7" w:rsidR="003B3C0B" w:rsidRPr="00287443" w:rsidRDefault="001046A6" w:rsidP="001046A6">
            <w:pPr>
              <w:spacing w:before="60"/>
              <w:rPr>
                <w:b/>
                <w:sz w:val="20"/>
              </w:rPr>
            </w:pPr>
            <w:r>
              <w:rPr>
                <w:b/>
                <w:sz w:val="20"/>
                <w:highlight w:val="yellow"/>
              </w:rPr>
              <w:t>Agreement</w:t>
            </w:r>
            <w:r w:rsidR="003B3C0B" w:rsidRPr="00287443">
              <w:rPr>
                <w:b/>
                <w:sz w:val="20"/>
                <w:highlight w:val="yellow"/>
              </w:rPr>
              <w:t xml:space="preserve"> number</w:t>
            </w:r>
          </w:p>
        </w:tc>
      </w:tr>
    </w:tbl>
    <w:p w14:paraId="7DF89C28" w14:textId="3535B125"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662012" w:rsidRPr="00662012">
        <w:rPr>
          <w:sz w:val="20"/>
          <w:highlight w:val="yellow"/>
        </w:rPr>
        <w:t>“JCC”</w:t>
      </w:r>
      <w:r w:rsidR="002044B8">
        <w:rPr>
          <w:sz w:val="20"/>
          <w:highlight w:val="yellow"/>
        </w:rPr>
        <w:t xml:space="preserve"> or</w:t>
      </w:r>
      <w:r w:rsidR="00662012" w:rsidRPr="00662012">
        <w:rPr>
          <w:sz w:val="20"/>
          <w:highlight w:val="yellow"/>
        </w:rPr>
        <w:t xml:space="preserve"> </w:t>
      </w:r>
      <w:r w:rsidRPr="00662012">
        <w:rPr>
          <w:sz w:val="20"/>
          <w:highlight w:val="yellow"/>
        </w:rPr>
        <w:t>“</w:t>
      </w:r>
      <w:r w:rsidR="009B5E10" w:rsidRPr="00662012">
        <w:rPr>
          <w:sz w:val="20"/>
          <w:highlight w:val="yellow"/>
        </w:rPr>
        <w:t>J</w:t>
      </w:r>
      <w:r w:rsidR="00CE739B" w:rsidRPr="00662012">
        <w:rPr>
          <w:sz w:val="20"/>
          <w:highlight w:val="yellow"/>
        </w:rPr>
        <w:t>udicial Council</w:t>
      </w:r>
      <w:r w:rsidRPr="00662012">
        <w:rPr>
          <w:sz w:val="20"/>
          <w:highlight w:val="yellow"/>
        </w:rPr>
        <w:t xml:space="preserve">” </w:t>
      </w:r>
      <w:r w:rsidR="00662012" w:rsidRPr="00662012">
        <w:rPr>
          <w:sz w:val="20"/>
          <w:highlight w:val="yellow"/>
        </w:rPr>
        <w:t>or “J</w:t>
      </w:r>
      <w:r w:rsidR="005257B0">
        <w:rPr>
          <w:sz w:val="20"/>
          <w:highlight w:val="yellow"/>
        </w:rPr>
        <w:t>udicial Branch Entity (JBE)</w:t>
      </w:r>
      <w:r w:rsidR="00662012" w:rsidRPr="00662012">
        <w:rPr>
          <w:sz w:val="20"/>
          <w:highlight w:val="yellow"/>
        </w:rPr>
        <w:t>”</w:t>
      </w:r>
      <w:r w:rsidR="00662012">
        <w:rPr>
          <w:sz w:val="20"/>
        </w:rPr>
        <w:t xml:space="preserve"> </w:t>
      </w:r>
      <w:r w:rsidRPr="00C314CE">
        <w:rPr>
          <w:sz w:val="20"/>
        </w:rPr>
        <w:t xml:space="preserve">refers to </w:t>
      </w:r>
      <w:r w:rsidR="00CE739B" w:rsidRPr="00CE739B">
        <w:rPr>
          <w:sz w:val="20"/>
        </w:rPr>
        <w:t>the</w:t>
      </w:r>
      <w:r w:rsidR="00CE739B">
        <w:rPr>
          <w:b/>
          <w:sz w:val="20"/>
        </w:rPr>
        <w:t xml:space="preserve"> J</w:t>
      </w:r>
      <w:r w:rsidR="00701788">
        <w:rPr>
          <w:b/>
          <w:sz w:val="20"/>
        </w:rPr>
        <w:t xml:space="preserve">udicial </w:t>
      </w:r>
      <w:r w:rsidR="00CE739B">
        <w:rPr>
          <w:b/>
          <w:sz w:val="20"/>
        </w:rPr>
        <w:t>Council of California</w:t>
      </w:r>
      <w:r w:rsidRPr="00C314CE">
        <w:rPr>
          <w:sz w:val="20"/>
        </w:rPr>
        <w:t xml:space="preserve">. </w:t>
      </w:r>
    </w:p>
    <w:p w14:paraId="458BA7E3" w14:textId="0B50DE1D" w:rsidR="003B3C0B" w:rsidRPr="00287443" w:rsidRDefault="003B3C0B" w:rsidP="003B3C0B">
      <w:pPr>
        <w:ind w:left="-450" w:hanging="270"/>
        <w:rPr>
          <w:sz w:val="20"/>
        </w:rPr>
      </w:pPr>
      <w:r w:rsidRPr="00287443">
        <w:rPr>
          <w:sz w:val="20"/>
        </w:rPr>
        <w:t xml:space="preserve">2.  This Agreement is effective as of </w:t>
      </w:r>
      <w:r w:rsidR="008E58E0">
        <w:rPr>
          <w:b/>
          <w:sz w:val="20"/>
          <w:highlight w:val="yellow"/>
        </w:rPr>
        <w:t>May 1, 2020</w:t>
      </w:r>
      <w:r w:rsidRPr="00287443">
        <w:rPr>
          <w:sz w:val="20"/>
        </w:rPr>
        <w:t xml:space="preserve"> </w:t>
      </w:r>
      <w:r>
        <w:rPr>
          <w:sz w:val="20"/>
        </w:rPr>
        <w:t>(</w:t>
      </w:r>
      <w:r w:rsidRPr="00287443">
        <w:rPr>
          <w:sz w:val="20"/>
        </w:rPr>
        <w:t xml:space="preserve">“Effective Date”) and expires on </w:t>
      </w:r>
      <w:r w:rsidR="008E58E0">
        <w:rPr>
          <w:b/>
          <w:sz w:val="20"/>
          <w:highlight w:val="yellow"/>
        </w:rPr>
        <w:t>June 30, 2022</w:t>
      </w:r>
      <w:r w:rsidRPr="00287443">
        <w:rPr>
          <w:sz w:val="20"/>
        </w:rPr>
        <w:t xml:space="preserve"> (“Expiration Date”).  </w:t>
      </w:r>
    </w:p>
    <w:p w14:paraId="19B484F6" w14:textId="1AA7E63A" w:rsidR="003B3C0B" w:rsidRDefault="003B3C0B" w:rsidP="003B3C0B">
      <w:pPr>
        <w:ind w:left="-450" w:hanging="270"/>
        <w:rPr>
          <w:sz w:val="20"/>
        </w:rPr>
      </w:pPr>
      <w:r>
        <w:rPr>
          <w:sz w:val="20"/>
        </w:rPr>
        <w:t xml:space="preserve">  </w:t>
      </w:r>
      <w:r>
        <w:rPr>
          <w:sz w:val="20"/>
        </w:rPr>
        <w:tab/>
      </w:r>
      <w:r w:rsidRPr="00287443">
        <w:rPr>
          <w:sz w:val="20"/>
        </w:rPr>
        <w:t xml:space="preserve">This Agreement includes </w:t>
      </w:r>
      <w:r w:rsidR="008E58E0">
        <w:rPr>
          <w:sz w:val="20"/>
        </w:rPr>
        <w:t xml:space="preserve">three (3) consecutive two-year </w:t>
      </w:r>
      <w:r w:rsidRPr="00287443">
        <w:rPr>
          <w:sz w:val="20"/>
        </w:rPr>
        <w:t>option</w:t>
      </w:r>
      <w:r w:rsidR="008E58E0">
        <w:rPr>
          <w:sz w:val="20"/>
        </w:rPr>
        <w:t xml:space="preserve"> terms</w:t>
      </w:r>
      <w:r w:rsidRPr="00287443">
        <w:rPr>
          <w:sz w:val="20"/>
        </w:rPr>
        <w:t xml:space="preserve"> to extend through </w:t>
      </w:r>
      <w:r w:rsidR="008E58E0">
        <w:rPr>
          <w:b/>
          <w:sz w:val="20"/>
          <w:highlight w:val="yellow"/>
        </w:rPr>
        <w:t>June 30, 2028</w:t>
      </w:r>
      <w:r>
        <w:rPr>
          <w:sz w:val="20"/>
        </w:rPr>
        <w:t>.</w:t>
      </w:r>
      <w:r>
        <w:rPr>
          <w:sz w:val="20"/>
        </w:rPr>
        <w:tab/>
      </w:r>
    </w:p>
    <w:p w14:paraId="3D5D8E82" w14:textId="721921B6"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AD7F7F" w:rsidRPr="00AD7F7F">
        <w:rPr>
          <w:sz w:val="20"/>
        </w:rPr>
        <w:t>Judicial Council</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AD7F7F" w:rsidRPr="00AD7F7F">
        <w:rPr>
          <w:sz w:val="20"/>
        </w:rPr>
        <w:t>Judicial Council</w:t>
      </w:r>
      <w:r w:rsidR="008C1E27" w:rsidRPr="008C1E27">
        <w:rPr>
          <w:sz w:val="20"/>
        </w:rPr>
        <w:t xml:space="preserve"> may pay Contractor </w:t>
      </w:r>
      <w:r w:rsidR="003646A9">
        <w:rPr>
          <w:sz w:val="20"/>
        </w:rPr>
        <w:t xml:space="preserve">is </w:t>
      </w:r>
      <w:r w:rsidR="00945E3C">
        <w:rPr>
          <w:sz w:val="20"/>
        </w:rPr>
        <w:t>(</w:t>
      </w:r>
      <w:proofErr w:type="spellStart"/>
      <w:r w:rsidR="00945E3C">
        <w:rPr>
          <w:sz w:val="20"/>
        </w:rPr>
        <w:t>i</w:t>
      </w:r>
      <w:proofErr w:type="spellEnd"/>
      <w:r w:rsidR="00945E3C">
        <w:rPr>
          <w:sz w:val="20"/>
        </w:rPr>
        <w:t xml:space="preserve">)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 xml:space="preserve">during the </w:t>
      </w:r>
      <w:r w:rsidR="00B1772A">
        <w:rPr>
          <w:sz w:val="20"/>
        </w:rPr>
        <w:t xml:space="preserve">first </w:t>
      </w:r>
      <w:r w:rsidR="003646A9">
        <w:rPr>
          <w:sz w:val="20"/>
        </w:rPr>
        <w:t>Option Term</w:t>
      </w:r>
      <w:r w:rsidR="00B1772A">
        <w:rPr>
          <w:sz w:val="20"/>
        </w:rPr>
        <w:t>, iii) $</w:t>
      </w:r>
      <w:r w:rsidR="00B1772A" w:rsidRPr="00B1772A">
        <w:rPr>
          <w:sz w:val="20"/>
        </w:rPr>
        <w:t>[Dollar amount] during th</w:t>
      </w:r>
      <w:r w:rsidR="00B1772A">
        <w:rPr>
          <w:sz w:val="20"/>
        </w:rPr>
        <w:t xml:space="preserve">e second </w:t>
      </w:r>
      <w:r w:rsidR="00B1772A" w:rsidRPr="00B1772A">
        <w:rPr>
          <w:sz w:val="20"/>
        </w:rPr>
        <w:t>Option Term</w:t>
      </w:r>
      <w:r w:rsidR="00B1772A">
        <w:rPr>
          <w:sz w:val="20"/>
        </w:rPr>
        <w:t>, and iv) $</w:t>
      </w:r>
      <w:r w:rsidR="00B1772A" w:rsidRPr="00B1772A">
        <w:rPr>
          <w:sz w:val="20"/>
        </w:rPr>
        <w:t xml:space="preserve">[Dollar amount] during the </w:t>
      </w:r>
      <w:r w:rsidR="00B1772A">
        <w:rPr>
          <w:sz w:val="20"/>
        </w:rPr>
        <w:t>third</w:t>
      </w:r>
      <w:r w:rsidR="00B1772A" w:rsidRPr="00B1772A">
        <w:rPr>
          <w:sz w:val="20"/>
        </w:rPr>
        <w:t xml:space="preserve"> Option Term</w:t>
      </w:r>
      <w:r w:rsidR="00B1772A">
        <w:rPr>
          <w:sz w:val="20"/>
        </w:rPr>
        <w:t>.</w:t>
      </w:r>
    </w:p>
    <w:p w14:paraId="4930F375" w14:textId="7E54B305"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8E58E0">
        <w:rPr>
          <w:b/>
          <w:sz w:val="20"/>
          <w:highlight w:val="yellow"/>
        </w:rPr>
        <w:t>Actuarial Consulting Services</w:t>
      </w:r>
      <w:r w:rsidRPr="00287443">
        <w:rPr>
          <w:sz w:val="20"/>
        </w:rPr>
        <w:t>.</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08FE917E"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w:t>
      </w:r>
      <w:r w:rsidR="00041BD3">
        <w:rPr>
          <w:sz w:val="20"/>
        </w:rPr>
        <w:t xml:space="preserve"> </w:t>
      </w:r>
      <w:r w:rsidR="00041BD3" w:rsidRPr="00041BD3">
        <w:rPr>
          <w:sz w:val="20"/>
          <w:highlight w:val="yellow"/>
        </w:rPr>
        <w:t>RFP-</w:t>
      </w:r>
      <w:r w:rsidR="008E58E0">
        <w:rPr>
          <w:sz w:val="20"/>
          <w:highlight w:val="yellow"/>
        </w:rPr>
        <w:t>JBWCP</w:t>
      </w:r>
      <w:r w:rsidR="00041BD3" w:rsidRPr="00041BD3">
        <w:rPr>
          <w:sz w:val="20"/>
          <w:highlight w:val="yellow"/>
        </w:rPr>
        <w:t>-</w:t>
      </w:r>
      <w:r w:rsidR="008E58E0">
        <w:rPr>
          <w:sz w:val="20"/>
          <w:highlight w:val="yellow"/>
        </w:rPr>
        <w:t>2019-06-</w:t>
      </w:r>
      <w:r w:rsidR="00041BD3" w:rsidRPr="00041BD3">
        <w:rPr>
          <w:sz w:val="20"/>
          <w:highlight w:val="yellow"/>
        </w:rPr>
        <w:t>DM (the RFP)</w:t>
      </w:r>
      <w:r w:rsidR="00041BD3" w:rsidRPr="00041BD3">
        <w:rPr>
          <w:sz w:val="20"/>
        </w:rPr>
        <w:t>,</w:t>
      </w:r>
      <w:r w:rsidRPr="00287443">
        <w:rPr>
          <w:sz w:val="20"/>
        </w:rPr>
        <w:t xml:space="preserve">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77777777" w:rsidR="003B3C0B" w:rsidRPr="00287443" w:rsidRDefault="003B3C0B" w:rsidP="003B3C0B">
      <w:pPr>
        <w:ind w:left="-450" w:hanging="270"/>
        <w:rPr>
          <w:sz w:val="20"/>
        </w:rPr>
      </w:pPr>
      <w:r>
        <w:rPr>
          <w:sz w:val="20"/>
        </w:rPr>
        <w:tab/>
      </w:r>
      <w:r w:rsidRPr="00287443">
        <w:rPr>
          <w:sz w:val="20"/>
        </w:rPr>
        <w:t xml:space="preserve">Appendix A – </w:t>
      </w:r>
      <w:r w:rsidR="00445058">
        <w:rPr>
          <w:sz w:val="20"/>
        </w:rPr>
        <w:t>Goods and 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77777777" w:rsidR="009341F2" w:rsidRPr="00CD19A5" w:rsidRDefault="009341F2" w:rsidP="003B3C0B">
      <w:pPr>
        <w:pBdr>
          <w:bottom w:val="single" w:sz="6" w:space="1" w:color="auto"/>
        </w:pBdr>
        <w:ind w:left="-450" w:hanging="270"/>
        <w:rPr>
          <w:color w:val="000000" w:themeColor="text1"/>
          <w:sz w:val="20"/>
        </w:rPr>
      </w:pPr>
      <w:r>
        <w:rPr>
          <w:sz w:val="20"/>
        </w:rPr>
        <w:tab/>
        <w:t xml:space="preserve">Appendix E </w:t>
      </w:r>
      <w:r w:rsidRPr="00287443">
        <w:rPr>
          <w:sz w:val="20"/>
        </w:rPr>
        <w:t>–</w:t>
      </w:r>
      <w:r>
        <w:rPr>
          <w:sz w:val="20"/>
        </w:rPr>
        <w:t xml:space="preserve"> Unruh Civil Rights Act and FEHA Certification </w:t>
      </w:r>
      <w:r w:rsidRPr="00CD19A5">
        <w:rPr>
          <w:b/>
          <w:i/>
          <w:color w:val="000000" w:themeColor="text1"/>
          <w:sz w:val="20"/>
        </w:rPr>
        <w:t>[Only when entering into or renewing a contract $100,000 or more]</w:t>
      </w:r>
    </w:p>
    <w:p w14:paraId="02144CCB" w14:textId="77777777" w:rsidR="003B3C0B" w:rsidRDefault="003B3C0B" w:rsidP="003B3C0B">
      <w:pPr>
        <w:ind w:left="-450" w:hanging="270"/>
        <w:rPr>
          <w:sz w:val="20"/>
        </w:rPr>
      </w:pPr>
    </w:p>
    <w:p w14:paraId="5FD2BC0B" w14:textId="77777777" w:rsidR="003B3C0B" w:rsidRDefault="003B3C0B" w:rsidP="003B3C0B">
      <w:pPr>
        <w:ind w:left="-450" w:hanging="270"/>
        <w:rPr>
          <w:sz w:val="20"/>
        </w:rPr>
      </w:pPr>
    </w:p>
    <w:p w14:paraId="3284E9F6" w14:textId="77777777" w:rsidR="003B3C0B" w:rsidRDefault="003B3C0B" w:rsidP="003B3C0B">
      <w:pPr>
        <w:ind w:left="-450" w:hanging="270"/>
        <w:rPr>
          <w:sz w:val="20"/>
        </w:rPr>
      </w:pP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460"/>
        <w:gridCol w:w="4620"/>
      </w:tblGrid>
      <w:tr w:rsidR="003B3C0B" w:rsidRPr="00114412" w14:paraId="26883AAC" w14:textId="77777777" w:rsidTr="00402A05">
        <w:trPr>
          <w:trHeight w:hRule="exact" w:val="495"/>
        </w:trPr>
        <w:tc>
          <w:tcPr>
            <w:tcW w:w="546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343FF5AC" w:rsidR="003B3C0B" w:rsidRPr="00114412" w:rsidRDefault="00AD7F7F" w:rsidP="00D662AB">
            <w:pPr>
              <w:tabs>
                <w:tab w:val="left" w:pos="3600"/>
              </w:tabs>
              <w:jc w:val="center"/>
              <w:rPr>
                <w:b/>
              </w:rPr>
            </w:pPr>
            <w:r>
              <w:rPr>
                <w:b/>
                <w:sz w:val="20"/>
              </w:rPr>
              <w:t>JUDICIAL COUNCIL</w:t>
            </w:r>
            <w:r w:rsidR="003B3C0B" w:rsidRPr="00085A04">
              <w:rPr>
                <w:b/>
                <w:sz w:val="20"/>
              </w:rPr>
              <w:t xml:space="preserve">’S </w:t>
            </w:r>
            <w:r w:rsidR="003B3C0B" w:rsidRPr="00C314CE">
              <w:rPr>
                <w:b/>
                <w:sz w:val="20"/>
              </w:rPr>
              <w:t>SIGNATURE</w:t>
            </w:r>
          </w:p>
        </w:tc>
        <w:tc>
          <w:tcPr>
            <w:tcW w:w="462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402A05">
        <w:trPr>
          <w:trHeight w:hRule="exact" w:val="110"/>
        </w:trPr>
        <w:tc>
          <w:tcPr>
            <w:tcW w:w="546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62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962C77">
        <w:trPr>
          <w:trHeight w:hRule="exact" w:val="909"/>
        </w:trPr>
        <w:tc>
          <w:tcPr>
            <w:tcW w:w="546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49F907FC" w:rsidR="003B3C0B" w:rsidRPr="00114412" w:rsidRDefault="00962C77" w:rsidP="00D662AB">
            <w:pPr>
              <w:jc w:val="both"/>
              <w:rPr>
                <w:sz w:val="18"/>
              </w:rPr>
            </w:pPr>
            <w:r>
              <w:rPr>
                <w:b/>
                <w:sz w:val="20"/>
              </w:rPr>
              <w:t>Judicial Council of California</w:t>
            </w:r>
          </w:p>
        </w:tc>
        <w:tc>
          <w:tcPr>
            <w:tcW w:w="4620" w:type="dxa"/>
            <w:tcBorders>
              <w:top w:val="nil"/>
              <w:left w:val="single" w:sz="8" w:space="0" w:color="auto"/>
              <w:bottom w:val="single" w:sz="8" w:space="0" w:color="auto"/>
              <w:right w:val="single" w:sz="8" w:space="0" w:color="auto"/>
            </w:tcBorders>
          </w:tcPr>
          <w:p w14:paraId="4F7DF527" w14:textId="77777777" w:rsidR="003B3C0B" w:rsidRPr="00114412" w:rsidRDefault="003B3C0B" w:rsidP="00D662AB">
            <w:pPr>
              <w:spacing w:before="20"/>
              <w:jc w:val="both"/>
              <w:rPr>
                <w:i/>
                <w:sz w:val="14"/>
              </w:rPr>
            </w:pPr>
            <w:r w:rsidRPr="00C314CE">
              <w:rPr>
                <w:sz w:val="14"/>
              </w:rPr>
              <w:t xml:space="preserve">CONTRACTOR’S </w:t>
            </w:r>
            <w:proofErr w:type="gramStart"/>
            <w:r w:rsidRPr="00C314CE">
              <w:rPr>
                <w:sz w:val="14"/>
              </w:rPr>
              <w:t>NAME</w:t>
            </w:r>
            <w:r>
              <w:rPr>
                <w:sz w:val="13"/>
              </w:rPr>
              <w:t xml:space="preserve">  </w:t>
            </w:r>
            <w:r w:rsidRPr="00C314CE">
              <w:rPr>
                <w:i/>
                <w:sz w:val="14"/>
              </w:rPr>
              <w:t>(</w:t>
            </w:r>
            <w:proofErr w:type="gramEnd"/>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328F299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402A05">
        <w:trPr>
          <w:trHeight w:hRule="exact" w:val="100"/>
        </w:trPr>
        <w:tc>
          <w:tcPr>
            <w:tcW w:w="5460" w:type="dxa"/>
            <w:tcBorders>
              <w:top w:val="single" w:sz="8" w:space="0" w:color="auto"/>
              <w:left w:val="single" w:sz="8" w:space="0" w:color="auto"/>
              <w:bottom w:val="nil"/>
              <w:right w:val="single" w:sz="8" w:space="0" w:color="auto"/>
            </w:tcBorders>
          </w:tcPr>
          <w:p w14:paraId="567A6A6B" w14:textId="5905293D" w:rsidR="003B3C0B" w:rsidRPr="00114412" w:rsidRDefault="00E31872" w:rsidP="00D662AB">
            <w:pPr>
              <w:spacing w:before="20"/>
              <w:rPr>
                <w:sz w:val="14"/>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3DDFDE11" wp14:editId="5C866DBC">
                      <wp:simplePos x="0" y="0"/>
                      <wp:positionH relativeFrom="column">
                        <wp:posOffset>171450</wp:posOffset>
                      </wp:positionH>
                      <wp:positionV relativeFrom="paragraph">
                        <wp:posOffset>1270</wp:posOffset>
                      </wp:positionV>
                      <wp:extent cx="5387340" cy="1417320"/>
                      <wp:effectExtent l="0" t="0" r="41910" b="495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7340" cy="14173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0D084DCE" w14:textId="77777777" w:rsidR="00E31872" w:rsidRPr="00FB4888" w:rsidRDefault="00E31872" w:rsidP="00E31872">
                                  <w:pPr>
                                    <w:spacing w:before="360"/>
                                    <w:jc w:val="center"/>
                                    <w:rPr>
                                      <w:b/>
                                      <w:smallCaps/>
                                      <w:sz w:val="48"/>
                                    </w:rPr>
                                  </w:pPr>
                                  <w:permStart w:id="800677828" w:edGrp="everyone"/>
                                  <w:r w:rsidRPr="00631BBB">
                                    <w:rPr>
                                      <w:b/>
                                      <w:smallCaps/>
                                      <w:sz w:val="48"/>
                                    </w:rPr>
                                    <w:t>Sample Only – Do Not Sign</w:t>
                                  </w:r>
                                  <w:permEnd w:id="8006778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FDE11" id="Rectangle 2" o:spid="_x0000_s1026" style="position:absolute;margin-left:13.5pt;margin-top:.1pt;width:424.2pt;height:1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" strokecolor="#fabf8f" strokeweight="1pt">
                      <v:fill color2="#fbd4b4" focus="100%" type="gradient"/>
                      <v:shadow on="t" color="#974706" opacity=".5" offset="1pt"/>
                      <v:textbox>
                        <w:txbxContent>
                          <w:p w14:paraId="0D084DCE" w14:textId="77777777" w:rsidR="00E31872" w:rsidRPr="00FB4888" w:rsidRDefault="00E31872" w:rsidP="00E31872">
                            <w:pPr>
                              <w:spacing w:before="360"/>
                              <w:jc w:val="center"/>
                              <w:rPr>
                                <w:b/>
                                <w:smallCaps/>
                                <w:sz w:val="48"/>
                              </w:rPr>
                            </w:pPr>
                            <w:permStart w:id="800677828" w:edGrp="everyone"/>
                            <w:r w:rsidRPr="00631BBB">
                              <w:rPr>
                                <w:b/>
                                <w:smallCaps/>
                                <w:sz w:val="48"/>
                              </w:rPr>
                              <w:t>Sample Only – Do Not Sign</w:t>
                            </w:r>
                            <w:permEnd w:id="800677828"/>
                          </w:p>
                        </w:txbxContent>
                      </v:textbox>
                    </v:rect>
                  </w:pict>
                </mc:Fallback>
              </mc:AlternateContent>
            </w:r>
          </w:p>
        </w:tc>
        <w:tc>
          <w:tcPr>
            <w:tcW w:w="462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402A05">
        <w:trPr>
          <w:trHeight w:hRule="exact" w:val="699"/>
        </w:trPr>
        <w:tc>
          <w:tcPr>
            <w:tcW w:w="5460" w:type="dxa"/>
            <w:tcBorders>
              <w:top w:val="nil"/>
              <w:left w:val="single" w:sz="8" w:space="0" w:color="auto"/>
              <w:bottom w:val="single" w:sz="8" w:space="0" w:color="auto"/>
              <w:right w:val="single" w:sz="8" w:space="0" w:color="auto"/>
            </w:tcBorders>
          </w:tcPr>
          <w:p w14:paraId="61828F32" w14:textId="2BF9A01D"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041C9ECF" w:rsidR="003B3C0B" w:rsidRPr="00114412" w:rsidRDefault="003B3C0B" w:rsidP="00D662AB">
            <w:pPr>
              <w:tabs>
                <w:tab w:val="left" w:pos="3600"/>
              </w:tabs>
              <w:rPr>
                <w:sz w:val="18"/>
              </w:rPr>
            </w:pPr>
            <w:r w:rsidRPr="00C314CE">
              <w:rPr>
                <w:sz w:val="28"/>
              </w:rPr>
              <w:sym w:font="Wingdings" w:char="F03F"/>
            </w:r>
          </w:p>
        </w:tc>
        <w:tc>
          <w:tcPr>
            <w:tcW w:w="462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402A05">
        <w:trPr>
          <w:trHeight w:hRule="exact" w:val="100"/>
        </w:trPr>
        <w:tc>
          <w:tcPr>
            <w:tcW w:w="546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62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402A05">
        <w:trPr>
          <w:trHeight w:hRule="exact" w:val="627"/>
        </w:trPr>
        <w:tc>
          <w:tcPr>
            <w:tcW w:w="546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37FD80C5" w:rsidR="003B3C0B" w:rsidRPr="00287443" w:rsidRDefault="00402A05" w:rsidP="00D662AB">
            <w:pPr>
              <w:tabs>
                <w:tab w:val="left" w:pos="3600"/>
              </w:tabs>
              <w:rPr>
                <w:sz w:val="20"/>
              </w:rPr>
            </w:pPr>
            <w:r>
              <w:rPr>
                <w:b/>
                <w:sz w:val="20"/>
                <w:highlight w:val="yellow"/>
              </w:rPr>
              <w:t>Brian Walsh, Supervisor, Contracts</w:t>
            </w:r>
          </w:p>
        </w:tc>
        <w:tc>
          <w:tcPr>
            <w:tcW w:w="462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356B85FE"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667507">
        <w:trPr>
          <w:trHeight w:hRule="exact" w:val="749"/>
        </w:trPr>
        <w:tc>
          <w:tcPr>
            <w:tcW w:w="546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5E898875" w:rsidR="00993261" w:rsidRPr="00114412" w:rsidRDefault="003F1B2B" w:rsidP="003F1B2B">
            <w:pPr>
              <w:tabs>
                <w:tab w:val="left" w:pos="3600"/>
              </w:tabs>
              <w:rPr>
                <w:sz w:val="14"/>
              </w:rPr>
            </w:pPr>
            <w:r>
              <w:rPr>
                <w:b/>
                <w:sz w:val="20"/>
                <w:highlight w:val="yellow"/>
              </w:rPr>
              <w:t>Date</w:t>
            </w:r>
          </w:p>
        </w:tc>
        <w:tc>
          <w:tcPr>
            <w:tcW w:w="462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1813E2C8" w:rsidR="003F1B2B" w:rsidRPr="00114412" w:rsidRDefault="003F1B2B" w:rsidP="00D662AB">
            <w:pPr>
              <w:tabs>
                <w:tab w:val="left" w:pos="3600"/>
              </w:tabs>
              <w:rPr>
                <w:sz w:val="14"/>
              </w:rPr>
            </w:pPr>
            <w:r>
              <w:rPr>
                <w:b/>
                <w:sz w:val="20"/>
                <w:highlight w:val="yellow"/>
              </w:rPr>
              <w:t>Date</w:t>
            </w:r>
          </w:p>
        </w:tc>
      </w:tr>
      <w:tr w:rsidR="003B3C0B" w:rsidRPr="00114412" w14:paraId="439E5F66" w14:textId="77777777" w:rsidTr="00402A05">
        <w:trPr>
          <w:trHeight w:hRule="exact" w:val="100"/>
        </w:trPr>
        <w:tc>
          <w:tcPr>
            <w:tcW w:w="546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62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962C77">
        <w:trPr>
          <w:trHeight w:hRule="exact" w:val="1143"/>
        </w:trPr>
        <w:tc>
          <w:tcPr>
            <w:tcW w:w="546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49BC3910" w14:textId="77777777" w:rsidR="00402A05" w:rsidRPr="00402A05" w:rsidRDefault="00402A05" w:rsidP="00402A05">
            <w:pPr>
              <w:tabs>
                <w:tab w:val="left" w:pos="3600"/>
              </w:tabs>
              <w:rPr>
                <w:b/>
                <w:sz w:val="20"/>
              </w:rPr>
            </w:pPr>
            <w:r w:rsidRPr="00402A05">
              <w:rPr>
                <w:b/>
                <w:sz w:val="20"/>
              </w:rPr>
              <w:t>Attn: Procurement</w:t>
            </w:r>
          </w:p>
          <w:p w14:paraId="54E5F806" w14:textId="77777777" w:rsidR="00402A05" w:rsidRPr="00402A05" w:rsidRDefault="00402A05" w:rsidP="00402A05">
            <w:pPr>
              <w:tabs>
                <w:tab w:val="left" w:pos="3600"/>
              </w:tabs>
              <w:rPr>
                <w:b/>
                <w:sz w:val="20"/>
              </w:rPr>
            </w:pPr>
            <w:r w:rsidRPr="00402A05">
              <w:rPr>
                <w:b/>
                <w:sz w:val="20"/>
              </w:rPr>
              <w:t>Branch Accounting &amp; Procurement | Administrative Division</w:t>
            </w:r>
          </w:p>
          <w:p w14:paraId="1568D686" w14:textId="77777777" w:rsidR="00402A05" w:rsidRPr="00402A05" w:rsidRDefault="00402A05" w:rsidP="00402A05">
            <w:pPr>
              <w:tabs>
                <w:tab w:val="left" w:pos="3600"/>
              </w:tabs>
              <w:rPr>
                <w:b/>
                <w:sz w:val="20"/>
              </w:rPr>
            </w:pPr>
            <w:r w:rsidRPr="00402A05">
              <w:rPr>
                <w:b/>
                <w:sz w:val="20"/>
              </w:rPr>
              <w:t>455 Golden Gate Avenue, 6th Floor</w:t>
            </w:r>
          </w:p>
          <w:p w14:paraId="72E182B9" w14:textId="71FA8C12" w:rsidR="003B3C0B" w:rsidRPr="00287443" w:rsidRDefault="00402A05" w:rsidP="00402A05">
            <w:pPr>
              <w:tabs>
                <w:tab w:val="left" w:pos="3600"/>
              </w:tabs>
              <w:rPr>
                <w:sz w:val="20"/>
              </w:rPr>
            </w:pPr>
            <w:r w:rsidRPr="00402A05">
              <w:rPr>
                <w:b/>
                <w:sz w:val="20"/>
              </w:rPr>
              <w:t>San Francisco, California 94102-3688</w:t>
            </w:r>
          </w:p>
        </w:tc>
        <w:tc>
          <w:tcPr>
            <w:tcW w:w="462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0234DC2A"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3D06D13E" w14:textId="10A9C2C5"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sidRPr="00C314CE">
        <w:rPr>
          <w:b/>
          <w:sz w:val="14"/>
          <w:szCs w:val="14"/>
        </w:rPr>
        <w:t xml:space="preserve">                                                                                        </w:t>
      </w: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77777777" w:rsidR="00B7449E" w:rsidRPr="00EC158B" w:rsidRDefault="00085746"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Goods and </w:t>
      </w:r>
      <w:r w:rsidR="00E52E73">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91803BF" w14:textId="77777777" w:rsidR="00E61B6C" w:rsidRPr="00E61B6C" w:rsidRDefault="00EF6C03" w:rsidP="00E61B6C">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3B50125F" w14:textId="7D025CD8" w:rsidR="0042524F" w:rsidRPr="0042524F" w:rsidRDefault="0042524F" w:rsidP="0042524F">
      <w:pPr>
        <w:pStyle w:val="ListParagraph"/>
        <w:keepNext/>
        <w:numPr>
          <w:ilvl w:val="1"/>
          <w:numId w:val="31"/>
        </w:numPr>
        <w:ind w:left="1440"/>
        <w:rPr>
          <w:rFonts w:asciiTheme="minorHAnsi" w:hAnsiTheme="minorHAnsi" w:cstheme="minorHAnsi"/>
          <w:bCs/>
          <w:sz w:val="20"/>
        </w:rPr>
      </w:pPr>
      <w:bookmarkStart w:id="0" w:name="_Hlk23173153"/>
      <w:r w:rsidRPr="0042524F">
        <w:rPr>
          <w:rFonts w:asciiTheme="minorHAnsi" w:hAnsiTheme="minorHAnsi" w:cstheme="minorHAnsi"/>
          <w:bCs/>
          <w:sz w:val="20"/>
        </w:rPr>
        <w:t xml:space="preserve">Judicial Council of California.  The Judicial Council of California (JCC) is the policymaking body of the California courts, the largest court system in the nation. Under the leadership of the Chief Justice and in accordance with the California Constitution, the council is responsible for ensuring the consistent, independent, impartial, and accessible administration of justice. Judicial Council staff help implement the council’s policies. </w:t>
      </w:r>
    </w:p>
    <w:p w14:paraId="09DDAAFF" w14:textId="77777777" w:rsidR="0042524F" w:rsidRPr="0042524F" w:rsidRDefault="0042524F" w:rsidP="0042524F">
      <w:pPr>
        <w:keepNext/>
        <w:ind w:left="1440"/>
        <w:rPr>
          <w:rFonts w:asciiTheme="minorHAnsi" w:hAnsiTheme="minorHAnsi" w:cstheme="minorHAnsi"/>
          <w:bCs/>
          <w:sz w:val="20"/>
        </w:rPr>
      </w:pPr>
    </w:p>
    <w:p w14:paraId="17F59C01" w14:textId="77777777" w:rsidR="0042524F" w:rsidRPr="0042524F" w:rsidRDefault="0042524F" w:rsidP="0042524F">
      <w:pPr>
        <w:keepNext/>
        <w:ind w:left="1440"/>
        <w:rPr>
          <w:rFonts w:asciiTheme="minorHAnsi" w:hAnsiTheme="minorHAnsi" w:cstheme="minorHAnsi"/>
          <w:bCs/>
          <w:sz w:val="20"/>
        </w:rPr>
      </w:pPr>
      <w:r w:rsidRPr="0042524F">
        <w:rPr>
          <w:rFonts w:asciiTheme="minorHAnsi" w:hAnsiTheme="minorHAnsi" w:cstheme="minorHAnsi"/>
          <w:bCs/>
          <w:sz w:val="20"/>
        </w:rPr>
        <w:t>The Judicial Branch Entities (JBE) consists of:</w:t>
      </w:r>
    </w:p>
    <w:p w14:paraId="446EA203" w14:textId="77777777" w:rsidR="0042524F" w:rsidRPr="0042524F" w:rsidRDefault="0042524F" w:rsidP="0042524F">
      <w:pPr>
        <w:keepNext/>
        <w:ind w:left="1440"/>
        <w:rPr>
          <w:rFonts w:asciiTheme="minorHAnsi" w:hAnsiTheme="minorHAnsi" w:cstheme="minorHAnsi"/>
          <w:bCs/>
          <w:sz w:val="20"/>
        </w:rPr>
      </w:pPr>
    </w:p>
    <w:p w14:paraId="634A2A26" w14:textId="77777777" w:rsidR="0042524F" w:rsidRPr="0042524F" w:rsidRDefault="0042524F" w:rsidP="0042524F">
      <w:pPr>
        <w:numPr>
          <w:ilvl w:val="0"/>
          <w:numId w:val="32"/>
        </w:numPr>
        <w:rPr>
          <w:rFonts w:asciiTheme="minorHAnsi" w:hAnsiTheme="minorHAnsi" w:cstheme="minorHAnsi"/>
          <w:bCs/>
          <w:sz w:val="20"/>
        </w:rPr>
      </w:pPr>
      <w:r w:rsidRPr="0042524F">
        <w:rPr>
          <w:rFonts w:asciiTheme="minorHAnsi" w:hAnsiTheme="minorHAnsi" w:cstheme="minorHAnsi"/>
          <w:bCs/>
          <w:sz w:val="20"/>
        </w:rPr>
        <w:t>The 58 Superior Courts of California (also referred to as trial courts-TC) located in each of the 58 Counties</w:t>
      </w:r>
    </w:p>
    <w:p w14:paraId="2F3FE493" w14:textId="77777777" w:rsidR="0042524F" w:rsidRPr="0042524F" w:rsidRDefault="0042524F" w:rsidP="0042524F">
      <w:pPr>
        <w:keepNext/>
        <w:numPr>
          <w:ilvl w:val="0"/>
          <w:numId w:val="32"/>
        </w:numPr>
        <w:rPr>
          <w:rFonts w:asciiTheme="minorHAnsi" w:hAnsiTheme="minorHAnsi" w:cstheme="minorHAnsi"/>
          <w:bCs/>
          <w:sz w:val="20"/>
        </w:rPr>
      </w:pPr>
      <w:r w:rsidRPr="0042524F">
        <w:rPr>
          <w:rFonts w:asciiTheme="minorHAnsi" w:hAnsiTheme="minorHAnsi" w:cstheme="minorHAnsi"/>
          <w:bCs/>
          <w:sz w:val="20"/>
        </w:rPr>
        <w:t>The Supreme Court of California (SC)</w:t>
      </w:r>
    </w:p>
    <w:p w14:paraId="41309D0A" w14:textId="77777777" w:rsidR="0042524F" w:rsidRPr="0042524F" w:rsidRDefault="0042524F" w:rsidP="0042524F">
      <w:pPr>
        <w:keepNext/>
        <w:numPr>
          <w:ilvl w:val="0"/>
          <w:numId w:val="32"/>
        </w:numPr>
        <w:rPr>
          <w:rFonts w:asciiTheme="minorHAnsi" w:hAnsiTheme="minorHAnsi" w:cstheme="minorHAnsi"/>
          <w:bCs/>
          <w:sz w:val="20"/>
        </w:rPr>
      </w:pPr>
      <w:r w:rsidRPr="0042524F">
        <w:rPr>
          <w:rFonts w:asciiTheme="minorHAnsi" w:hAnsiTheme="minorHAnsi" w:cstheme="minorHAnsi"/>
          <w:bCs/>
          <w:sz w:val="20"/>
        </w:rPr>
        <w:t>The District Courts of Appeal (DCA)</w:t>
      </w:r>
    </w:p>
    <w:p w14:paraId="010566F9" w14:textId="77777777" w:rsidR="0042524F" w:rsidRPr="0042524F" w:rsidRDefault="0042524F" w:rsidP="0042524F">
      <w:pPr>
        <w:keepNext/>
        <w:numPr>
          <w:ilvl w:val="0"/>
          <w:numId w:val="32"/>
        </w:numPr>
        <w:rPr>
          <w:rFonts w:asciiTheme="minorHAnsi" w:hAnsiTheme="minorHAnsi" w:cstheme="minorHAnsi"/>
          <w:bCs/>
          <w:sz w:val="20"/>
        </w:rPr>
      </w:pPr>
      <w:r w:rsidRPr="0042524F">
        <w:rPr>
          <w:rFonts w:asciiTheme="minorHAnsi" w:hAnsiTheme="minorHAnsi" w:cstheme="minorHAnsi"/>
          <w:bCs/>
          <w:sz w:val="20"/>
        </w:rPr>
        <w:t xml:space="preserve">The Habeas Corpus Resource Center (HCRC) </w:t>
      </w:r>
    </w:p>
    <w:p w14:paraId="474C05DF" w14:textId="77777777" w:rsidR="0042524F" w:rsidRPr="0042524F" w:rsidRDefault="0042524F" w:rsidP="0042524F">
      <w:pPr>
        <w:keepNext/>
        <w:numPr>
          <w:ilvl w:val="0"/>
          <w:numId w:val="32"/>
        </w:numPr>
        <w:rPr>
          <w:rFonts w:asciiTheme="minorHAnsi" w:hAnsiTheme="minorHAnsi" w:cstheme="minorHAnsi"/>
          <w:bCs/>
          <w:sz w:val="20"/>
        </w:rPr>
      </w:pPr>
      <w:r w:rsidRPr="0042524F">
        <w:rPr>
          <w:rFonts w:asciiTheme="minorHAnsi" w:hAnsiTheme="minorHAnsi" w:cstheme="minorHAnsi"/>
          <w:bCs/>
          <w:sz w:val="20"/>
        </w:rPr>
        <w:t xml:space="preserve">The Commission on Judicial Performance (CJP) </w:t>
      </w:r>
    </w:p>
    <w:p w14:paraId="4A8A0452" w14:textId="77777777" w:rsidR="0042524F" w:rsidRPr="0042524F" w:rsidRDefault="0042524F" w:rsidP="0042524F">
      <w:pPr>
        <w:keepNext/>
        <w:numPr>
          <w:ilvl w:val="0"/>
          <w:numId w:val="32"/>
        </w:numPr>
        <w:rPr>
          <w:rFonts w:asciiTheme="minorHAnsi" w:hAnsiTheme="minorHAnsi" w:cstheme="minorHAnsi"/>
          <w:bCs/>
          <w:sz w:val="20"/>
        </w:rPr>
      </w:pPr>
      <w:r w:rsidRPr="0042524F">
        <w:rPr>
          <w:rFonts w:asciiTheme="minorHAnsi" w:hAnsiTheme="minorHAnsi" w:cstheme="minorHAnsi"/>
          <w:bCs/>
          <w:sz w:val="20"/>
        </w:rPr>
        <w:t>The JCC, there are two locations for the JCC - San Francisco and Sacramento.</w:t>
      </w:r>
    </w:p>
    <w:bookmarkEnd w:id="0"/>
    <w:p w14:paraId="2BD48798" w14:textId="77777777" w:rsidR="0042524F" w:rsidRPr="0042524F" w:rsidRDefault="0042524F" w:rsidP="0042524F">
      <w:pPr>
        <w:rPr>
          <w:rFonts w:asciiTheme="minorHAnsi" w:hAnsiTheme="minorHAnsi" w:cstheme="minorHAnsi"/>
          <w:bCs/>
          <w:sz w:val="20"/>
        </w:rPr>
      </w:pPr>
    </w:p>
    <w:p w14:paraId="1362A8D7" w14:textId="77777777" w:rsidR="0042524F" w:rsidRPr="0042524F" w:rsidRDefault="0042524F" w:rsidP="0042524F">
      <w:pPr>
        <w:numPr>
          <w:ilvl w:val="1"/>
          <w:numId w:val="31"/>
        </w:numPr>
        <w:ind w:left="1440"/>
        <w:rPr>
          <w:rFonts w:asciiTheme="minorHAnsi" w:hAnsiTheme="minorHAnsi" w:cstheme="minorHAnsi"/>
          <w:bCs/>
          <w:sz w:val="20"/>
        </w:rPr>
      </w:pPr>
      <w:r w:rsidRPr="0042524F">
        <w:rPr>
          <w:rFonts w:asciiTheme="minorHAnsi" w:hAnsiTheme="minorHAnsi" w:cstheme="minorHAnsi"/>
          <w:bCs/>
          <w:sz w:val="20"/>
        </w:rPr>
        <w:t>Judicial Branch Workers’ Compensation Program</w:t>
      </w:r>
    </w:p>
    <w:p w14:paraId="4AF3F2AF" w14:textId="77777777" w:rsidR="0042524F" w:rsidRPr="0042524F" w:rsidRDefault="0042524F" w:rsidP="0042524F">
      <w:pPr>
        <w:ind w:left="720"/>
        <w:rPr>
          <w:rFonts w:asciiTheme="minorHAnsi" w:hAnsiTheme="minorHAnsi" w:cstheme="minorHAnsi"/>
          <w:bCs/>
          <w:sz w:val="20"/>
        </w:rPr>
      </w:pPr>
    </w:p>
    <w:p w14:paraId="0BB1EE5B" w14:textId="77777777" w:rsidR="0042524F" w:rsidRPr="0042524F" w:rsidRDefault="0042524F" w:rsidP="0042524F">
      <w:pPr>
        <w:numPr>
          <w:ilvl w:val="2"/>
          <w:numId w:val="31"/>
        </w:numPr>
        <w:ind w:left="2160"/>
        <w:rPr>
          <w:rFonts w:asciiTheme="minorHAnsi" w:hAnsiTheme="minorHAnsi" w:cstheme="minorHAnsi"/>
          <w:bCs/>
          <w:sz w:val="20"/>
        </w:rPr>
      </w:pPr>
      <w:r w:rsidRPr="0042524F">
        <w:rPr>
          <w:rFonts w:asciiTheme="minorHAnsi" w:hAnsiTheme="minorHAnsi" w:cstheme="minorHAnsi"/>
          <w:bCs/>
          <w:sz w:val="20"/>
        </w:rPr>
        <w:t xml:space="preserve">The JCC serves as the program administrator for the Judicial Branch Workers’ Compensation Program (JBWCP). The program consists of three components: </w:t>
      </w:r>
    </w:p>
    <w:p w14:paraId="4411D72D" w14:textId="77777777" w:rsidR="0042524F" w:rsidRPr="0042524F" w:rsidRDefault="0042524F" w:rsidP="0042524F">
      <w:pPr>
        <w:ind w:left="2160"/>
        <w:rPr>
          <w:rFonts w:asciiTheme="minorHAnsi" w:hAnsiTheme="minorHAnsi" w:cstheme="minorHAnsi"/>
          <w:bCs/>
          <w:sz w:val="20"/>
        </w:rPr>
      </w:pPr>
    </w:p>
    <w:p w14:paraId="7B78A313" w14:textId="77777777" w:rsidR="0042524F" w:rsidRPr="0042524F" w:rsidRDefault="0042524F" w:rsidP="0042524F">
      <w:pPr>
        <w:numPr>
          <w:ilvl w:val="0"/>
          <w:numId w:val="33"/>
        </w:numPr>
        <w:rPr>
          <w:rFonts w:asciiTheme="minorHAnsi" w:hAnsiTheme="minorHAnsi" w:cstheme="minorHAnsi"/>
          <w:bCs/>
          <w:sz w:val="20"/>
        </w:rPr>
      </w:pPr>
      <w:r w:rsidRPr="0042524F">
        <w:rPr>
          <w:rFonts w:asciiTheme="minorHAnsi" w:hAnsiTheme="minorHAnsi" w:cstheme="minorHAnsi"/>
          <w:bCs/>
          <w:sz w:val="20"/>
        </w:rPr>
        <w:t xml:space="preserve">The Trial Courts (TC) </w:t>
      </w:r>
    </w:p>
    <w:p w14:paraId="5E1505EA" w14:textId="77777777" w:rsidR="0042524F" w:rsidRPr="0042524F" w:rsidRDefault="0042524F" w:rsidP="0042524F">
      <w:pPr>
        <w:numPr>
          <w:ilvl w:val="0"/>
          <w:numId w:val="33"/>
        </w:numPr>
        <w:rPr>
          <w:rFonts w:asciiTheme="minorHAnsi" w:hAnsiTheme="minorHAnsi" w:cstheme="minorHAnsi"/>
          <w:bCs/>
          <w:sz w:val="20"/>
        </w:rPr>
      </w:pPr>
      <w:r w:rsidRPr="0042524F">
        <w:rPr>
          <w:rFonts w:asciiTheme="minorHAnsi" w:hAnsiTheme="minorHAnsi" w:cstheme="minorHAnsi"/>
          <w:bCs/>
          <w:sz w:val="20"/>
        </w:rPr>
        <w:t xml:space="preserve">The Judiciary, which includes the SC, DCA, HCRC, CJP, and </w:t>
      </w:r>
    </w:p>
    <w:p w14:paraId="6790BF24" w14:textId="77777777" w:rsidR="0042524F" w:rsidRPr="0042524F" w:rsidRDefault="0042524F" w:rsidP="0042524F">
      <w:pPr>
        <w:ind w:left="2880"/>
        <w:rPr>
          <w:rFonts w:asciiTheme="minorHAnsi" w:hAnsiTheme="minorHAnsi" w:cstheme="minorHAnsi"/>
          <w:bCs/>
          <w:sz w:val="20"/>
        </w:rPr>
      </w:pPr>
      <w:r w:rsidRPr="0042524F">
        <w:rPr>
          <w:rFonts w:asciiTheme="minorHAnsi" w:hAnsiTheme="minorHAnsi" w:cstheme="minorHAnsi"/>
          <w:bCs/>
          <w:sz w:val="20"/>
        </w:rPr>
        <w:t xml:space="preserve">the JCC; and </w:t>
      </w:r>
    </w:p>
    <w:p w14:paraId="3701BFD0" w14:textId="77777777" w:rsidR="0042524F" w:rsidRPr="0042524F" w:rsidRDefault="0042524F" w:rsidP="0042524F">
      <w:pPr>
        <w:numPr>
          <w:ilvl w:val="0"/>
          <w:numId w:val="33"/>
        </w:numPr>
        <w:rPr>
          <w:rFonts w:asciiTheme="minorHAnsi" w:hAnsiTheme="minorHAnsi" w:cstheme="minorHAnsi"/>
          <w:bCs/>
          <w:sz w:val="20"/>
        </w:rPr>
      </w:pPr>
      <w:r w:rsidRPr="0042524F">
        <w:rPr>
          <w:rFonts w:asciiTheme="minorHAnsi" w:hAnsiTheme="minorHAnsi" w:cstheme="minorHAnsi"/>
          <w:bCs/>
          <w:sz w:val="20"/>
        </w:rPr>
        <w:t xml:space="preserve">The Judicial Officers, which consists of all trial court judges of the Superior Courts. </w:t>
      </w:r>
    </w:p>
    <w:p w14:paraId="59287271" w14:textId="77777777" w:rsidR="0042524F" w:rsidRPr="0042524F" w:rsidRDefault="0042524F" w:rsidP="0042524F">
      <w:pPr>
        <w:ind w:left="1440"/>
        <w:rPr>
          <w:rFonts w:asciiTheme="minorHAnsi" w:hAnsiTheme="minorHAnsi" w:cstheme="minorHAnsi"/>
          <w:bCs/>
          <w:sz w:val="20"/>
        </w:rPr>
      </w:pPr>
    </w:p>
    <w:p w14:paraId="7FBB37C2" w14:textId="77777777" w:rsidR="0042524F" w:rsidRPr="0042524F" w:rsidRDefault="0042524F" w:rsidP="0042524F">
      <w:pPr>
        <w:numPr>
          <w:ilvl w:val="2"/>
          <w:numId w:val="31"/>
        </w:numPr>
        <w:ind w:left="2160"/>
        <w:rPr>
          <w:rFonts w:asciiTheme="minorHAnsi" w:hAnsiTheme="minorHAnsi" w:cstheme="minorHAnsi"/>
          <w:bCs/>
          <w:sz w:val="20"/>
        </w:rPr>
      </w:pPr>
      <w:r w:rsidRPr="0042524F">
        <w:rPr>
          <w:rFonts w:asciiTheme="minorHAnsi" w:hAnsiTheme="minorHAnsi" w:cstheme="minorHAnsi"/>
          <w:bCs/>
          <w:sz w:val="20"/>
        </w:rPr>
        <w:t xml:space="preserve">Existing law requires every employer in the State of California to provide workers’ compensation coverage for its employees, and the provision of benefits to employees is the sole financial obligation of the employer. The State of California, legally granted uninsured status by Section 3700 of the Labor Code, may carry their financial liability with no requirements. The JCC, identified as the State for purposes of workers’ compensation coverage, is considered lawfully uninsured. </w:t>
      </w:r>
    </w:p>
    <w:p w14:paraId="4C56FE18" w14:textId="77777777" w:rsidR="0042524F" w:rsidRPr="0042524F" w:rsidRDefault="0042524F" w:rsidP="0042524F">
      <w:pPr>
        <w:ind w:left="2160"/>
        <w:rPr>
          <w:rFonts w:asciiTheme="minorHAnsi" w:hAnsiTheme="minorHAnsi" w:cstheme="minorHAnsi"/>
          <w:bCs/>
          <w:sz w:val="20"/>
        </w:rPr>
      </w:pPr>
    </w:p>
    <w:p w14:paraId="405EB8DC" w14:textId="77777777" w:rsidR="0042524F" w:rsidRPr="0042524F" w:rsidRDefault="0042524F" w:rsidP="0042524F">
      <w:pPr>
        <w:numPr>
          <w:ilvl w:val="2"/>
          <w:numId w:val="31"/>
        </w:numPr>
        <w:ind w:left="2160"/>
        <w:rPr>
          <w:rFonts w:asciiTheme="minorHAnsi" w:hAnsiTheme="minorHAnsi" w:cstheme="minorHAnsi"/>
          <w:bCs/>
          <w:sz w:val="20"/>
        </w:rPr>
      </w:pPr>
      <w:r w:rsidRPr="0042524F">
        <w:rPr>
          <w:rFonts w:asciiTheme="minorHAnsi" w:hAnsiTheme="minorHAnsi" w:cstheme="minorHAnsi"/>
          <w:bCs/>
          <w:sz w:val="20"/>
        </w:rPr>
        <w:t xml:space="preserve">The Trial Court Employment Protection Act (SB2140), Government Code Section 71600 et al, established the trial courts as independent employers of trial court employees. SB2140, however, did not address the issue of defining the trial court as an employer, and with this definition </w:t>
      </w:r>
      <w:proofErr w:type="gramStart"/>
      <w:r w:rsidRPr="0042524F">
        <w:rPr>
          <w:rFonts w:asciiTheme="minorHAnsi" w:hAnsiTheme="minorHAnsi" w:cstheme="minorHAnsi"/>
          <w:bCs/>
          <w:sz w:val="20"/>
        </w:rPr>
        <w:t>the means by which</w:t>
      </w:r>
      <w:proofErr w:type="gramEnd"/>
      <w:r w:rsidRPr="0042524F">
        <w:rPr>
          <w:rFonts w:asciiTheme="minorHAnsi" w:hAnsiTheme="minorHAnsi" w:cstheme="minorHAnsi"/>
          <w:bCs/>
          <w:sz w:val="20"/>
        </w:rPr>
        <w:t xml:space="preserve"> a trial court could finance its workers’ compensation program. </w:t>
      </w:r>
      <w:r w:rsidRPr="0042524F">
        <w:rPr>
          <w:rFonts w:asciiTheme="minorHAnsi" w:hAnsiTheme="minorHAnsi" w:cstheme="minorHAnsi"/>
          <w:bCs/>
          <w:sz w:val="20"/>
        </w:rPr>
        <w:br/>
      </w:r>
    </w:p>
    <w:p w14:paraId="0CE6971B" w14:textId="77777777" w:rsidR="0042524F" w:rsidRPr="0042524F" w:rsidRDefault="0042524F" w:rsidP="0042524F">
      <w:pPr>
        <w:numPr>
          <w:ilvl w:val="2"/>
          <w:numId w:val="31"/>
        </w:numPr>
        <w:ind w:left="2160"/>
        <w:rPr>
          <w:rFonts w:asciiTheme="minorHAnsi" w:hAnsiTheme="minorHAnsi" w:cstheme="minorHAnsi"/>
          <w:bCs/>
          <w:sz w:val="20"/>
        </w:rPr>
      </w:pPr>
      <w:r w:rsidRPr="0042524F">
        <w:rPr>
          <w:rFonts w:asciiTheme="minorHAnsi" w:hAnsiTheme="minorHAnsi" w:cstheme="minorHAnsi"/>
          <w:bCs/>
          <w:sz w:val="20"/>
        </w:rPr>
        <w:t>The JBWCP was created on July 1, 2001. Since the inception of the program on July 1, 2001, employees of the Judiciary and Judicial Officers jointly participate in the JBWCP provided by the JCC and administered by a third party.</w:t>
      </w:r>
      <w:r w:rsidRPr="0042524F">
        <w:rPr>
          <w:rFonts w:asciiTheme="minorHAnsi" w:hAnsiTheme="minorHAnsi" w:cstheme="minorHAnsi"/>
          <w:bCs/>
          <w:sz w:val="20"/>
        </w:rPr>
        <w:br/>
      </w:r>
    </w:p>
    <w:p w14:paraId="053FAFB8" w14:textId="77777777" w:rsidR="0042524F" w:rsidRPr="0042524F" w:rsidRDefault="0042524F" w:rsidP="0042524F">
      <w:pPr>
        <w:numPr>
          <w:ilvl w:val="2"/>
          <w:numId w:val="31"/>
        </w:numPr>
        <w:ind w:left="2160"/>
        <w:rPr>
          <w:rFonts w:asciiTheme="minorHAnsi" w:hAnsiTheme="minorHAnsi" w:cstheme="minorHAnsi"/>
          <w:bCs/>
          <w:sz w:val="20"/>
        </w:rPr>
      </w:pPr>
      <w:r w:rsidRPr="0042524F">
        <w:rPr>
          <w:rFonts w:asciiTheme="minorHAnsi" w:hAnsiTheme="minorHAnsi" w:cstheme="minorHAnsi"/>
          <w:bCs/>
          <w:sz w:val="20"/>
        </w:rPr>
        <w:t xml:space="preserve">On January 1, 2001, each of the 58 trial courts became separate employers. Prior to this date, the trial courts were part of their respective counties. In response to the courts’ </w:t>
      </w:r>
      <w:r w:rsidRPr="0042524F">
        <w:rPr>
          <w:rFonts w:asciiTheme="minorHAnsi" w:hAnsiTheme="minorHAnsi" w:cstheme="minorHAnsi"/>
          <w:bCs/>
          <w:sz w:val="20"/>
        </w:rPr>
        <w:lastRenderedPageBreak/>
        <w:t xml:space="preserve">transition to becoming independent employers, the JBWCP was expanded to include the trial courts on January 1, 2003.  </w:t>
      </w:r>
      <w:r w:rsidRPr="0042524F">
        <w:rPr>
          <w:rFonts w:asciiTheme="minorHAnsi" w:hAnsiTheme="minorHAnsi" w:cstheme="minorHAnsi"/>
          <w:bCs/>
          <w:sz w:val="20"/>
        </w:rPr>
        <w:br/>
      </w:r>
    </w:p>
    <w:p w14:paraId="7744CF33" w14:textId="77777777" w:rsidR="0042524F" w:rsidRPr="0042524F" w:rsidRDefault="0042524F" w:rsidP="0042524F">
      <w:pPr>
        <w:numPr>
          <w:ilvl w:val="2"/>
          <w:numId w:val="31"/>
        </w:numPr>
        <w:ind w:left="2160"/>
        <w:rPr>
          <w:rFonts w:asciiTheme="minorHAnsi" w:hAnsiTheme="minorHAnsi" w:cstheme="minorHAnsi"/>
          <w:bCs/>
          <w:sz w:val="20"/>
        </w:rPr>
      </w:pPr>
      <w:r w:rsidRPr="0042524F">
        <w:rPr>
          <w:rFonts w:asciiTheme="minorHAnsi" w:hAnsiTheme="minorHAnsi" w:cstheme="minorHAnsi"/>
          <w:bCs/>
          <w:sz w:val="20"/>
        </w:rPr>
        <w:t xml:space="preserve">By July 1, 2003, a total of 47 trial courts participated in the JBWCP. By July 1, 2004, six more courts participated. By July 1, 2008, two additional courts joined the program. To date, 57 trial courts participate in the program (excluding Los Angeles). </w:t>
      </w:r>
    </w:p>
    <w:p w14:paraId="25CDE1EC" w14:textId="77777777" w:rsidR="0042524F" w:rsidRPr="0042524F" w:rsidRDefault="0042524F" w:rsidP="0042524F">
      <w:pPr>
        <w:ind w:left="2160"/>
        <w:rPr>
          <w:rFonts w:asciiTheme="minorHAnsi" w:hAnsiTheme="minorHAnsi" w:cstheme="minorHAnsi"/>
          <w:bCs/>
          <w:sz w:val="20"/>
        </w:rPr>
      </w:pPr>
    </w:p>
    <w:p w14:paraId="6660E117" w14:textId="77777777" w:rsidR="0042524F" w:rsidRPr="0042524F" w:rsidRDefault="0042524F" w:rsidP="0042524F">
      <w:pPr>
        <w:numPr>
          <w:ilvl w:val="2"/>
          <w:numId w:val="31"/>
        </w:numPr>
        <w:ind w:left="2160"/>
        <w:rPr>
          <w:rFonts w:asciiTheme="minorHAnsi" w:hAnsiTheme="minorHAnsi" w:cstheme="minorHAnsi"/>
          <w:bCs/>
          <w:sz w:val="20"/>
        </w:rPr>
      </w:pPr>
      <w:r w:rsidRPr="0042524F">
        <w:rPr>
          <w:rFonts w:asciiTheme="minorHAnsi" w:hAnsiTheme="minorHAnsi" w:cstheme="minorHAnsi"/>
          <w:bCs/>
          <w:sz w:val="20"/>
        </w:rPr>
        <w:t xml:space="preserve">The JBWCP is a highly decentralized program. The Judiciary, Judicial Officers, and each of the 57 participating trial courts are independent employers which require the need to allow for some decentralized administration of this program. </w:t>
      </w:r>
    </w:p>
    <w:p w14:paraId="2DA81EB3" w14:textId="77777777" w:rsidR="0042524F" w:rsidRPr="0042524F" w:rsidRDefault="0042524F" w:rsidP="0042524F">
      <w:pPr>
        <w:ind w:left="720"/>
        <w:rPr>
          <w:rFonts w:asciiTheme="minorHAnsi" w:hAnsiTheme="minorHAnsi" w:cstheme="minorHAnsi"/>
          <w:bCs/>
          <w:sz w:val="20"/>
        </w:rPr>
      </w:pPr>
    </w:p>
    <w:p w14:paraId="25AE8FB9" w14:textId="77777777" w:rsidR="0042524F" w:rsidRPr="0042524F" w:rsidRDefault="0042524F" w:rsidP="0042524F">
      <w:pPr>
        <w:numPr>
          <w:ilvl w:val="2"/>
          <w:numId w:val="31"/>
        </w:numPr>
        <w:ind w:left="2160"/>
        <w:rPr>
          <w:rFonts w:asciiTheme="minorHAnsi" w:hAnsiTheme="minorHAnsi" w:cstheme="minorHAnsi"/>
          <w:bCs/>
          <w:sz w:val="20"/>
        </w:rPr>
      </w:pPr>
      <w:r w:rsidRPr="0042524F">
        <w:rPr>
          <w:rFonts w:asciiTheme="minorHAnsi" w:hAnsiTheme="minorHAnsi" w:cstheme="minorHAnsi"/>
          <w:bCs/>
          <w:sz w:val="20"/>
        </w:rPr>
        <w:t>The JBWCP is loss sensitive and there is a charge back system in place. The system is driven by payroll and each trial court, judiciary, and judicial officers’ loss activity. This charge back system is called the Member Premium Allocation (Premium). The loss data is used to calculate the loss modifier. Each individual organization is limited to a rolling three years of loss data excluding the most recent 12 months. The total premium is based on the annual actuarial report.</w:t>
      </w:r>
    </w:p>
    <w:p w14:paraId="34CC65C1" w14:textId="77777777" w:rsidR="0042524F" w:rsidRPr="0042524F" w:rsidRDefault="0042524F" w:rsidP="0042524F">
      <w:pPr>
        <w:ind w:left="720"/>
        <w:rPr>
          <w:rFonts w:asciiTheme="minorHAnsi" w:hAnsiTheme="minorHAnsi" w:cstheme="minorHAnsi"/>
          <w:bCs/>
          <w:sz w:val="20"/>
        </w:rPr>
      </w:pPr>
    </w:p>
    <w:p w14:paraId="3A095812" w14:textId="3CA0EF4C" w:rsidR="0066703F" w:rsidRDefault="0042524F" w:rsidP="0055280C">
      <w:pPr>
        <w:numPr>
          <w:ilvl w:val="2"/>
          <w:numId w:val="31"/>
        </w:numPr>
        <w:ind w:left="2160"/>
        <w:rPr>
          <w:rFonts w:asciiTheme="minorHAnsi" w:hAnsiTheme="minorHAnsi" w:cstheme="minorHAnsi"/>
          <w:bCs/>
          <w:sz w:val="20"/>
        </w:rPr>
      </w:pPr>
      <w:r w:rsidRPr="0042524F">
        <w:rPr>
          <w:rFonts w:asciiTheme="minorHAnsi" w:hAnsiTheme="minorHAnsi" w:cstheme="minorHAnsi"/>
          <w:bCs/>
          <w:sz w:val="20"/>
        </w:rPr>
        <w:t xml:space="preserve">The </w:t>
      </w:r>
      <w:hyperlink r:id="rId13" w:history="1">
        <w:r w:rsidRPr="0042524F">
          <w:rPr>
            <w:rFonts w:asciiTheme="minorHAnsi" w:hAnsiTheme="minorHAnsi" w:cstheme="minorHAnsi"/>
            <w:bCs/>
            <w:sz w:val="20"/>
          </w:rPr>
          <w:t>JBWCP Advisory Committee</w:t>
        </w:r>
      </w:hyperlink>
      <w:r w:rsidRPr="0042524F">
        <w:rPr>
          <w:rFonts w:asciiTheme="minorHAnsi" w:hAnsiTheme="minorHAnsi" w:cstheme="minorHAnsi"/>
          <w:bCs/>
          <w:sz w:val="20"/>
        </w:rPr>
        <w:t xml:space="preserve"> (Committee) oversees the program and makes recommendations to the Judicial Council for improving the statewide administration of the JBWCP. More Information on the Committee can be found on the following California Court’s website:</w:t>
      </w:r>
      <w:r w:rsidR="0055280C">
        <w:rPr>
          <w:rFonts w:asciiTheme="minorHAnsi" w:hAnsiTheme="minorHAnsi" w:cstheme="minorHAnsi"/>
          <w:bCs/>
          <w:sz w:val="20"/>
        </w:rPr>
        <w:t xml:space="preserve"> </w:t>
      </w:r>
      <w:hyperlink r:id="rId14" w:history="1">
        <w:r w:rsidR="00A33AE7" w:rsidRPr="007E7054">
          <w:rPr>
            <w:rStyle w:val="Hyperlink"/>
            <w:rFonts w:asciiTheme="minorHAnsi" w:hAnsiTheme="minorHAnsi" w:cstheme="minorHAnsi"/>
            <w:bCs/>
            <w:sz w:val="20"/>
          </w:rPr>
          <w:t>https://www.courts.ca.gov/jbwcp.htm</w:t>
        </w:r>
      </w:hyperlink>
    </w:p>
    <w:p w14:paraId="459296ED" w14:textId="77777777" w:rsidR="00A33AE7" w:rsidRDefault="00A33AE7" w:rsidP="00A33AE7">
      <w:pPr>
        <w:pStyle w:val="ListParagraph"/>
        <w:rPr>
          <w:rFonts w:asciiTheme="minorHAnsi" w:hAnsiTheme="minorHAnsi" w:cstheme="minorHAnsi"/>
          <w:bCs/>
          <w:sz w:val="20"/>
        </w:rPr>
      </w:pPr>
    </w:p>
    <w:p w14:paraId="5CE5D9C6" w14:textId="0BBE5A9F" w:rsidR="0012785C" w:rsidRPr="00EC158B" w:rsidRDefault="0012785C" w:rsidP="0012785C">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Goods</w:t>
      </w:r>
      <w:r w:rsidR="00B91A12">
        <w:rPr>
          <w:rFonts w:asciiTheme="minorHAnsi" w:hAnsiTheme="minorHAnsi" w:cstheme="minorHAnsi"/>
          <w:sz w:val="20"/>
          <w:szCs w:val="20"/>
        </w:rPr>
        <w:t xml:space="preserve"> </w:t>
      </w:r>
      <w:r w:rsidR="00B91A12" w:rsidRPr="00B91A12">
        <w:rPr>
          <w:rFonts w:asciiTheme="minorHAnsi" w:hAnsiTheme="minorHAnsi" w:cstheme="minorHAnsi"/>
          <w:i/>
          <w:sz w:val="20"/>
          <w:szCs w:val="20"/>
        </w:rPr>
        <w:t>[</w:t>
      </w:r>
      <w:r w:rsidR="003861F7">
        <w:rPr>
          <w:rFonts w:asciiTheme="minorHAnsi" w:hAnsiTheme="minorHAnsi" w:cstheme="minorHAnsi"/>
          <w:i/>
          <w:sz w:val="20"/>
          <w:szCs w:val="20"/>
        </w:rPr>
        <w:t>LEFT BLANK</w:t>
      </w:r>
      <w:r w:rsidR="00B91A12" w:rsidRPr="00B91A12">
        <w:rPr>
          <w:rFonts w:asciiTheme="minorHAnsi" w:hAnsiTheme="minorHAnsi" w:cstheme="minorHAnsi"/>
          <w:i/>
          <w:sz w:val="20"/>
          <w:szCs w:val="20"/>
        </w:rPr>
        <w:t>]</w:t>
      </w:r>
    </w:p>
    <w:p w14:paraId="78E05B37" w14:textId="77777777" w:rsidR="008E228D" w:rsidRPr="008E228D"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14:paraId="52184876" w14:textId="77777777" w:rsidR="008E228D" w:rsidRPr="008E228D"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54488178" w14:textId="77777777" w:rsidR="00B10937" w:rsidRPr="00B10937" w:rsidRDefault="004544D7" w:rsidP="00B10937">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70092480" w14:textId="27341CA3" w:rsidR="00C4177B" w:rsidRPr="00B10937" w:rsidRDefault="00B10937" w:rsidP="00B10937">
      <w:pPr>
        <w:spacing w:before="120" w:after="120"/>
        <w:ind w:left="936"/>
        <w:rPr>
          <w:rFonts w:asciiTheme="minorHAnsi" w:hAnsiTheme="minorHAnsi" w:cstheme="minorHAnsi"/>
          <w:bCs/>
          <w:sz w:val="20"/>
          <w:u w:val="single"/>
          <w:lang w:bidi="en-US"/>
        </w:rPr>
      </w:pPr>
      <w:r w:rsidRPr="00B10937">
        <w:rPr>
          <w:rFonts w:asciiTheme="minorHAnsi" w:hAnsiTheme="minorHAnsi" w:cstheme="minorHAnsi"/>
          <w:bCs/>
          <w:sz w:val="20"/>
        </w:rPr>
        <w:t>The Contractor will provide actuarial consulting services, which include: developing annual actuarial valuation of workers’ compensation data, assisting program staff in developing actuary reports and presentations for committee-led program initiatives, providing one-on-one consultations with JBWCP members upon request, and calculating the annual premium allocation model for the JBWCP. This includes the need for expertise in a lawfully uninsured workers’ compensation environment, knowledge and ability to forecast the expected ultimate value of outstanding workers’ compensation liability, as well as addressing the ongoing maintenance and improvement of the JBWCP.</w:t>
      </w:r>
    </w:p>
    <w:p w14:paraId="13BE9B1C" w14:textId="3868FE48" w:rsidR="00C4177B" w:rsidRPr="00B10937" w:rsidRDefault="00C4177B" w:rsidP="00B10937">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00AD682C">
        <w:rPr>
          <w:rFonts w:asciiTheme="minorHAnsi" w:hAnsiTheme="minorHAnsi" w:cstheme="minorHAnsi"/>
          <w:bCs/>
          <w:sz w:val="20"/>
          <w:u w:val="single"/>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323CD0">
        <w:rPr>
          <w:rFonts w:asciiTheme="minorHAnsi" w:hAnsiTheme="minorHAnsi" w:cstheme="minorHAnsi"/>
          <w:sz w:val="20"/>
        </w:rPr>
        <w:t>JBE</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p w14:paraId="6FB595AA" w14:textId="7FC88146" w:rsidR="00B10937" w:rsidRPr="002C6335" w:rsidRDefault="00B10937" w:rsidP="002C6335">
      <w:pPr>
        <w:pStyle w:val="ListParagraph"/>
        <w:numPr>
          <w:ilvl w:val="2"/>
          <w:numId w:val="18"/>
        </w:numPr>
        <w:spacing w:before="120" w:after="120"/>
        <w:rPr>
          <w:rFonts w:asciiTheme="minorHAnsi" w:hAnsiTheme="minorHAnsi" w:cstheme="minorHAnsi"/>
          <w:bCs/>
          <w:sz w:val="20"/>
          <w:lang w:bidi="en-US"/>
        </w:rPr>
      </w:pPr>
      <w:r w:rsidRPr="002C6335">
        <w:rPr>
          <w:rFonts w:asciiTheme="minorHAnsi" w:hAnsiTheme="minorHAnsi" w:cstheme="minorHAnsi"/>
          <w:bCs/>
          <w:sz w:val="20"/>
          <w:lang w:bidi="en-US"/>
        </w:rPr>
        <w:t>Annual Actuarial Valuation Reports</w:t>
      </w:r>
    </w:p>
    <w:p w14:paraId="243B96B1" w14:textId="591CA442" w:rsidR="00B10937" w:rsidRPr="002C6335" w:rsidRDefault="00B10937" w:rsidP="002C6335">
      <w:pPr>
        <w:pStyle w:val="ListParagraph"/>
        <w:numPr>
          <w:ilvl w:val="0"/>
          <w:numId w:val="34"/>
        </w:numPr>
        <w:spacing w:before="120" w:after="120"/>
        <w:rPr>
          <w:rFonts w:asciiTheme="minorHAnsi" w:hAnsiTheme="minorHAnsi" w:cstheme="minorHAnsi"/>
          <w:bCs/>
          <w:sz w:val="20"/>
          <w:lang w:bidi="en-US"/>
        </w:rPr>
      </w:pPr>
      <w:r w:rsidRPr="002C6335">
        <w:rPr>
          <w:rFonts w:asciiTheme="minorHAnsi" w:hAnsiTheme="minorHAnsi" w:cstheme="minorHAnsi"/>
          <w:bCs/>
          <w:sz w:val="20"/>
          <w:lang w:bidi="en-US"/>
        </w:rPr>
        <w:t>Prepare the Actuarial Valuation Report draft and final versions based on actuarial methodology and make recommendations relative to overall program cost liability and Member Premium Allocation.</w:t>
      </w:r>
    </w:p>
    <w:p w14:paraId="7DB86AA0" w14:textId="6F36536A" w:rsidR="00B10937" w:rsidRPr="002C6335" w:rsidRDefault="00B10937" w:rsidP="002C6335">
      <w:pPr>
        <w:pStyle w:val="ListParagraph"/>
        <w:numPr>
          <w:ilvl w:val="0"/>
          <w:numId w:val="34"/>
        </w:numPr>
        <w:spacing w:before="120" w:after="120"/>
        <w:rPr>
          <w:rFonts w:asciiTheme="minorHAnsi" w:hAnsiTheme="minorHAnsi" w:cstheme="minorHAnsi"/>
          <w:bCs/>
          <w:sz w:val="20"/>
          <w:lang w:bidi="en-US"/>
        </w:rPr>
      </w:pPr>
      <w:r w:rsidRPr="002C6335">
        <w:rPr>
          <w:rFonts w:asciiTheme="minorHAnsi" w:hAnsiTheme="minorHAnsi" w:cstheme="minorHAnsi"/>
          <w:bCs/>
          <w:sz w:val="20"/>
          <w:lang w:bidi="en-US"/>
        </w:rPr>
        <w:t>The Annual Actuarial Valuation Reports should include the following components:</w:t>
      </w:r>
    </w:p>
    <w:p w14:paraId="26DF77E9" w14:textId="3AAD5A84" w:rsidR="00B10937" w:rsidRPr="002C6335" w:rsidRDefault="002C6335" w:rsidP="00B1093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ab/>
      </w:r>
      <w:proofErr w:type="spellStart"/>
      <w:r w:rsidR="00B10937" w:rsidRPr="002C6335">
        <w:rPr>
          <w:rFonts w:asciiTheme="minorHAnsi" w:hAnsiTheme="minorHAnsi" w:cstheme="minorHAnsi"/>
          <w:bCs/>
          <w:sz w:val="20"/>
          <w:lang w:bidi="en-US"/>
        </w:rPr>
        <w:t>i</w:t>
      </w:r>
      <w:proofErr w:type="spellEnd"/>
      <w:r w:rsidR="00B10937" w:rsidRPr="002C6335">
        <w:rPr>
          <w:rFonts w:asciiTheme="minorHAnsi" w:hAnsiTheme="minorHAnsi" w:cstheme="minorHAnsi"/>
          <w:bCs/>
          <w:sz w:val="20"/>
          <w:lang w:bidi="en-US"/>
        </w:rPr>
        <w:t>.</w:t>
      </w:r>
      <w:r w:rsidR="00B10937" w:rsidRPr="002C6335">
        <w:rPr>
          <w:rFonts w:asciiTheme="minorHAnsi" w:hAnsiTheme="minorHAnsi" w:cstheme="minorHAnsi"/>
          <w:bCs/>
          <w:sz w:val="20"/>
          <w:lang w:bidi="en-US"/>
        </w:rPr>
        <w:tab/>
        <w:t>Estimate of returned loss</w:t>
      </w:r>
    </w:p>
    <w:p w14:paraId="6607DBD1" w14:textId="7C80AAA0" w:rsidR="00B10937" w:rsidRPr="002C6335" w:rsidRDefault="002C6335" w:rsidP="00B1093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ab/>
      </w:r>
      <w:r w:rsidR="00B10937" w:rsidRPr="002C6335">
        <w:rPr>
          <w:rFonts w:asciiTheme="minorHAnsi" w:hAnsiTheme="minorHAnsi" w:cstheme="minorHAnsi"/>
          <w:bCs/>
          <w:sz w:val="20"/>
          <w:lang w:bidi="en-US"/>
        </w:rPr>
        <w:t>ii.</w:t>
      </w:r>
      <w:r w:rsidR="00B10937" w:rsidRPr="002C6335">
        <w:rPr>
          <w:rFonts w:asciiTheme="minorHAnsi" w:hAnsiTheme="minorHAnsi" w:cstheme="minorHAnsi"/>
          <w:bCs/>
          <w:sz w:val="20"/>
          <w:lang w:bidi="en-US"/>
        </w:rPr>
        <w:tab/>
        <w:t xml:space="preserve">Estimate of </w:t>
      </w:r>
      <w:r w:rsidR="00632B03">
        <w:rPr>
          <w:rFonts w:asciiTheme="minorHAnsi" w:hAnsiTheme="minorHAnsi" w:cstheme="minorHAnsi"/>
          <w:bCs/>
          <w:sz w:val="20"/>
          <w:lang w:bidi="en-US"/>
        </w:rPr>
        <w:t>A</w:t>
      </w:r>
      <w:r w:rsidR="00B10937" w:rsidRPr="002C6335">
        <w:rPr>
          <w:rFonts w:asciiTheme="minorHAnsi" w:hAnsiTheme="minorHAnsi" w:cstheme="minorHAnsi"/>
          <w:bCs/>
          <w:sz w:val="20"/>
          <w:lang w:bidi="en-US"/>
        </w:rPr>
        <w:t xml:space="preserve">llocated </w:t>
      </w:r>
      <w:r w:rsidR="00632B03">
        <w:rPr>
          <w:rFonts w:asciiTheme="minorHAnsi" w:hAnsiTheme="minorHAnsi" w:cstheme="minorHAnsi"/>
          <w:bCs/>
          <w:sz w:val="20"/>
          <w:lang w:bidi="en-US"/>
        </w:rPr>
        <w:t>L</w:t>
      </w:r>
      <w:r w:rsidR="00B10937" w:rsidRPr="002C6335">
        <w:rPr>
          <w:rFonts w:asciiTheme="minorHAnsi" w:hAnsiTheme="minorHAnsi" w:cstheme="minorHAnsi"/>
          <w:bCs/>
          <w:sz w:val="20"/>
          <w:lang w:bidi="en-US"/>
        </w:rPr>
        <w:t xml:space="preserve">oss </w:t>
      </w:r>
      <w:r w:rsidR="00632B03">
        <w:rPr>
          <w:rFonts w:asciiTheme="minorHAnsi" w:hAnsiTheme="minorHAnsi" w:cstheme="minorHAnsi"/>
          <w:bCs/>
          <w:sz w:val="20"/>
          <w:lang w:bidi="en-US"/>
        </w:rPr>
        <w:t>A</w:t>
      </w:r>
      <w:r w:rsidR="00B10937" w:rsidRPr="002C6335">
        <w:rPr>
          <w:rFonts w:asciiTheme="minorHAnsi" w:hAnsiTheme="minorHAnsi" w:cstheme="minorHAnsi"/>
          <w:bCs/>
          <w:sz w:val="20"/>
          <w:lang w:bidi="en-US"/>
        </w:rPr>
        <w:t xml:space="preserve">djustment </w:t>
      </w:r>
      <w:r w:rsidR="00632B03">
        <w:rPr>
          <w:rFonts w:asciiTheme="minorHAnsi" w:hAnsiTheme="minorHAnsi" w:cstheme="minorHAnsi"/>
          <w:bCs/>
          <w:sz w:val="20"/>
          <w:lang w:bidi="en-US"/>
        </w:rPr>
        <w:t>E</w:t>
      </w:r>
      <w:r w:rsidR="00B10937" w:rsidRPr="002C6335">
        <w:rPr>
          <w:rFonts w:asciiTheme="minorHAnsi" w:hAnsiTheme="minorHAnsi" w:cstheme="minorHAnsi"/>
          <w:bCs/>
          <w:sz w:val="20"/>
          <w:lang w:bidi="en-US"/>
        </w:rPr>
        <w:t>xpenses (‘ALAE”).</w:t>
      </w:r>
    </w:p>
    <w:p w14:paraId="5688C747" w14:textId="7F48DDA2" w:rsidR="00B10937" w:rsidRPr="002C6335" w:rsidRDefault="002C6335" w:rsidP="00B1093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ab/>
      </w:r>
      <w:r w:rsidR="00B10937" w:rsidRPr="002C6335">
        <w:rPr>
          <w:rFonts w:asciiTheme="minorHAnsi" w:hAnsiTheme="minorHAnsi" w:cstheme="minorHAnsi"/>
          <w:bCs/>
          <w:sz w:val="20"/>
          <w:lang w:bidi="en-US"/>
        </w:rPr>
        <w:t>iii.</w:t>
      </w:r>
      <w:r w:rsidR="00B10937" w:rsidRPr="002C6335">
        <w:rPr>
          <w:rFonts w:asciiTheme="minorHAnsi" w:hAnsiTheme="minorHAnsi" w:cstheme="minorHAnsi"/>
          <w:bCs/>
          <w:sz w:val="20"/>
          <w:lang w:bidi="en-US"/>
        </w:rPr>
        <w:tab/>
        <w:t>Combined estimate of retained losses and ALAE for all Members.</w:t>
      </w:r>
    </w:p>
    <w:p w14:paraId="553CF881" w14:textId="1E235F2E" w:rsidR="00B10937" w:rsidRPr="002C6335" w:rsidRDefault="002C6335" w:rsidP="00B1093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ab/>
      </w:r>
      <w:r w:rsidR="00B10937" w:rsidRPr="002C6335">
        <w:rPr>
          <w:rFonts w:asciiTheme="minorHAnsi" w:hAnsiTheme="minorHAnsi" w:cstheme="minorHAnsi"/>
          <w:bCs/>
          <w:sz w:val="20"/>
          <w:lang w:bidi="en-US"/>
        </w:rPr>
        <w:t>iv.</w:t>
      </w:r>
      <w:r w:rsidR="00B10937" w:rsidRPr="002C6335">
        <w:rPr>
          <w:rFonts w:asciiTheme="minorHAnsi" w:hAnsiTheme="minorHAnsi" w:cstheme="minorHAnsi"/>
          <w:bCs/>
          <w:sz w:val="20"/>
          <w:lang w:bidi="en-US"/>
        </w:rPr>
        <w:tab/>
        <w:t>Break out of the TC Members with estimates of retained losses and ALAE.</w:t>
      </w:r>
    </w:p>
    <w:p w14:paraId="36862356" w14:textId="42484CDB" w:rsidR="00B10937" w:rsidRPr="002C6335" w:rsidRDefault="00B10937" w:rsidP="002C6335">
      <w:pPr>
        <w:pStyle w:val="ListParagraph"/>
        <w:numPr>
          <w:ilvl w:val="0"/>
          <w:numId w:val="34"/>
        </w:numPr>
        <w:spacing w:before="120" w:after="120"/>
        <w:rPr>
          <w:rFonts w:asciiTheme="minorHAnsi" w:hAnsiTheme="minorHAnsi" w:cstheme="minorHAnsi"/>
          <w:bCs/>
          <w:sz w:val="20"/>
          <w:lang w:bidi="en-US"/>
        </w:rPr>
      </w:pPr>
      <w:r w:rsidRPr="002C6335">
        <w:rPr>
          <w:rFonts w:asciiTheme="minorHAnsi" w:hAnsiTheme="minorHAnsi" w:cstheme="minorHAnsi"/>
          <w:bCs/>
          <w:sz w:val="20"/>
          <w:lang w:bidi="en-US"/>
        </w:rPr>
        <w:t>Ensure that the certified actuarial valuation report draft and final versions are completed on a timely basis. The draft is due no later than mid-January, and the final, bound, and electronic version is due no later than early February for each year of service. These dates are subject to change based on direction from the program.</w:t>
      </w:r>
    </w:p>
    <w:p w14:paraId="3949DF2E" w14:textId="4CA1B457" w:rsidR="00B10937" w:rsidRPr="002C6335" w:rsidRDefault="00B10937" w:rsidP="002C6335">
      <w:pPr>
        <w:pStyle w:val="ListParagraph"/>
        <w:numPr>
          <w:ilvl w:val="0"/>
          <w:numId w:val="34"/>
        </w:numPr>
        <w:spacing w:before="120" w:after="120"/>
        <w:rPr>
          <w:rFonts w:asciiTheme="minorHAnsi" w:hAnsiTheme="minorHAnsi" w:cstheme="minorHAnsi"/>
          <w:bCs/>
          <w:sz w:val="20"/>
          <w:lang w:bidi="en-US"/>
        </w:rPr>
      </w:pPr>
      <w:r w:rsidRPr="002C6335">
        <w:rPr>
          <w:rFonts w:asciiTheme="minorHAnsi" w:hAnsiTheme="minorHAnsi" w:cstheme="minorHAnsi"/>
          <w:bCs/>
          <w:sz w:val="20"/>
          <w:lang w:bidi="en-US"/>
        </w:rPr>
        <w:lastRenderedPageBreak/>
        <w:t>Present the annual actuarial report and recommendations of the premium allocation to the Committee</w:t>
      </w:r>
      <w:r w:rsidR="005D3D74">
        <w:rPr>
          <w:rFonts w:asciiTheme="minorHAnsi" w:hAnsiTheme="minorHAnsi" w:cstheme="minorHAnsi"/>
          <w:bCs/>
          <w:sz w:val="20"/>
          <w:lang w:bidi="en-US"/>
        </w:rPr>
        <w:t xml:space="preserve"> in person</w:t>
      </w:r>
      <w:r w:rsidRPr="002C6335">
        <w:rPr>
          <w:rFonts w:asciiTheme="minorHAnsi" w:hAnsiTheme="minorHAnsi" w:cstheme="minorHAnsi"/>
          <w:bCs/>
          <w:sz w:val="20"/>
          <w:lang w:bidi="en-US"/>
        </w:rPr>
        <w:t xml:space="preserve">. The Contractor, in coordination with the JBWCP, will also present metrics demonstrating the performance of the program and make recommendations for program improvement, reserve maintenance, and risk assessment in a clear and easily understandable manner. </w:t>
      </w:r>
    </w:p>
    <w:p w14:paraId="36DF0141" w14:textId="31F2665D" w:rsidR="00B10937" w:rsidRPr="00042C33" w:rsidRDefault="00B10937" w:rsidP="00042C33">
      <w:pPr>
        <w:pStyle w:val="ListParagraph"/>
        <w:numPr>
          <w:ilvl w:val="2"/>
          <w:numId w:val="18"/>
        </w:numPr>
        <w:spacing w:before="120" w:after="120"/>
        <w:rPr>
          <w:rFonts w:asciiTheme="minorHAnsi" w:hAnsiTheme="minorHAnsi" w:cstheme="minorHAnsi"/>
          <w:bCs/>
          <w:sz w:val="20"/>
          <w:lang w:bidi="en-US"/>
        </w:rPr>
      </w:pPr>
      <w:r w:rsidRPr="002C6335">
        <w:rPr>
          <w:rFonts w:asciiTheme="minorHAnsi" w:hAnsiTheme="minorHAnsi" w:cstheme="minorHAnsi"/>
          <w:bCs/>
          <w:sz w:val="20"/>
          <w:lang w:bidi="en-US"/>
        </w:rPr>
        <w:t>Follow up to Annual Actuarial Valuation Reports</w:t>
      </w:r>
    </w:p>
    <w:p w14:paraId="42F3EA6F" w14:textId="571E0DA9" w:rsidR="00B10937" w:rsidRPr="002C6335" w:rsidRDefault="00042C33" w:rsidP="00B1093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ab/>
      </w:r>
      <w:r w:rsidR="00B10937" w:rsidRPr="002C6335">
        <w:rPr>
          <w:rFonts w:asciiTheme="minorHAnsi" w:hAnsiTheme="minorHAnsi" w:cstheme="minorHAnsi"/>
          <w:bCs/>
          <w:sz w:val="20"/>
          <w:lang w:bidi="en-US"/>
        </w:rPr>
        <w:t xml:space="preserve">Upon JBWCP members’ requests, provide one-on-one consultations with members regarding their </w:t>
      </w:r>
      <w:r>
        <w:rPr>
          <w:rFonts w:asciiTheme="minorHAnsi" w:hAnsiTheme="minorHAnsi" w:cstheme="minorHAnsi"/>
          <w:bCs/>
          <w:sz w:val="20"/>
          <w:lang w:bidi="en-US"/>
        </w:rPr>
        <w:tab/>
      </w:r>
      <w:r w:rsidR="00B10937" w:rsidRPr="002C6335">
        <w:rPr>
          <w:rFonts w:asciiTheme="minorHAnsi" w:hAnsiTheme="minorHAnsi" w:cstheme="minorHAnsi"/>
          <w:bCs/>
          <w:sz w:val="20"/>
          <w:lang w:bidi="en-US"/>
        </w:rPr>
        <w:t>premium allocations as directed by program staff. These consultations can occur remotely.</w:t>
      </w:r>
    </w:p>
    <w:p w14:paraId="131684AC" w14:textId="5127FAA6" w:rsidR="00B10937" w:rsidRPr="00042C33" w:rsidRDefault="00B10937" w:rsidP="00042C33">
      <w:pPr>
        <w:pStyle w:val="ListParagraph"/>
        <w:numPr>
          <w:ilvl w:val="2"/>
          <w:numId w:val="18"/>
        </w:numPr>
        <w:spacing w:before="120" w:after="120"/>
        <w:rPr>
          <w:rFonts w:asciiTheme="minorHAnsi" w:hAnsiTheme="minorHAnsi" w:cstheme="minorHAnsi"/>
          <w:bCs/>
          <w:sz w:val="20"/>
          <w:lang w:bidi="en-US"/>
        </w:rPr>
      </w:pPr>
      <w:r w:rsidRPr="002C6335">
        <w:rPr>
          <w:rFonts w:asciiTheme="minorHAnsi" w:hAnsiTheme="minorHAnsi" w:cstheme="minorHAnsi"/>
          <w:bCs/>
          <w:sz w:val="20"/>
          <w:lang w:bidi="en-US"/>
        </w:rPr>
        <w:t>Committee-Related Initiatives and Special Projects</w:t>
      </w:r>
    </w:p>
    <w:p w14:paraId="2EEFE31A" w14:textId="153919BE" w:rsidR="00B10937" w:rsidRDefault="00042C33" w:rsidP="00B1093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ab/>
      </w:r>
      <w:r w:rsidR="00B10937" w:rsidRPr="002C6335">
        <w:rPr>
          <w:rFonts w:asciiTheme="minorHAnsi" w:hAnsiTheme="minorHAnsi" w:cstheme="minorHAnsi"/>
          <w:bCs/>
          <w:sz w:val="20"/>
          <w:lang w:bidi="en-US"/>
        </w:rPr>
        <w:t>Provide actuarial projections, data analysis and development of metrics in support of Committee-</w:t>
      </w:r>
      <w:r>
        <w:rPr>
          <w:rFonts w:asciiTheme="minorHAnsi" w:hAnsiTheme="minorHAnsi" w:cstheme="minorHAnsi"/>
          <w:bCs/>
          <w:sz w:val="20"/>
          <w:lang w:bidi="en-US"/>
        </w:rPr>
        <w:tab/>
      </w:r>
      <w:r w:rsidR="00B10937" w:rsidRPr="002C6335">
        <w:rPr>
          <w:rFonts w:asciiTheme="minorHAnsi" w:hAnsiTheme="minorHAnsi" w:cstheme="minorHAnsi"/>
          <w:bCs/>
          <w:sz w:val="20"/>
          <w:lang w:bidi="en-US"/>
        </w:rPr>
        <w:t xml:space="preserve">led initiatives and proposals, which can include working with program staff for project plan </w:t>
      </w:r>
      <w:r>
        <w:rPr>
          <w:rFonts w:asciiTheme="minorHAnsi" w:hAnsiTheme="minorHAnsi" w:cstheme="minorHAnsi"/>
          <w:bCs/>
          <w:sz w:val="20"/>
          <w:lang w:bidi="en-US"/>
        </w:rPr>
        <w:tab/>
      </w:r>
      <w:r w:rsidR="00B10937" w:rsidRPr="002C6335">
        <w:rPr>
          <w:rFonts w:asciiTheme="minorHAnsi" w:hAnsiTheme="minorHAnsi" w:cstheme="minorHAnsi"/>
          <w:bCs/>
          <w:sz w:val="20"/>
          <w:lang w:bidi="en-US"/>
        </w:rPr>
        <w:t>development, project results, findings and maintenance.</w:t>
      </w:r>
    </w:p>
    <w:p w14:paraId="0A27039B" w14:textId="77777777" w:rsidR="00C00AE0" w:rsidRDefault="00C00AE0" w:rsidP="00A87552">
      <w:pPr>
        <w:pStyle w:val="ListParagraph"/>
        <w:numPr>
          <w:ilvl w:val="2"/>
          <w:numId w:val="18"/>
        </w:numPr>
        <w:spacing w:before="120" w:after="120"/>
        <w:rPr>
          <w:rFonts w:asciiTheme="minorHAnsi" w:hAnsiTheme="minorHAnsi" w:cstheme="minorHAnsi"/>
          <w:bCs/>
          <w:sz w:val="20"/>
          <w:lang w:bidi="en-US"/>
        </w:rPr>
      </w:pPr>
      <w:r>
        <w:rPr>
          <w:rFonts w:asciiTheme="minorHAnsi" w:hAnsiTheme="minorHAnsi" w:cstheme="minorHAnsi"/>
          <w:bCs/>
          <w:sz w:val="20"/>
          <w:lang w:bidi="en-US"/>
        </w:rPr>
        <w:t>Transition Planning</w:t>
      </w:r>
    </w:p>
    <w:p w14:paraId="4A9D3DE7" w14:textId="4692D5F5" w:rsidR="00A87552" w:rsidRPr="002C6335" w:rsidRDefault="00A87552" w:rsidP="00C00AE0">
      <w:pPr>
        <w:pStyle w:val="ListParagraph"/>
        <w:spacing w:before="120" w:after="120"/>
        <w:ind w:left="1368"/>
        <w:rPr>
          <w:rFonts w:asciiTheme="minorHAnsi" w:hAnsiTheme="minorHAnsi" w:cstheme="minorHAnsi"/>
          <w:bCs/>
          <w:sz w:val="20"/>
          <w:lang w:bidi="en-US"/>
        </w:rPr>
      </w:pPr>
      <w:bookmarkStart w:id="1" w:name="_GoBack"/>
      <w:bookmarkEnd w:id="1"/>
      <w:r>
        <w:rPr>
          <w:rFonts w:asciiTheme="minorHAnsi" w:hAnsiTheme="minorHAnsi" w:cstheme="minorHAnsi"/>
          <w:bCs/>
          <w:sz w:val="20"/>
          <w:lang w:bidi="en-US"/>
        </w:rPr>
        <w:t xml:space="preserve">Ensure that </w:t>
      </w:r>
      <w:r w:rsidRPr="00A87552">
        <w:rPr>
          <w:rFonts w:asciiTheme="minorHAnsi" w:hAnsiTheme="minorHAnsi" w:cstheme="minorHAnsi"/>
          <w:bCs/>
          <w:sz w:val="20"/>
          <w:lang w:bidi="en-US"/>
        </w:rPr>
        <w:t>services provided to the JBWCP are fully transitioned in a smooth and efficient manner to a new service provider. The selected vendor will exercise its best efforts and cooperation to secure an orderly and efficient transition to a successor.</w:t>
      </w:r>
    </w:p>
    <w:p w14:paraId="125143A3" w14:textId="77777777"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529C7C1C" w14:textId="0DB0CC1B" w:rsidR="000033AA" w:rsidRPr="003861F7" w:rsidRDefault="003861F7" w:rsidP="00846E22">
      <w:pPr>
        <w:pStyle w:val="ListParagraph"/>
        <w:numPr>
          <w:ilvl w:val="0"/>
          <w:numId w:val="21"/>
        </w:numPr>
        <w:spacing w:before="120" w:after="120"/>
        <w:ind w:left="1260"/>
        <w:rPr>
          <w:rFonts w:asciiTheme="minorHAnsi" w:hAnsiTheme="minorHAnsi" w:cstheme="minorHAnsi"/>
          <w:bCs/>
          <w:sz w:val="20"/>
          <w:lang w:bidi="en-US"/>
        </w:rPr>
      </w:pPr>
      <w:r w:rsidRPr="003861F7">
        <w:rPr>
          <w:rFonts w:asciiTheme="minorHAnsi" w:hAnsiTheme="minorHAnsi" w:cstheme="minorHAnsi"/>
          <w:b/>
          <w:bCs/>
          <w:sz w:val="20"/>
          <w:u w:val="single"/>
          <w:lang w:bidi="en-US"/>
        </w:rPr>
        <w:t>Annual Actuarial Valuation Report</w:t>
      </w:r>
      <w:r w:rsidRPr="003861F7">
        <w:rPr>
          <w:rFonts w:asciiTheme="minorHAnsi" w:hAnsiTheme="minorHAnsi" w:cstheme="minorHAnsi"/>
          <w:bCs/>
          <w:sz w:val="20"/>
          <w:lang w:bidi="en-US"/>
        </w:rPr>
        <w:t>:</w:t>
      </w:r>
      <w:r>
        <w:rPr>
          <w:rFonts w:asciiTheme="minorHAnsi" w:hAnsiTheme="minorHAnsi" w:cstheme="minorHAnsi"/>
          <w:bCs/>
          <w:sz w:val="20"/>
          <w:lang w:bidi="en-US"/>
        </w:rPr>
        <w:t xml:space="preserve"> </w:t>
      </w:r>
      <w:r w:rsidRPr="003861F7">
        <w:rPr>
          <w:rFonts w:asciiTheme="minorHAnsi" w:hAnsiTheme="minorHAnsi" w:cstheme="minorHAnsi"/>
          <w:bCs/>
          <w:sz w:val="20"/>
          <w:lang w:bidi="en-US"/>
        </w:rPr>
        <w:t>shall be invoiced after the Annual Actuarial Valuation Report has been reviewed and accepted by JBWCP Staff.</w:t>
      </w:r>
    </w:p>
    <w:p w14:paraId="58522B57" w14:textId="2C7E284A" w:rsidR="00570F30" w:rsidRDefault="003861F7" w:rsidP="00846E22">
      <w:pPr>
        <w:pStyle w:val="ListParagraph"/>
        <w:numPr>
          <w:ilvl w:val="0"/>
          <w:numId w:val="21"/>
        </w:numPr>
        <w:spacing w:before="120" w:after="120"/>
        <w:ind w:left="1260"/>
        <w:rPr>
          <w:rFonts w:asciiTheme="minorHAnsi" w:hAnsiTheme="minorHAnsi" w:cstheme="minorHAnsi"/>
          <w:bCs/>
          <w:sz w:val="20"/>
          <w:lang w:bidi="en-US"/>
        </w:rPr>
      </w:pPr>
      <w:r w:rsidRPr="003861F7">
        <w:rPr>
          <w:rFonts w:asciiTheme="minorHAnsi" w:hAnsiTheme="minorHAnsi" w:cstheme="minorHAnsi"/>
          <w:b/>
          <w:bCs/>
          <w:sz w:val="20"/>
          <w:u w:val="single"/>
          <w:lang w:bidi="en-US"/>
        </w:rPr>
        <w:t>Follow up to the Annual Actuarial Valuation Report</w:t>
      </w:r>
      <w:r w:rsidRPr="003861F7">
        <w:rPr>
          <w:rFonts w:asciiTheme="minorHAnsi" w:hAnsiTheme="minorHAnsi" w:cstheme="minorHAnsi"/>
          <w:bCs/>
          <w:sz w:val="20"/>
          <w:lang w:bidi="en-US"/>
        </w:rPr>
        <w:t>: Shall be invoiced after the Follow up to the Annual Actuarial Valuation Report has been reviewed and accepted by JBWCP Staff.</w:t>
      </w:r>
    </w:p>
    <w:p w14:paraId="7EDC6131" w14:textId="15635581" w:rsidR="003861F7" w:rsidRPr="003861F7" w:rsidRDefault="003861F7" w:rsidP="00846E22">
      <w:pPr>
        <w:pStyle w:val="ListParagraph"/>
        <w:numPr>
          <w:ilvl w:val="0"/>
          <w:numId w:val="21"/>
        </w:numPr>
        <w:spacing w:before="120" w:after="120"/>
        <w:ind w:left="1260"/>
        <w:rPr>
          <w:rFonts w:asciiTheme="minorHAnsi" w:hAnsiTheme="minorHAnsi" w:cstheme="minorHAnsi"/>
          <w:bCs/>
          <w:sz w:val="20"/>
          <w:lang w:bidi="en-US"/>
        </w:rPr>
      </w:pPr>
      <w:r w:rsidRPr="003861F7">
        <w:rPr>
          <w:rFonts w:asciiTheme="minorHAnsi" w:hAnsiTheme="minorHAnsi" w:cstheme="minorHAnsi"/>
          <w:b/>
          <w:bCs/>
          <w:sz w:val="20"/>
          <w:u w:val="single"/>
          <w:lang w:bidi="en-US"/>
        </w:rPr>
        <w:t>Committee-related initiatives and special projects</w:t>
      </w:r>
      <w:r>
        <w:rPr>
          <w:rFonts w:asciiTheme="minorHAnsi" w:hAnsiTheme="minorHAnsi" w:cstheme="minorHAnsi"/>
          <w:bCs/>
          <w:sz w:val="20"/>
          <w:lang w:bidi="en-US"/>
        </w:rPr>
        <w:t xml:space="preserve">: </w:t>
      </w:r>
      <w:r w:rsidRPr="003861F7">
        <w:rPr>
          <w:rFonts w:asciiTheme="minorHAnsi" w:hAnsiTheme="minorHAnsi" w:cstheme="minorHAnsi"/>
          <w:bCs/>
          <w:sz w:val="20"/>
          <w:lang w:bidi="en-US"/>
        </w:rPr>
        <w:t>Detailed invoices shall be submitted monthly identifying key staff and hours.</w:t>
      </w:r>
    </w:p>
    <w:p w14:paraId="63559B65" w14:textId="77777777" w:rsidR="00C4177B" w:rsidRPr="00927DC6" w:rsidRDefault="00927DC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p>
    <w:p w14:paraId="66375605" w14:textId="66A0D13E" w:rsidR="00927DC6" w:rsidRPr="00616485" w:rsidRDefault="00616485" w:rsidP="00846E22">
      <w:pPr>
        <w:pStyle w:val="ListParagraph"/>
        <w:numPr>
          <w:ilvl w:val="0"/>
          <w:numId w:val="21"/>
        </w:numPr>
        <w:spacing w:before="120" w:after="120"/>
        <w:ind w:left="1260"/>
        <w:rPr>
          <w:rFonts w:asciiTheme="minorHAnsi" w:hAnsiTheme="minorHAnsi" w:cstheme="minorHAnsi"/>
          <w:sz w:val="20"/>
        </w:rPr>
      </w:pPr>
      <w:r w:rsidRPr="00616485">
        <w:rPr>
          <w:rFonts w:asciiTheme="minorHAnsi" w:hAnsiTheme="minorHAnsi" w:cstheme="minorHAnsi"/>
          <w:sz w:val="20"/>
        </w:rPr>
        <w:t>The</w:t>
      </w:r>
      <w:r>
        <w:rPr>
          <w:rFonts w:asciiTheme="minorHAnsi" w:hAnsiTheme="minorHAnsi" w:cstheme="minorHAnsi"/>
          <w:sz w:val="20"/>
        </w:rPr>
        <w:t xml:space="preserve"> </w:t>
      </w:r>
      <w:r w:rsidRPr="00616485">
        <w:rPr>
          <w:rFonts w:asciiTheme="minorHAnsi" w:hAnsiTheme="minorHAnsi" w:cstheme="minorHAnsi"/>
          <w:sz w:val="20"/>
        </w:rPr>
        <w:t>Annual Actuarial Valuation Report</w:t>
      </w:r>
      <w:r>
        <w:rPr>
          <w:rFonts w:asciiTheme="minorHAnsi" w:hAnsiTheme="minorHAnsi" w:cstheme="minorHAnsi"/>
          <w:sz w:val="20"/>
        </w:rPr>
        <w:t xml:space="preserve"> </w:t>
      </w:r>
      <w:r w:rsidRPr="00616485">
        <w:rPr>
          <w:rFonts w:asciiTheme="minorHAnsi" w:hAnsiTheme="minorHAnsi" w:cstheme="minorHAnsi"/>
          <w:sz w:val="20"/>
        </w:rPr>
        <w:t>draft is due no later than mid-January</w:t>
      </w:r>
      <w:r>
        <w:rPr>
          <w:rFonts w:asciiTheme="minorHAnsi" w:hAnsiTheme="minorHAnsi" w:cstheme="minorHAnsi"/>
          <w:sz w:val="20"/>
        </w:rPr>
        <w:t xml:space="preserve"> of each year</w:t>
      </w:r>
    </w:p>
    <w:p w14:paraId="73EBDFF8" w14:textId="2E5E5605" w:rsidR="00927DC6" w:rsidRPr="00616485" w:rsidRDefault="00616485" w:rsidP="00846E22">
      <w:pPr>
        <w:pStyle w:val="ListParagraph"/>
        <w:numPr>
          <w:ilvl w:val="0"/>
          <w:numId w:val="21"/>
        </w:numPr>
        <w:spacing w:before="120" w:after="120"/>
        <w:ind w:left="1260"/>
        <w:rPr>
          <w:rFonts w:asciiTheme="minorHAnsi" w:hAnsiTheme="minorHAnsi" w:cstheme="minorHAnsi"/>
          <w:sz w:val="20"/>
        </w:rPr>
      </w:pPr>
      <w:r w:rsidRPr="00616485">
        <w:rPr>
          <w:rFonts w:asciiTheme="minorHAnsi" w:hAnsiTheme="minorHAnsi" w:cstheme="minorHAnsi"/>
          <w:sz w:val="20"/>
        </w:rPr>
        <w:t>The final</w:t>
      </w:r>
      <w:r>
        <w:rPr>
          <w:rFonts w:asciiTheme="minorHAnsi" w:hAnsiTheme="minorHAnsi" w:cstheme="minorHAnsi"/>
          <w:sz w:val="20"/>
        </w:rPr>
        <w:t xml:space="preserve"> Actuarial Valuation Report is due no later than early February of each year.</w:t>
      </w:r>
    </w:p>
    <w:p w14:paraId="3AFC2B59" w14:textId="7777777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w:t>
      </w:r>
      <w:proofErr w:type="spellStart"/>
      <w:r w:rsidRPr="00EB564D">
        <w:rPr>
          <w:rFonts w:asciiTheme="minorHAnsi" w:hAnsiTheme="minorHAnsi" w:cstheme="minorHAnsi"/>
          <w:sz w:val="20"/>
        </w:rPr>
        <w:t>i</w:t>
      </w:r>
      <w:proofErr w:type="spellEnd"/>
      <w:r w:rsidRPr="00EB564D">
        <w:rPr>
          <w:rFonts w:asciiTheme="minorHAnsi" w:hAnsiTheme="minorHAnsi" w:cstheme="minorHAnsi"/>
          <w:sz w:val="20"/>
        </w:rPr>
        <w:t xml:space="preserve">) the Services will be rendered with promptness and diligence and will be executed in a workmanlike manner, in accordance with the practices and professional standards used in well-managed operations performing services </w:t>
      </w:r>
      <w:proofErr w:type="gramStart"/>
      <w:r w:rsidRPr="00EB564D">
        <w:rPr>
          <w:rFonts w:asciiTheme="minorHAnsi" w:hAnsiTheme="minorHAnsi" w:cstheme="minorHAnsi"/>
          <w:sz w:val="20"/>
        </w:rPr>
        <w:t>similar to</w:t>
      </w:r>
      <w:proofErr w:type="gramEnd"/>
      <w:r w:rsidRPr="00EB564D">
        <w:rPr>
          <w:rFonts w:asciiTheme="minorHAnsi" w:hAnsiTheme="minorHAnsi" w:cstheme="minorHAnsi"/>
          <w:sz w:val="20"/>
        </w:rPr>
        <w:t xml:space="preserve">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w:t>
      </w:r>
      <w:proofErr w:type="gramStart"/>
      <w:r w:rsidRPr="007A0CA1">
        <w:rPr>
          <w:sz w:val="20"/>
        </w:rPr>
        <w:t>any and all</w:t>
      </w:r>
      <w:proofErr w:type="gramEnd"/>
      <w:r w:rsidRPr="007A0CA1">
        <w:rPr>
          <w:sz w:val="20"/>
        </w:rPr>
        <w:t xml:space="preserve">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lastRenderedPageBreak/>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w:t>
      </w:r>
      <w:proofErr w:type="spellStart"/>
      <w:r>
        <w:rPr>
          <w:rFonts w:asciiTheme="minorHAnsi" w:hAnsiTheme="minorHAnsi" w:cstheme="minorHAnsi"/>
          <w:sz w:val="20"/>
        </w:rPr>
        <w:t>i</w:t>
      </w:r>
      <w:proofErr w:type="spellEnd"/>
      <w:r>
        <w:rPr>
          <w:rFonts w:asciiTheme="minorHAnsi" w:hAnsiTheme="minorHAnsi" w:cstheme="minorHAnsi"/>
          <w:sz w:val="20"/>
        </w:rPr>
        <w:t>)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proofErr w:type="spellStart"/>
      <w:r>
        <w:rPr>
          <w:rFonts w:asciiTheme="minorHAnsi" w:hAnsiTheme="minorHAnsi" w:cstheme="minorHAnsi"/>
          <w:sz w:val="20"/>
        </w:rPr>
        <w:t>i</w:t>
      </w:r>
      <w:proofErr w:type="spellEnd"/>
      <w:r>
        <w:rPr>
          <w:rFonts w:asciiTheme="minorHAnsi" w:hAnsiTheme="minorHAnsi" w:cstheme="minorHAnsi"/>
          <w:sz w:val="20"/>
        </w:rPr>
        <w:t xml:space="preserve">.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0E4A7529" w14:textId="7BE2DE4D" w:rsidR="00B15A09" w:rsidRPr="00E31F33" w:rsidRDefault="00E37567" w:rsidP="00E31F33">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xml:space="preserve">)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2" w:name="_Ref52292790"/>
      <w:bookmarkStart w:id="3" w:name="_Ref55633268"/>
      <w:bookmarkStart w:id="4" w:name="_Ref55895797"/>
      <w:bookmarkStart w:id="5"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w:t>
      </w:r>
      <w:proofErr w:type="spellStart"/>
      <w:r w:rsidR="00575AB4">
        <w:rPr>
          <w:rFonts w:ascii="Times New Roman" w:hAnsi="Times New Roman"/>
          <w:b w:val="0"/>
          <w:snapToGrid w:val="0"/>
          <w:sz w:val="20"/>
        </w:rPr>
        <w:t>i</w:t>
      </w:r>
      <w:proofErr w:type="spellEnd"/>
      <w:r w:rsidR="00575AB4">
        <w:rPr>
          <w:rFonts w:ascii="Times New Roman" w:hAnsi="Times New Roman"/>
          <w:b w:val="0"/>
          <w:snapToGrid w:val="0"/>
          <w:sz w:val="20"/>
        </w:rPr>
        <w:t xml:space="preserve">)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2"/>
      <w:bookmarkEnd w:id="3"/>
      <w:bookmarkEnd w:id="4"/>
      <w:bookmarkEnd w:id="5"/>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proofErr w:type="gramStart"/>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2) Complete: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proofErr w:type="gramStart"/>
      <w:r w:rsidRPr="004D2739">
        <w:rPr>
          <w:rFonts w:asciiTheme="minorHAnsi" w:hAnsiTheme="minorHAnsi" w:cstheme="minorHAnsi"/>
          <w:color w:val="000000" w:themeColor="text1"/>
          <w:sz w:val="20"/>
        </w:rPr>
        <w:t>Name:_</w:t>
      </w:r>
      <w:proofErr w:type="gramEnd"/>
      <w:r w:rsidRPr="004D2739">
        <w:rPr>
          <w:rFonts w:asciiTheme="minorHAnsi" w:hAnsiTheme="minorHAnsi" w:cstheme="minorHAnsi"/>
          <w:color w:val="000000" w:themeColor="text1"/>
          <w:sz w:val="20"/>
        </w:rPr>
        <w:t>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Title:_</w:t>
      </w:r>
      <w:proofErr w:type="gramEnd"/>
      <w:r w:rsidRPr="004D2739">
        <w:rPr>
          <w:rFonts w:asciiTheme="minorHAnsi" w:hAnsiTheme="minorHAnsi" w:cstheme="minorHAnsi"/>
          <w:i w:val="0"/>
          <w:color w:val="000000" w:themeColor="text1"/>
          <w:sz w:val="20"/>
          <w:szCs w:val="20"/>
        </w:rPr>
        <w:t>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Date:_</w:t>
      </w:r>
      <w:proofErr w:type="gramEnd"/>
      <w:r w:rsidRPr="004D2739">
        <w:rPr>
          <w:rFonts w:asciiTheme="minorHAnsi" w:hAnsiTheme="minorHAnsi" w:cstheme="minorHAnsi"/>
          <w:i w:val="0"/>
          <w:color w:val="000000" w:themeColor="text1"/>
          <w:sz w:val="20"/>
          <w:szCs w:val="20"/>
        </w:rPr>
        <w:t>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672F87C9" w14:textId="77777777" w:rsidR="00001542" w:rsidRDefault="00001542">
      <w:pPr>
        <w:rPr>
          <w:rFonts w:asciiTheme="minorHAnsi" w:hAnsiTheme="minorHAnsi" w:cstheme="minorHAnsi"/>
          <w:sz w:val="20"/>
        </w:rPr>
        <w:sectPr w:rsidR="00001542" w:rsidSect="003B3C0B">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9"/>
          <w:type w:val="continuous"/>
          <w:pgSz w:w="12240" w:h="15840"/>
          <w:pgMar w:top="1440" w:right="1440" w:bottom="1440" w:left="1440" w:header="720" w:footer="720" w:gutter="0"/>
          <w:pgNumType w:start="1"/>
          <w:cols w:space="720"/>
          <w:docGrid w:linePitch="360"/>
        </w:sectPr>
      </w:pPr>
    </w:p>
    <w:p w14:paraId="285CD1F1" w14:textId="77777777" w:rsidR="008B1D57" w:rsidRDefault="008B1D57">
      <w:pPr>
        <w:spacing w:line="300" w:lineRule="atLeast"/>
        <w:rPr>
          <w:rFonts w:asciiTheme="minorHAnsi" w:hAnsiTheme="minorHAnsi" w:cstheme="minorHAnsi"/>
          <w:sz w:val="20"/>
        </w:r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09AC2002" w14:textId="77777777"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w:t>
      </w:r>
      <w:proofErr w:type="gramStart"/>
      <w:r w:rsidR="00492684" w:rsidRPr="00303BCF">
        <w:rPr>
          <w:sz w:val="20"/>
        </w:rPr>
        <w:t>any and all</w:t>
      </w:r>
      <w:proofErr w:type="gramEnd"/>
      <w:r w:rsidR="00492684" w:rsidRPr="00303BCF">
        <w:rPr>
          <w:sz w:val="20"/>
        </w:rPr>
        <w:t xml:space="preserve"> other fees, costs, profits, taxes or expenses of any nature which Contractor incurs.</w:t>
      </w:r>
    </w:p>
    <w:p w14:paraId="2B54A4B3" w14:textId="77777777" w:rsidR="00C36343" w:rsidRPr="00E90AF0"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Compensation</w:t>
      </w:r>
      <w:r>
        <w:rPr>
          <w:rFonts w:asciiTheme="minorHAnsi" w:hAnsiTheme="minorHAnsi" w:cstheme="minorHAnsi"/>
          <w:b/>
          <w:bCs/>
          <w:sz w:val="20"/>
        </w:rPr>
        <w:t xml:space="preserve"> for Goods.  </w:t>
      </w:r>
      <w:r w:rsidRPr="00E90AF0">
        <w:rPr>
          <w:rFonts w:asciiTheme="minorHAnsi" w:hAnsiTheme="minorHAnsi" w:cstheme="minorHAnsi"/>
          <w:bCs/>
          <w:sz w:val="20"/>
        </w:rPr>
        <w:t xml:space="preserve">Contractor </w:t>
      </w:r>
      <w:r>
        <w:rPr>
          <w:rFonts w:asciiTheme="minorHAnsi" w:hAnsiTheme="minorHAnsi" w:cstheme="minorHAnsi"/>
          <w:bCs/>
          <w:sz w:val="20"/>
        </w:rPr>
        <w:t xml:space="preserve">will invoice the following amounts for Goods that </w:t>
      </w:r>
      <w:r w:rsidRPr="00E90AF0">
        <w:rPr>
          <w:rFonts w:asciiTheme="minorHAnsi" w:hAnsiTheme="minorHAnsi" w:cstheme="minorHAnsi"/>
          <w:bCs/>
          <w:sz w:val="20"/>
        </w:rPr>
        <w:t xml:space="preserve">the </w:t>
      </w:r>
      <w:r w:rsidR="00323CD0">
        <w:rPr>
          <w:rFonts w:asciiTheme="minorHAnsi" w:hAnsiTheme="minorHAnsi" w:cstheme="minorHAnsi"/>
          <w:bCs/>
          <w:sz w:val="20"/>
        </w:rPr>
        <w:t>JBE</w:t>
      </w:r>
      <w:r w:rsidRPr="00E90AF0">
        <w:rPr>
          <w:rFonts w:asciiTheme="minorHAnsi" w:hAnsiTheme="minorHAnsi" w:cstheme="minorHAnsi"/>
          <w:bCs/>
          <w:sz w:val="20"/>
        </w:rPr>
        <w:t xml:space="preserve"> has accepted:</w:t>
      </w:r>
    </w:p>
    <w:p w14:paraId="693F34CD" w14:textId="159EBD4B" w:rsidR="00E165F5" w:rsidRPr="00DF2438" w:rsidRDefault="00DF2438" w:rsidP="00846E22">
      <w:pPr>
        <w:numPr>
          <w:ilvl w:val="0"/>
          <w:numId w:val="17"/>
        </w:numPr>
        <w:spacing w:before="120" w:after="120"/>
        <w:ind w:left="720" w:firstLine="0"/>
        <w:rPr>
          <w:rFonts w:asciiTheme="minorHAnsi" w:hAnsiTheme="minorHAnsi" w:cstheme="minorHAnsi"/>
          <w:b/>
          <w:bCs/>
          <w:i/>
          <w:sz w:val="20"/>
          <w:lang w:bidi="en-US"/>
        </w:rPr>
      </w:pPr>
      <w:r w:rsidRPr="00DF2438">
        <w:rPr>
          <w:rFonts w:asciiTheme="minorHAnsi" w:hAnsiTheme="minorHAnsi" w:cstheme="minorHAnsi"/>
          <w:b/>
          <w:bCs/>
          <w:i/>
          <w:sz w:val="20"/>
          <w:lang w:bidi="en-US"/>
        </w:rPr>
        <w:t>N/A</w:t>
      </w:r>
      <w:r w:rsidR="00E165F5" w:rsidRPr="00DF2438">
        <w:rPr>
          <w:rFonts w:asciiTheme="minorHAnsi" w:hAnsiTheme="minorHAnsi" w:cstheme="minorHAnsi"/>
          <w:b/>
          <w:bCs/>
          <w:i/>
          <w:sz w:val="20"/>
          <w:lang w:bidi="en-US"/>
        </w:rPr>
        <w:t xml:space="preserve">  </w:t>
      </w:r>
    </w:p>
    <w:p w14:paraId="38D98B24"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77777777"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2D21F698" w14:textId="0A6F2121" w:rsidR="00C36343" w:rsidRPr="00E951A5" w:rsidRDefault="00E165F5" w:rsidP="00E951A5">
      <w:pPr>
        <w:numPr>
          <w:ilvl w:val="0"/>
          <w:numId w:val="17"/>
        </w:numPr>
        <w:spacing w:before="120" w:after="120"/>
        <w:ind w:left="720" w:firstLine="0"/>
        <w:rPr>
          <w:rFonts w:asciiTheme="minorHAnsi" w:hAnsiTheme="minorHAnsi" w:cstheme="minorHAnsi"/>
          <w:bCs/>
          <w:i/>
          <w:sz w:val="20"/>
          <w:highlight w:val="yellow"/>
          <w:lang w:bidi="en-US"/>
        </w:rPr>
      </w:pPr>
      <w:r>
        <w:rPr>
          <w:rFonts w:asciiTheme="minorHAnsi" w:hAnsiTheme="minorHAnsi" w:cstheme="minorHAnsi"/>
          <w:bCs/>
          <w:i/>
          <w:sz w:val="20"/>
          <w:lang w:bidi="en-US"/>
        </w:rPr>
        <w:t xml:space="preserve">  </w:t>
      </w:r>
      <w:r w:rsidR="00AF47B6" w:rsidRPr="00AF47B6">
        <w:rPr>
          <w:rFonts w:asciiTheme="minorHAnsi" w:hAnsiTheme="minorHAnsi" w:cstheme="minorHAnsi"/>
          <w:bCs/>
          <w:i/>
          <w:sz w:val="20"/>
          <w:highlight w:val="yellow"/>
          <w:lang w:bidi="en-US"/>
        </w:rPr>
        <w:t>TBD</w:t>
      </w:r>
    </w:p>
    <w:p w14:paraId="0AFDE510" w14:textId="77777777"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w:t>
      </w:r>
      <w:r w:rsidR="00702D06" w:rsidRPr="00CD19A5">
        <w:rPr>
          <w:rFonts w:asciiTheme="minorHAnsi" w:hAnsiTheme="minorHAnsi" w:cstheme="minorHAnsi"/>
          <w:bCs/>
          <w:sz w:val="20"/>
          <w:highlight w:val="yellow"/>
        </w:rPr>
        <w:t xml:space="preserve">(15%)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494940FF" w14:textId="77777777"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A65695C" w14:textId="012E7324" w:rsidR="00513347" w:rsidRPr="003361AC" w:rsidRDefault="00B6312C" w:rsidP="003361AC">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52BC5652" w14:textId="7F6211F1" w:rsidR="00E165F5" w:rsidRPr="00AF47B6" w:rsidRDefault="00AF47B6" w:rsidP="00AF47B6">
      <w:pPr>
        <w:pStyle w:val="ListParagraph"/>
        <w:spacing w:before="120" w:after="120"/>
        <w:ind w:left="360"/>
        <w:rPr>
          <w:rFonts w:asciiTheme="minorHAnsi" w:hAnsiTheme="minorHAnsi" w:cstheme="minorHAnsi"/>
          <w:b/>
          <w:bCs/>
          <w:sz w:val="20"/>
        </w:rPr>
      </w:pPr>
      <w:r w:rsidRPr="00AF47B6">
        <w:rPr>
          <w:rFonts w:asciiTheme="minorHAnsi" w:hAnsiTheme="minorHAnsi" w:cstheme="minorHAnsi"/>
          <w:b/>
          <w:bCs/>
          <w:sz w:val="20"/>
        </w:rPr>
        <w:t>No</w:t>
      </w:r>
      <w:r>
        <w:rPr>
          <w:rFonts w:asciiTheme="minorHAnsi" w:hAnsiTheme="minorHAnsi" w:cstheme="minorHAnsi"/>
          <w:b/>
          <w:bCs/>
          <w:sz w:val="20"/>
        </w:rPr>
        <w:t xml:space="preserve"> </w:t>
      </w:r>
      <w:r w:rsidRPr="00AF47B6">
        <w:rPr>
          <w:rFonts w:asciiTheme="minorHAnsi" w:hAnsiTheme="minorHAnsi" w:cstheme="minorHAnsi"/>
          <w:b/>
          <w:bCs/>
          <w:sz w:val="20"/>
        </w:rPr>
        <w:t>Travel Reimbursement</w:t>
      </w:r>
      <w:r>
        <w:rPr>
          <w:rFonts w:asciiTheme="minorHAnsi" w:hAnsiTheme="minorHAnsi" w:cstheme="minorHAnsi"/>
          <w:b/>
          <w:bCs/>
          <w:sz w:val="20"/>
        </w:rPr>
        <w:t xml:space="preserve"> is allowed.</w:t>
      </w:r>
    </w:p>
    <w:p w14:paraId="1B130AC8" w14:textId="77777777" w:rsidR="0070078B" w:rsidRPr="0070078B" w:rsidRDefault="00DC5733" w:rsidP="0070078B">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449164B0"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77777777"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70078B" w:rsidRDefault="0070078B" w:rsidP="0070078B">
      <w:pPr>
        <w:numPr>
          <w:ilvl w:val="0"/>
          <w:numId w:val="25"/>
        </w:numPr>
        <w:spacing w:before="120" w:after="120"/>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sidR="00323CD0">
        <w:rPr>
          <w:sz w:val="20"/>
        </w:rPr>
        <w:t>JBE</w:t>
      </w:r>
      <w:r w:rsidRPr="00041323">
        <w:rPr>
          <w:sz w:val="20"/>
        </w:rPr>
        <w:t xml:space="preserve"> is exempt from federal excise taxes and no payment will be made for any personal property taxes levied on Contractor or on any taxes levied on employee wages. The </w:t>
      </w:r>
      <w:r w:rsidR="00323CD0">
        <w:rPr>
          <w:sz w:val="20"/>
        </w:rPr>
        <w:t>JBE</w:t>
      </w:r>
      <w:r w:rsidRPr="00041323">
        <w:rPr>
          <w:sz w:val="20"/>
        </w:rPr>
        <w:t xml:space="preserve"> shall only pay for any state or local sales, service, use, or similar taxes imposed on the Services rendered or equipment, parts or software supplied to the </w:t>
      </w:r>
      <w:r w:rsidR="00323CD0">
        <w:rPr>
          <w:sz w:val="20"/>
        </w:rPr>
        <w:t>JBE</w:t>
      </w:r>
      <w:r w:rsidRPr="00041323">
        <w:rPr>
          <w:sz w:val="20"/>
        </w:rPr>
        <w:t xml:space="preserve"> pursuant to this Agreement</w:t>
      </w:r>
      <w:r>
        <w:rPr>
          <w:sz w:val="20"/>
        </w:rPr>
        <w: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20"/>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w:t>
      </w:r>
      <w:proofErr w:type="gramStart"/>
      <w:r w:rsidR="00E6137A" w:rsidRPr="00E6137A">
        <w:rPr>
          <w:rFonts w:asciiTheme="minorHAnsi" w:hAnsiTheme="minorHAnsi" w:cstheme="minorHAnsi"/>
          <w:bCs/>
          <w:sz w:val="20"/>
        </w:rPr>
        <w:t>sufficient</w:t>
      </w:r>
      <w:proofErr w:type="gramEnd"/>
      <w:r w:rsidR="00E6137A" w:rsidRPr="00E6137A">
        <w:rPr>
          <w:rFonts w:asciiTheme="minorHAnsi" w:hAnsiTheme="minorHAnsi" w:cstheme="minorHAnsi"/>
          <w:bCs/>
          <w:sz w:val="20"/>
        </w:rPr>
        <w:t xml:space="preserve">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w:t>
      </w:r>
      <w:proofErr w:type="spellStart"/>
      <w:r w:rsidR="00E6137A" w:rsidRPr="006C35F6">
        <w:rPr>
          <w:rFonts w:asciiTheme="minorHAnsi" w:hAnsiTheme="minorHAnsi" w:cstheme="minorHAnsi"/>
          <w:bCs/>
          <w:sz w:val="20"/>
        </w:rPr>
        <w:t>i</w:t>
      </w:r>
      <w:proofErr w:type="spellEnd"/>
      <w:r w:rsidR="00E6137A" w:rsidRPr="006C35F6">
        <w:rPr>
          <w:rFonts w:asciiTheme="minorHAnsi" w:hAnsiTheme="minorHAnsi" w:cstheme="minorHAnsi"/>
          <w:bCs/>
          <w:sz w:val="20"/>
        </w:rPr>
        <w:t xml:space="preserve">)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7"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7"/>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427C011D"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2A439B97"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r w:rsidRPr="00483DAC">
        <w:rPr>
          <w:rFonts w:asciiTheme="minorHAnsi" w:hAnsiTheme="minorHAnsi" w:cstheme="minorHAnsi"/>
          <w:i/>
          <w:sz w:val="20"/>
        </w:rPr>
        <w:t>Commercial Crime Insurance.</w:t>
      </w:r>
      <w:r w:rsidR="00FA47DA" w:rsidRPr="00483DAC">
        <w:rPr>
          <w:rFonts w:asciiTheme="minorHAnsi" w:hAnsiTheme="minorHAnsi" w:cstheme="minorHAnsi"/>
          <w:b/>
          <w:sz w:val="20"/>
        </w:rPr>
        <w:t xml:space="preserve"> </w:t>
      </w:r>
      <w:r w:rsidR="00583AB8" w:rsidRPr="00583AB8">
        <w:rPr>
          <w:rFonts w:asciiTheme="minorHAnsi" w:hAnsiTheme="minorHAnsi" w:cstheme="minorHAnsi"/>
          <w:sz w:val="20"/>
        </w:rPr>
        <w:t xml:space="preserve">This policy is required only if Contractor handles or has regular access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’s funds or property of significant value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  </w:t>
      </w:r>
      <w:r w:rsidR="00D662AB" w:rsidRPr="00483DAC">
        <w:rPr>
          <w:rFonts w:asciiTheme="minorHAnsi" w:hAnsiTheme="minorHAnsi" w:cstheme="minorHAnsi"/>
          <w:sz w:val="20"/>
        </w:rPr>
        <w:t xml:space="preserve">This policy must cover dishonest acts including loss due to theft of money, securities, and property; forgery, and alteration of documents; and fraudulent transfer of money, securities, and property.  </w:t>
      </w:r>
      <w:r w:rsidR="000F46CB" w:rsidRPr="00483DAC">
        <w:rPr>
          <w:rFonts w:asciiTheme="minorHAnsi" w:hAnsiTheme="minorHAnsi" w:cstheme="minorHAnsi"/>
          <w:sz w:val="20"/>
        </w:rPr>
        <w:t xml:space="preserve">The minimum liability limit must be </w:t>
      </w:r>
      <w:r w:rsidR="00D662AB" w:rsidRPr="00483DAC">
        <w:rPr>
          <w:rFonts w:asciiTheme="minorHAnsi" w:hAnsiTheme="minorHAnsi" w:cstheme="minorHAnsi"/>
          <w:sz w:val="20"/>
        </w:rPr>
        <w:t>$</w:t>
      </w:r>
      <w:r w:rsidR="00FB7A75">
        <w:rPr>
          <w:b/>
          <w:sz w:val="20"/>
          <w:highlight w:val="yellow"/>
        </w:rPr>
        <w:t>[Dollar amount</w:t>
      </w:r>
      <w:r w:rsidR="00FB7A75" w:rsidRPr="00287443">
        <w:rPr>
          <w:b/>
          <w:sz w:val="20"/>
          <w:highlight w:val="yellow"/>
        </w:rPr>
        <w:t>]</w:t>
      </w:r>
      <w:r w:rsidR="00D662AB" w:rsidRPr="00483DAC">
        <w:rPr>
          <w:rFonts w:asciiTheme="minorHAnsi" w:hAnsiTheme="minorHAnsi" w:cstheme="minorHAnsi"/>
          <w:sz w:val="20"/>
        </w:rPr>
        <w:t>.</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lastRenderedPageBreak/>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w:t>
      </w:r>
      <w:proofErr w:type="gramStart"/>
      <w:r w:rsidR="008D5F42">
        <w:rPr>
          <w:rFonts w:asciiTheme="minorHAnsi" w:hAnsiTheme="minorHAnsi" w:cstheme="minorHAnsi"/>
          <w:sz w:val="20"/>
        </w:rPr>
        <w:t>in the event that</w:t>
      </w:r>
      <w:proofErr w:type="gramEnd"/>
      <w:r w:rsidR="008D5F42">
        <w:rPr>
          <w:rFonts w:asciiTheme="minorHAnsi" w:hAnsiTheme="minorHAnsi" w:cstheme="minorHAnsi"/>
          <w:sz w:val="20"/>
        </w:rPr>
        <w:t xml:space="preserve">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w:t>
      </w:r>
      <w:proofErr w:type="gramStart"/>
      <w:r w:rsidRPr="005C554B">
        <w:rPr>
          <w:rFonts w:asciiTheme="minorHAnsi" w:hAnsiTheme="minorHAnsi" w:cstheme="minorHAnsi"/>
          <w:sz w:val="20"/>
        </w:rPr>
        <w:t>made</w:t>
      </w:r>
      <w:proofErr w:type="gramEnd"/>
      <w:r w:rsidRPr="005C554B">
        <w:rPr>
          <w:rFonts w:asciiTheme="minorHAnsi" w:hAnsiTheme="minorHAnsi" w:cstheme="minorHAnsi"/>
          <w:sz w:val="20"/>
        </w:rPr>
        <w:t xml:space="preserv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26C51F0E"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lastRenderedPageBreak/>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sidRPr="00153C8D">
        <w:rPr>
          <w:rFonts w:asciiTheme="minorHAnsi" w:hAnsiTheme="minorHAnsi" w:cstheme="minorHAnsi"/>
          <w:bCs/>
          <w:sz w:val="20"/>
          <w:highlight w:val="yellow"/>
        </w:rPr>
        <w:t>extend</w:t>
      </w:r>
      <w:r w:rsidR="00081C7A" w:rsidRPr="00153C8D">
        <w:rPr>
          <w:rFonts w:asciiTheme="minorHAnsi" w:hAnsiTheme="minorHAnsi" w:cstheme="minorHAnsi"/>
          <w:bCs/>
          <w:sz w:val="20"/>
          <w:highlight w:val="yellow"/>
        </w:rPr>
        <w:t xml:space="preserve"> this Agreement for </w:t>
      </w:r>
      <w:r w:rsidR="00153C8D" w:rsidRPr="00153C8D">
        <w:rPr>
          <w:rFonts w:asciiTheme="minorHAnsi" w:hAnsiTheme="minorHAnsi" w:cstheme="minorHAnsi"/>
          <w:bCs/>
          <w:sz w:val="20"/>
          <w:highlight w:val="yellow"/>
        </w:rPr>
        <w:t>up to three (3) consecutive two-year option terms</w:t>
      </w:r>
      <w:r w:rsidR="00153C8D">
        <w:rPr>
          <w:rFonts w:asciiTheme="minorHAnsi" w:hAnsiTheme="minorHAnsi" w:cstheme="minorHAnsi"/>
          <w:bCs/>
          <w:sz w:val="20"/>
        </w:rPr>
        <w:t xml:space="preserve">, </w:t>
      </w:r>
      <w:r w:rsidR="00081C7A" w:rsidRPr="00081C7A">
        <w:rPr>
          <w:rFonts w:asciiTheme="minorHAnsi" w:hAnsiTheme="minorHAnsi" w:cstheme="minorHAnsi"/>
          <w:bCs/>
          <w:sz w:val="20"/>
        </w:rPr>
        <w:t>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w:t>
      </w:r>
      <w:proofErr w:type="gramStart"/>
      <w:r w:rsidR="006F36FB">
        <w:rPr>
          <w:rFonts w:asciiTheme="minorHAnsi" w:hAnsiTheme="minorHAnsi" w:cstheme="minorHAnsi"/>
          <w:bCs/>
          <w:sz w:val="20"/>
        </w:rPr>
        <w:t>In order to</w:t>
      </w:r>
      <w:proofErr w:type="gramEnd"/>
      <w:r w:rsidR="006F36FB">
        <w:rPr>
          <w:rFonts w:asciiTheme="minorHAnsi" w:hAnsiTheme="minorHAnsi" w:cstheme="minorHAnsi"/>
          <w:bCs/>
          <w:sz w:val="20"/>
        </w:rPr>
        <w:t xml:space="preserve">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w:t>
      </w:r>
      <w:proofErr w:type="gramStart"/>
      <w:r w:rsidR="000B53FC" w:rsidRPr="000B53FC">
        <w:rPr>
          <w:rFonts w:asciiTheme="minorHAnsi" w:hAnsiTheme="minorHAnsi" w:cstheme="minorHAnsi"/>
          <w:bCs/>
          <w:sz w:val="20"/>
        </w:rPr>
        <w:t>sufficient</w:t>
      </w:r>
      <w:proofErr w:type="gramEnd"/>
      <w:r w:rsidR="000B53FC" w:rsidRPr="000B53FC">
        <w:rPr>
          <w:rFonts w:asciiTheme="minorHAnsi" w:hAnsiTheme="minorHAnsi" w:cstheme="minorHAnsi"/>
          <w:bCs/>
          <w:sz w:val="20"/>
        </w:rPr>
        <w:t xml:space="preserve">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w:t>
      </w:r>
      <w:r w:rsidRPr="00B52602">
        <w:rPr>
          <w:rFonts w:asciiTheme="minorHAnsi" w:hAnsiTheme="minorHAnsi" w:cstheme="minorHAnsi"/>
          <w:bCs/>
          <w:sz w:val="20"/>
        </w:rPr>
        <w:lastRenderedPageBreak/>
        <w:t xml:space="preserve">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w:t>
      </w:r>
      <w:proofErr w:type="gramStart"/>
      <w:r w:rsidR="00B52602" w:rsidRPr="00B52602">
        <w:rPr>
          <w:rFonts w:asciiTheme="minorHAnsi" w:hAnsiTheme="minorHAnsi" w:cstheme="minorHAnsi"/>
          <w:bCs/>
          <w:sz w:val="20"/>
        </w:rPr>
        <w:t>as a result of</w:t>
      </w:r>
      <w:proofErr w:type="gramEnd"/>
      <w:r w:rsidR="00B52602" w:rsidRPr="00B52602">
        <w:rPr>
          <w:rFonts w:asciiTheme="minorHAnsi" w:hAnsiTheme="minorHAnsi" w:cstheme="minorHAnsi"/>
          <w:bCs/>
          <w:sz w:val="20"/>
        </w:rPr>
        <w:t xml:space="preserve">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4F2FDC4C"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662012">
              <w:rPr>
                <w:rFonts w:ascii="Times New Roman" w:hAnsi="Times New Roman"/>
                <w:b/>
                <w:bCs/>
                <w:sz w:val="20"/>
              </w:rPr>
              <w:t>Judicial Council</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816704">
        <w:rPr>
          <w:rFonts w:asciiTheme="minorHAnsi" w:hAnsiTheme="minorHAnsi" w:cstheme="minorHAnsi"/>
          <w:i/>
          <w:sz w:val="20"/>
          <w:highlight w:val="yellow"/>
        </w:rPr>
        <w:t xml:space="preserve">If the Contract Amount is </w:t>
      </w:r>
      <w:r w:rsidR="00EC6410" w:rsidRPr="00816704">
        <w:rPr>
          <w:rFonts w:asciiTheme="minorHAnsi" w:hAnsiTheme="minorHAnsi" w:cstheme="minorHAnsi"/>
          <w:i/>
          <w:sz w:val="20"/>
          <w:highlight w:val="yellow"/>
        </w:rPr>
        <w:t xml:space="preserve">over </w:t>
      </w:r>
      <w:r w:rsidRPr="00816704">
        <w:rPr>
          <w:rFonts w:asciiTheme="minorHAnsi" w:hAnsiTheme="minorHAnsi" w:cstheme="minorHAnsi"/>
          <w:i/>
          <w:sz w:val="20"/>
          <w:highlight w:val="yellow"/>
        </w:rPr>
        <w:t>$50,000</w:t>
      </w:r>
      <w:r w:rsidR="00642075" w:rsidRPr="00816704">
        <w:rPr>
          <w:rFonts w:asciiTheme="minorHAnsi" w:hAnsiTheme="minorHAnsi" w:cstheme="minorHAnsi"/>
          <w:i/>
          <w:sz w:val="20"/>
          <w:highlight w:val="yellow"/>
        </w:rPr>
        <w:t xml:space="preserve">, </w:t>
      </w:r>
      <w:r w:rsidR="00E70FF3" w:rsidRPr="00816704">
        <w:rPr>
          <w:rFonts w:asciiTheme="minorHAnsi" w:hAnsiTheme="minorHAnsi" w:cstheme="minorHAnsi"/>
          <w:bCs/>
          <w:i/>
          <w:sz w:val="20"/>
          <w:highlight w:val="yellow"/>
        </w:rPr>
        <w:t>this section is applicable</w:t>
      </w:r>
      <w:r w:rsidR="00642075" w:rsidRPr="00816704">
        <w:rPr>
          <w:rFonts w:asciiTheme="minorHAnsi" w:hAnsiTheme="minorHAnsi" w:cstheme="minorHAnsi"/>
          <w:i/>
          <w:sz w:val="20"/>
          <w:highlight w:val="yellow"/>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w:t>
      </w:r>
      <w:proofErr w:type="gramStart"/>
      <w:r w:rsidRPr="00D662AB">
        <w:rPr>
          <w:rFonts w:asciiTheme="minorHAnsi" w:hAnsiTheme="minorHAnsi" w:cstheme="minorHAnsi"/>
          <w:sz w:val="20"/>
        </w:rPr>
        <w:t>sufficient</w:t>
      </w:r>
      <w:proofErr w:type="gramEnd"/>
      <w:r w:rsidRPr="00D662AB">
        <w:rPr>
          <w:rFonts w:asciiTheme="minorHAnsi" w:hAnsiTheme="minorHAnsi" w:cstheme="minorHAnsi"/>
          <w:sz w:val="20"/>
        </w:rPr>
        <w:t xml:space="preserve">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271B8F">
        <w:rPr>
          <w:rFonts w:asciiTheme="minorHAnsi" w:hAnsiTheme="minorHAnsi" w:cstheme="minorHAnsi"/>
          <w:bCs/>
          <w:i/>
          <w:sz w:val="20"/>
          <w:highlight w:val="yellow"/>
        </w:rPr>
        <w:t>If the Contract Amount is $100,000 or more, this section is applicable</w:t>
      </w:r>
      <w:r w:rsidRPr="00EC6410">
        <w:rPr>
          <w:rFonts w:asciiTheme="minorHAnsi" w:hAnsiTheme="minorHAnsi" w:cstheme="minorHAnsi"/>
          <w:bCs/>
          <w:i/>
          <w:sz w:val="20"/>
        </w:rPr>
        <w:t xml:space="preserv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w:t>
      </w:r>
      <w:proofErr w:type="spellStart"/>
      <w:r w:rsidR="00DF27CD">
        <w:rPr>
          <w:rFonts w:asciiTheme="minorHAnsi" w:hAnsiTheme="minorHAnsi" w:cstheme="minorHAnsi"/>
          <w:bCs/>
          <w:sz w:val="20"/>
        </w:rPr>
        <w:t>i</w:t>
      </w:r>
      <w:proofErr w:type="spellEnd"/>
      <w:r w:rsidR="00DF27CD">
        <w:rPr>
          <w:rFonts w:asciiTheme="minorHAnsi" w:hAnsiTheme="minorHAnsi" w:cstheme="minorHAnsi"/>
          <w:bCs/>
          <w:sz w:val="20"/>
        </w:rPr>
        <w:t>)</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w:t>
      </w:r>
      <w:r w:rsidRPr="00E00F8B">
        <w:rPr>
          <w:rFonts w:asciiTheme="minorHAnsi" w:hAnsiTheme="minorHAnsi" w:cstheme="minorHAnsi"/>
          <w:bCs/>
          <w:i/>
          <w:sz w:val="20"/>
          <w:highlight w:val="yellow"/>
        </w:rPr>
        <w:t>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 xml:space="preserve">erm) all applicable state and federal laws relating to child </w:t>
      </w:r>
      <w:r w:rsidRPr="006A354E">
        <w:rPr>
          <w:rFonts w:asciiTheme="minorHAnsi" w:hAnsiTheme="minorHAnsi" w:cstheme="minorHAnsi"/>
          <w:bCs/>
          <w:sz w:val="20"/>
        </w:rPr>
        <w:lastRenderedPageBreak/>
        <w:t>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4E5B69">
        <w:rPr>
          <w:rFonts w:asciiTheme="minorHAnsi" w:hAnsiTheme="minorHAnsi" w:cstheme="minorHAnsi"/>
          <w:bCs/>
          <w:i/>
          <w:sz w:val="20"/>
          <w:highlight w:val="yellow"/>
        </w:rPr>
        <w:t>If the Contract Amount is over $2</w:t>
      </w:r>
      <w:r w:rsidR="00B651F5" w:rsidRPr="004E5B69">
        <w:rPr>
          <w:rFonts w:asciiTheme="minorHAnsi" w:hAnsiTheme="minorHAnsi" w:cstheme="minorHAnsi"/>
          <w:bCs/>
          <w:i/>
          <w:sz w:val="20"/>
          <w:highlight w:val="yellow"/>
        </w:rPr>
        <w:t xml:space="preserve">00,000 and this Agreement is for services (other than Consulting Services), </w:t>
      </w:r>
      <w:r w:rsidRPr="004E5B69">
        <w:rPr>
          <w:rFonts w:asciiTheme="minorHAnsi" w:hAnsiTheme="minorHAnsi" w:cstheme="minorHAnsi"/>
          <w:bCs/>
          <w:i/>
          <w:sz w:val="20"/>
          <w:highlight w:val="yellow"/>
        </w:rPr>
        <w:t>this section is applicable.</w:t>
      </w:r>
      <w:r w:rsidRPr="00EC6410">
        <w:rPr>
          <w:rFonts w:asciiTheme="minorHAnsi" w:hAnsiTheme="minorHAnsi" w:cstheme="minorHAnsi"/>
          <w:bCs/>
          <w:i/>
          <w:sz w:val="20"/>
        </w:rPr>
        <w:t xml:space="preserv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B0EFCB0" w14:textId="77777777"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Iran Contracting Act</w:t>
      </w:r>
      <w:r w:rsidRPr="004E5B69">
        <w:rPr>
          <w:rFonts w:asciiTheme="minorHAnsi" w:hAnsiTheme="minorHAnsi" w:cstheme="minorHAnsi"/>
          <w:b/>
          <w:bCs/>
          <w:sz w:val="20"/>
          <w:highlight w:val="yellow"/>
          <w:lang w:bidi="en-US"/>
        </w:rPr>
        <w:t xml:space="preserve">.  </w:t>
      </w:r>
      <w:r w:rsidRPr="004E5B69">
        <w:rPr>
          <w:rFonts w:asciiTheme="minorHAnsi" w:hAnsiTheme="minorHAnsi" w:cstheme="minorHAnsi"/>
          <w:bCs/>
          <w:i/>
          <w:sz w:val="20"/>
          <w:highlight w:val="yellow"/>
        </w:rPr>
        <w:t>If the Contract Amount is $1,000,000 or more</w:t>
      </w:r>
      <w:r w:rsidR="00D17605" w:rsidRPr="004E5B69">
        <w:rPr>
          <w:rFonts w:asciiTheme="minorHAnsi" w:hAnsiTheme="minorHAnsi" w:cstheme="minorHAnsi"/>
          <w:bCs/>
          <w:i/>
          <w:sz w:val="20"/>
          <w:highlight w:val="yellow"/>
        </w:rPr>
        <w:t xml:space="preserve"> and Contractor did not provide to </w:t>
      </w:r>
      <w:r w:rsidR="00323CD0" w:rsidRPr="004E5B69">
        <w:rPr>
          <w:rFonts w:asciiTheme="minorHAnsi" w:hAnsiTheme="minorHAnsi" w:cstheme="minorHAnsi"/>
          <w:bCs/>
          <w:i/>
          <w:sz w:val="20"/>
          <w:highlight w:val="yellow"/>
        </w:rPr>
        <w:t>JBE</w:t>
      </w:r>
      <w:r w:rsidR="00D17605" w:rsidRPr="004E5B69">
        <w:rPr>
          <w:rFonts w:asciiTheme="minorHAnsi" w:hAnsiTheme="minorHAnsi" w:cstheme="minorHAnsi"/>
          <w:bCs/>
          <w:i/>
          <w:sz w:val="20"/>
          <w:highlight w:val="yellow"/>
        </w:rPr>
        <w:t xml:space="preserve"> an Iran Contracting Act certification as part of the solicitation process</w:t>
      </w:r>
      <w:r w:rsidRPr="004E5B69">
        <w:rPr>
          <w:rFonts w:asciiTheme="minorHAnsi" w:hAnsiTheme="minorHAnsi" w:cstheme="minorHAnsi"/>
          <w:bCs/>
          <w:i/>
          <w:sz w:val="20"/>
          <w:highlight w:val="yellow"/>
        </w:rPr>
        <w:t>, this section is applicable.</w:t>
      </w:r>
      <w:r w:rsidRPr="00EC6410">
        <w:rPr>
          <w:rFonts w:asciiTheme="minorHAnsi" w:hAnsiTheme="minorHAnsi" w:cstheme="minorHAnsi"/>
          <w:bCs/>
          <w:i/>
          <w:sz w:val="20"/>
        </w:rPr>
        <w:t xml:space="preserve"> </w:t>
      </w:r>
      <w:r>
        <w:rPr>
          <w:rFonts w:asciiTheme="minorHAnsi" w:hAnsiTheme="minorHAnsi" w:cstheme="minorHAnsi"/>
          <w:sz w:val="20"/>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EADB9F6" w14:textId="77777777" w:rsidR="00E77106" w:rsidRPr="00334AB1" w:rsidRDefault="00E77106" w:rsidP="00334AB1">
      <w:pPr>
        <w:jc w:val="both"/>
        <w:rPr>
          <w:rFonts w:asciiTheme="minorHAnsi" w:hAnsiTheme="minorHAnsi" w:cstheme="minorHAnsi"/>
          <w:sz w:val="20"/>
        </w:rPr>
      </w:pPr>
    </w:p>
    <w:p w14:paraId="29C3D940"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334AB1">
        <w:rPr>
          <w:rFonts w:asciiTheme="minorHAnsi" w:hAnsiTheme="minorHAnsi" w:cstheme="minorHAnsi"/>
          <w:bCs/>
          <w:i/>
          <w:sz w:val="20"/>
          <w:highlight w:val="yellow"/>
        </w:rPr>
        <w:t xml:space="preserve">If this Agreement is funded in whole or in part by the federal government, </w:t>
      </w:r>
      <w:r w:rsidR="00E77106" w:rsidRPr="00334AB1">
        <w:rPr>
          <w:rFonts w:asciiTheme="minorHAnsi" w:hAnsiTheme="minorHAnsi" w:cstheme="minorHAnsi"/>
          <w:i/>
          <w:sz w:val="20"/>
          <w:highlight w:val="yellow"/>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w:t>
      </w:r>
      <w:proofErr w:type="gramStart"/>
      <w:r w:rsidR="00E77106" w:rsidRPr="002D7DFA">
        <w:rPr>
          <w:rFonts w:asciiTheme="minorHAnsi" w:hAnsiTheme="minorHAnsi" w:cstheme="minorHAnsi"/>
          <w:bCs/>
          <w:sz w:val="20"/>
        </w:rPr>
        <w:t>), or</w:t>
      </w:r>
      <w:proofErr w:type="gramEnd"/>
      <w:r w:rsidR="00E77106" w:rsidRPr="002D7DFA">
        <w:rPr>
          <w:rFonts w:asciiTheme="minorHAnsi" w:hAnsiTheme="minorHAnsi" w:cstheme="minorHAnsi"/>
          <w:bCs/>
          <w:sz w:val="20"/>
        </w:rPr>
        <w:t xml:space="preserve">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77777777"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86DB8">
        <w:rPr>
          <w:rFonts w:asciiTheme="minorHAnsi" w:hAnsiTheme="minorHAnsi" w:cstheme="minorHAnsi"/>
          <w:i/>
          <w:sz w:val="20"/>
          <w:highlight w:val="yellow"/>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w:t>
      </w:r>
      <w:proofErr w:type="spellStart"/>
      <w:r w:rsidR="00174CAF" w:rsidRPr="00174CAF">
        <w:rPr>
          <w:rFonts w:asciiTheme="minorHAnsi" w:hAnsiTheme="minorHAnsi" w:cstheme="minorHAnsi"/>
          <w:sz w:val="20"/>
        </w:rPr>
        <w:t>i</w:t>
      </w:r>
      <w:proofErr w:type="spellEnd"/>
      <w:r w:rsidR="00174CAF" w:rsidRPr="00174CAF">
        <w:rPr>
          <w:rFonts w:asciiTheme="minorHAnsi" w:hAnsiTheme="minorHAnsi" w:cstheme="minorHAnsi"/>
          <w:sz w:val="20"/>
        </w:rPr>
        <w:t xml:space="preserve">)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Pr>
          <w:rFonts w:asciiTheme="minorHAnsi" w:hAnsiTheme="minorHAnsi" w:cstheme="minorHAnsi"/>
          <w:sz w:val="20"/>
        </w:rPr>
        <w:t>JBE</w:t>
      </w:r>
      <w:r w:rsidR="00174CAF" w:rsidRPr="00174CAF">
        <w:rPr>
          <w:rFonts w:asciiTheme="minorHAnsi" w:hAnsiTheme="minorHAnsi" w:cstheme="minorHAnsi"/>
          <w:sz w:val="20"/>
        </w:rPr>
        <w: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r w:rsidRPr="00F73F32">
        <w:rPr>
          <w:rFonts w:asciiTheme="minorHAnsi" w:hAnsiTheme="minorHAnsi" w:cstheme="minorHAnsi"/>
          <w:bCs/>
          <w:sz w:val="20"/>
        </w:rPr>
        <w:t xml:space="preserve"> </w:t>
      </w:r>
    </w:p>
    <w:p w14:paraId="20CDFD5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186DB8">
        <w:rPr>
          <w:rFonts w:asciiTheme="minorHAnsi" w:hAnsiTheme="minorHAnsi" w:cstheme="minorHAnsi"/>
          <w:i/>
          <w:sz w:val="20"/>
          <w:highlight w:val="yellow"/>
        </w:rPr>
        <w:t>If this Agreement resulted from a competitive solicitation, 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w:t>
      </w:r>
      <w:r w:rsidRPr="00A84B5B">
        <w:rPr>
          <w:rFonts w:asciiTheme="minorHAnsi" w:hAnsiTheme="minorHAnsi" w:cstheme="minorHAnsi"/>
          <w:sz w:val="20"/>
        </w:rPr>
        <w:lastRenderedPageBreak/>
        <w:t xml:space="preserve">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186DB8">
        <w:rPr>
          <w:rFonts w:asciiTheme="minorHAnsi" w:hAnsiTheme="minorHAnsi" w:cstheme="minorHAnsi"/>
          <w:i/>
          <w:sz w:val="20"/>
          <w:highlight w:val="yellow"/>
        </w:rPr>
        <w:t>If this Agreement is for legal services, 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Contractor shall: (</w:t>
      </w:r>
      <w:proofErr w:type="spellStart"/>
      <w:r w:rsidR="00C86BAD" w:rsidRPr="000D5FA7">
        <w:rPr>
          <w:rFonts w:asciiTheme="minorHAnsi" w:hAnsiTheme="minorHAnsi" w:cstheme="minorHAnsi"/>
          <w:sz w:val="20"/>
        </w:rPr>
        <w:t>i</w:t>
      </w:r>
      <w:proofErr w:type="spellEnd"/>
      <w:r w:rsidR="00C86BAD" w:rsidRPr="000D5FA7">
        <w:rPr>
          <w:rFonts w:asciiTheme="minorHAnsi" w:hAnsiTheme="minorHAnsi" w:cstheme="minorHAnsi"/>
          <w:sz w:val="20"/>
        </w:rPr>
        <w:t xml:space="preserve">)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w:t>
      </w:r>
      <w:proofErr w:type="gramStart"/>
      <w:r w:rsidR="00C86BAD" w:rsidRPr="00F36CB0">
        <w:rPr>
          <w:rFonts w:asciiTheme="minorHAnsi" w:hAnsiTheme="minorHAnsi" w:cstheme="minorHAnsi"/>
          <w:sz w:val="20"/>
        </w:rPr>
        <w:t>services, and</w:t>
      </w:r>
      <w:proofErr w:type="gramEnd"/>
      <w:r w:rsidR="00C86BAD" w:rsidRPr="00F36CB0">
        <w:rPr>
          <w:rFonts w:asciiTheme="minorHAnsi" w:hAnsiTheme="minorHAnsi" w:cstheme="minorHAnsi"/>
          <w:sz w:val="20"/>
        </w:rPr>
        <w:t xml:space="preserve">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3FE74258" w14:textId="33015EC0" w:rsidR="00E367B1" w:rsidRPr="000F3DAF" w:rsidRDefault="006A354E" w:rsidP="000F3DAF">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772CEEE7" w14:textId="77777777"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5BEE8518" w14:textId="77777777"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82A31">
        <w:rPr>
          <w:rFonts w:asciiTheme="minorHAnsi" w:hAnsiTheme="minorHAnsi" w:cstheme="minorHAnsi"/>
          <w:bCs/>
          <w:i/>
          <w:sz w:val="20"/>
          <w:highlight w:val="yellow"/>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lastRenderedPageBreak/>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w:t>
      </w:r>
      <w:proofErr w:type="gramStart"/>
      <w:r w:rsidR="006402DE" w:rsidRPr="006402DE">
        <w:rPr>
          <w:rFonts w:asciiTheme="minorHAnsi" w:hAnsiTheme="minorHAnsi" w:cstheme="minorHAnsi"/>
          <w:bCs/>
          <w:sz w:val="20"/>
        </w:rPr>
        <w:t>time period</w:t>
      </w:r>
      <w:proofErr w:type="gramEnd"/>
      <w:r w:rsidR="006402DE" w:rsidRPr="006402DE">
        <w:rPr>
          <w:rFonts w:asciiTheme="minorHAnsi" w:hAnsiTheme="minorHAnsi" w:cstheme="minorHAnsi"/>
          <w:bCs/>
          <w:sz w:val="20"/>
        </w:rPr>
        <w:t xml:space="preserve">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lastRenderedPageBreak/>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goods or supplies, or any other related action that is required, suggested, or otherwise deemed appropriate in the </w:t>
      </w:r>
      <w:proofErr w:type="gramStart"/>
      <w:r w:rsidRPr="00A61016">
        <w:rPr>
          <w:rFonts w:asciiTheme="minorHAnsi" w:hAnsiTheme="minorHAnsi" w:cstheme="minorHAnsi"/>
          <w:bCs/>
          <w:sz w:val="20"/>
        </w:rPr>
        <w:t>end product</w:t>
      </w:r>
      <w:proofErr w:type="gramEnd"/>
      <w:r w:rsidRPr="00A61016">
        <w:rPr>
          <w:rFonts w:asciiTheme="minorHAnsi" w:hAnsiTheme="minorHAnsi" w:cstheme="minorHAnsi"/>
          <w:bCs/>
          <w:sz w:val="20"/>
        </w:rPr>
        <w:t xml:space="preserve">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4E5DAC1C" w14:textId="77777777" w:rsidR="00A46FBE" w:rsidRPr="002B6210" w:rsidRDefault="00A46FBE" w:rsidP="002B6210">
      <w:pPr>
        <w:rPr>
          <w:rFonts w:asciiTheme="minorHAnsi" w:hAnsiTheme="minorHAnsi" w:cstheme="minorHAnsi"/>
          <w:sz w:val="20"/>
        </w:rPr>
      </w:pPr>
    </w:p>
    <w:p w14:paraId="7AA09D23" w14:textId="77777777" w:rsidR="00A46FBE" w:rsidRPr="002B6210" w:rsidRDefault="00A46FBE" w:rsidP="002B6210">
      <w:pPr>
        <w:rPr>
          <w:rFonts w:asciiTheme="minorHAnsi" w:hAnsiTheme="minorHAnsi" w:cstheme="minorHAnsi"/>
          <w:sz w:val="20"/>
        </w:rPr>
      </w:pPr>
    </w:p>
    <w:p w14:paraId="7EB9484A" w14:textId="77777777" w:rsidR="00A46FBE" w:rsidRPr="002B6210" w:rsidRDefault="00A46FBE" w:rsidP="002B6210">
      <w:pPr>
        <w:rPr>
          <w:rFonts w:asciiTheme="minorHAnsi" w:hAnsiTheme="minorHAnsi" w:cstheme="minorHAnsi"/>
          <w:sz w:val="20"/>
        </w:rPr>
      </w:pPr>
    </w:p>
    <w:p w14:paraId="25173366" w14:textId="77777777" w:rsidR="00A46FBE" w:rsidRPr="002B6210" w:rsidRDefault="00A46FBE" w:rsidP="002B6210">
      <w:pPr>
        <w:rPr>
          <w:rFonts w:asciiTheme="minorHAnsi" w:hAnsiTheme="minorHAnsi" w:cstheme="minorHAnsi"/>
          <w:sz w:val="20"/>
        </w:rPr>
      </w:pPr>
    </w:p>
    <w:p w14:paraId="061B94EB" w14:textId="77777777" w:rsidR="00A46FBE" w:rsidRPr="002B6210" w:rsidRDefault="00A46FBE" w:rsidP="002B6210">
      <w:pPr>
        <w:rPr>
          <w:rFonts w:asciiTheme="minorHAnsi" w:hAnsiTheme="minorHAnsi" w:cstheme="minorHAnsi"/>
          <w:sz w:val="20"/>
        </w:rPr>
      </w:pPr>
    </w:p>
    <w:p w14:paraId="6B2CAC12" w14:textId="77777777" w:rsidR="00A46FBE" w:rsidRPr="002B6210" w:rsidRDefault="00A46FBE" w:rsidP="002B6210">
      <w:pPr>
        <w:rPr>
          <w:rFonts w:asciiTheme="minorHAnsi" w:hAnsiTheme="minorHAnsi" w:cstheme="minorHAnsi"/>
          <w:sz w:val="20"/>
        </w:rPr>
      </w:pPr>
    </w:p>
    <w:p w14:paraId="2BD2314A" w14:textId="77777777" w:rsidR="00A46FBE" w:rsidRPr="002B6210" w:rsidRDefault="00A46FBE" w:rsidP="002B6210">
      <w:pPr>
        <w:rPr>
          <w:rFonts w:asciiTheme="minorHAnsi" w:hAnsiTheme="minorHAnsi" w:cstheme="minorHAnsi"/>
          <w:sz w:val="20"/>
        </w:rPr>
      </w:pPr>
    </w:p>
    <w:p w14:paraId="39B9BC60" w14:textId="77777777" w:rsidR="00A46FBE" w:rsidRPr="002B6210" w:rsidRDefault="00A46FBE" w:rsidP="002B6210">
      <w:pPr>
        <w:rPr>
          <w:rFonts w:asciiTheme="minorHAnsi" w:hAnsiTheme="minorHAnsi" w:cstheme="minorHAnsi"/>
          <w:sz w:val="20"/>
        </w:rPr>
      </w:pPr>
    </w:p>
    <w:p w14:paraId="257C7635" w14:textId="77777777" w:rsidR="00A46FBE" w:rsidRPr="002B6210" w:rsidRDefault="00A46FBE" w:rsidP="002B6210">
      <w:pPr>
        <w:rPr>
          <w:rFonts w:asciiTheme="minorHAnsi" w:hAnsiTheme="minorHAnsi" w:cstheme="minorHAnsi"/>
          <w:sz w:val="20"/>
        </w:rPr>
      </w:pPr>
    </w:p>
    <w:p w14:paraId="32CFA619" w14:textId="77777777" w:rsidR="00A46FBE" w:rsidRPr="002B6210" w:rsidRDefault="00A46FBE" w:rsidP="002B6210">
      <w:pPr>
        <w:rPr>
          <w:rFonts w:asciiTheme="minorHAnsi" w:hAnsiTheme="minorHAnsi" w:cstheme="minorHAnsi"/>
          <w:sz w:val="20"/>
        </w:rPr>
      </w:pPr>
    </w:p>
    <w:p w14:paraId="6323D490" w14:textId="77777777" w:rsidR="00A46FBE" w:rsidRPr="002B6210" w:rsidRDefault="00A46FBE" w:rsidP="002B6210">
      <w:pPr>
        <w:rPr>
          <w:rFonts w:asciiTheme="minorHAnsi" w:hAnsiTheme="minorHAnsi" w:cstheme="minorHAnsi"/>
          <w:sz w:val="20"/>
        </w:rPr>
      </w:pPr>
    </w:p>
    <w:p w14:paraId="709E7D17" w14:textId="77777777" w:rsidR="00A46FBE" w:rsidRPr="002B6210" w:rsidRDefault="00A46FBE" w:rsidP="002B6210">
      <w:pPr>
        <w:rPr>
          <w:rFonts w:asciiTheme="minorHAnsi" w:hAnsiTheme="minorHAnsi" w:cstheme="minorHAnsi"/>
          <w:sz w:val="20"/>
        </w:rPr>
      </w:pPr>
    </w:p>
    <w:p w14:paraId="0B31C0F6" w14:textId="77777777" w:rsidR="00A46FBE" w:rsidRPr="002B6210"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21"/>
          <w:footerReference w:type="first" r:id="rId22"/>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2B1DBCED" w14:textId="77777777"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lastRenderedPageBreak/>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Pursuant to Public Contract Code (PCC) section 2010, the following certifications must be provided when (</w:t>
      </w:r>
      <w:proofErr w:type="spellStart"/>
      <w:r w:rsidRPr="00C337CA">
        <w:rPr>
          <w:rFonts w:cs="Arial"/>
          <w:sz w:val="20"/>
        </w:rPr>
        <w:t>i</w:t>
      </w:r>
      <w:proofErr w:type="spellEnd"/>
      <w:r w:rsidRPr="00C337CA">
        <w:rPr>
          <w:rFonts w:cs="Arial"/>
          <w:sz w:val="20"/>
        </w:rPr>
        <w:t xml:space="preserve">)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 xml:space="preserve">Contractor </w:t>
      </w:r>
      <w:proofErr w:type="gramStart"/>
      <w:r w:rsidR="00AC2E92">
        <w:rPr>
          <w:rFonts w:cs="Arial"/>
          <w:sz w:val="20"/>
        </w:rPr>
        <w:t>is</w:t>
      </w:r>
      <w:r w:rsidRPr="00C337CA">
        <w:rPr>
          <w:rFonts w:cs="Arial"/>
          <w:sz w:val="20"/>
        </w:rPr>
        <w:t xml:space="preserve"> in compliance with</w:t>
      </w:r>
      <w:proofErr w:type="gramEnd"/>
      <w:r w:rsidRPr="00C337CA">
        <w:rPr>
          <w:rFonts w:cs="Arial"/>
          <w:sz w:val="20"/>
        </w:rPr>
        <w:t xml:space="preserve"> the Unruh Civil Rights Act (Section 51 of the Civil Code);</w:t>
      </w:r>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ED2129">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ED2129">
            <w:pPr>
              <w:keepNext/>
              <w:spacing w:line="480" w:lineRule="auto"/>
              <w:rPr>
                <w:rFonts w:cs="Arial"/>
                <w:sz w:val="20"/>
              </w:rPr>
            </w:pPr>
            <w:r w:rsidRPr="00C337CA">
              <w:rPr>
                <w:rFonts w:cs="Arial"/>
                <w:i/>
                <w:iCs/>
                <w:sz w:val="20"/>
              </w:rPr>
              <w:t>Federal ID Number </w:t>
            </w:r>
          </w:p>
        </w:tc>
      </w:tr>
      <w:tr w:rsidR="00C337CA" w:rsidRPr="00C337CA" w14:paraId="0358BF68"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ED2129">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ED2129">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ED2129">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ED2129">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ED2129">
            <w:pPr>
              <w:keepNext/>
              <w:rPr>
                <w:rFonts w:cs="Arial"/>
                <w:sz w:val="20"/>
              </w:rPr>
            </w:pPr>
          </w:p>
        </w:tc>
      </w:tr>
    </w:tbl>
    <w:p w14:paraId="5AE4A470" w14:textId="77777777" w:rsidR="00C337CA" w:rsidRPr="00C337CA" w:rsidRDefault="00C337CA" w:rsidP="00C337CA">
      <w:pPr>
        <w:rPr>
          <w:rFonts w:asciiTheme="minorHAnsi" w:hAnsiTheme="minorHAnsi" w:cstheme="minorHAnsi"/>
          <w:sz w:val="20"/>
          <w:lang w:bidi="en-US"/>
        </w:rPr>
      </w:pPr>
    </w:p>
    <w:p w14:paraId="10855194" w14:textId="77777777" w:rsidR="009C3D22" w:rsidRPr="00C337CA" w:rsidRDefault="009C3D22" w:rsidP="005C5777">
      <w:pPr>
        <w:pStyle w:val="BodyText"/>
        <w:spacing w:before="120" w:after="120" w:line="240" w:lineRule="auto"/>
        <w:rPr>
          <w:rFonts w:asciiTheme="minorHAnsi" w:hAnsiTheme="minorHAnsi" w:cstheme="minorHAnsi"/>
          <w:sz w:val="20"/>
        </w:rPr>
      </w:pPr>
    </w:p>
    <w:p w14:paraId="65975C07" w14:textId="77777777" w:rsidR="009C3D22" w:rsidRPr="00C337CA" w:rsidRDefault="009C3D22" w:rsidP="005C5777">
      <w:pPr>
        <w:pStyle w:val="BodyText"/>
        <w:spacing w:before="120" w:after="120" w:line="240" w:lineRule="auto"/>
        <w:rPr>
          <w:rFonts w:asciiTheme="minorHAnsi" w:hAnsiTheme="minorHAnsi" w:cstheme="minorHAnsi"/>
          <w:sz w:val="20"/>
        </w:rPr>
      </w:pPr>
    </w:p>
    <w:p w14:paraId="7AB25A65"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BD96E" w14:textId="77777777" w:rsidR="0025289F" w:rsidRDefault="0025289F" w:rsidP="00437785">
      <w:r>
        <w:separator/>
      </w:r>
    </w:p>
  </w:endnote>
  <w:endnote w:type="continuationSeparator" w:id="0">
    <w:p w14:paraId="3C464EEB" w14:textId="77777777" w:rsidR="0025289F" w:rsidRDefault="0025289F"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2D1AD" w14:textId="70C46A60" w:rsidR="00896EE8" w:rsidRDefault="00BF2D45" w:rsidP="00896EE8">
    <w:pPr>
      <w:pStyle w:val="Footer"/>
      <w:jc w:val="right"/>
    </w:pPr>
    <w:r>
      <w:rPr>
        <w:sz w:val="16"/>
        <w:szCs w:val="16"/>
      </w:rPr>
      <w:t xml:space="preserve">rev </w:t>
    </w:r>
    <w:r w:rsidR="005E764F">
      <w:rPr>
        <w:sz w:val="16"/>
        <w:szCs w:val="16"/>
      </w:rPr>
      <w:t>July 201</w:t>
    </w:r>
    <w:r w:rsidR="00282A73">
      <w:rPr>
        <w:sz w:val="16"/>
        <w:szCs w:val="16"/>
      </w:rPr>
      <w:t>8</w:t>
    </w:r>
    <w:r w:rsidR="00896EE8">
      <w:rPr>
        <w:b/>
        <w:sz w:val="16"/>
        <w:szCs w:val="16"/>
      </w:rPr>
      <w:tab/>
    </w:r>
    <w:r w:rsidR="00896EE8">
      <w:rPr>
        <w:b/>
        <w:sz w:val="16"/>
        <w:szCs w:val="16"/>
      </w:rPr>
      <w:tab/>
    </w:r>
  </w:p>
  <w:p w14:paraId="12629BF0" w14:textId="77777777" w:rsidR="003B4F33" w:rsidRDefault="003B4F3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w:t>
    </w:r>
    <w:proofErr w:type="gramStart"/>
    <w:r w:rsidR="009B5E10">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016176"/>
      <w:docPartObj>
        <w:docPartGallery w:val="Page Numbers (Bottom of Page)"/>
        <w:docPartUnique/>
      </w:docPartObj>
    </w:sdtPr>
    <w:sdtEndPr>
      <w:rPr>
        <w:noProof/>
        <w:sz w:val="20"/>
      </w:rPr>
    </w:sdtEndPr>
    <w:sdtContent>
      <w:p w14:paraId="6D508DF5" w14:textId="708AA18C" w:rsidR="00142B4F" w:rsidRPr="006E52DA" w:rsidRDefault="00142B4F">
        <w:pPr>
          <w:pStyle w:val="Footer"/>
          <w:jc w:val="right"/>
          <w:rPr>
            <w:sz w:val="20"/>
          </w:rPr>
        </w:pPr>
        <w:r w:rsidRPr="006E52DA">
          <w:rPr>
            <w:sz w:val="20"/>
          </w:rPr>
          <w:t xml:space="preserve">Page </w:t>
        </w:r>
        <w:r w:rsidRPr="006E52DA">
          <w:rPr>
            <w:sz w:val="20"/>
          </w:rPr>
          <w:fldChar w:fldCharType="begin"/>
        </w:r>
        <w:r w:rsidRPr="006E52DA">
          <w:rPr>
            <w:sz w:val="20"/>
          </w:rPr>
          <w:instrText xml:space="preserve"> PAGE   \* MERGEFORMAT </w:instrText>
        </w:r>
        <w:r w:rsidRPr="006E52DA">
          <w:rPr>
            <w:sz w:val="20"/>
          </w:rPr>
          <w:fldChar w:fldCharType="separate"/>
        </w:r>
        <w:r w:rsidRPr="006E52DA">
          <w:rPr>
            <w:noProof/>
            <w:sz w:val="20"/>
          </w:rPr>
          <w:t>2</w:t>
        </w:r>
        <w:r w:rsidRPr="006E52DA">
          <w:rPr>
            <w:noProof/>
            <w:sz w:val="20"/>
          </w:rPr>
          <w:fldChar w:fldCharType="end"/>
        </w:r>
        <w:r w:rsidRPr="006E52DA">
          <w:rPr>
            <w:noProof/>
            <w:sz w:val="20"/>
          </w:rPr>
          <w:t xml:space="preserve"> of 1</w:t>
        </w:r>
      </w:p>
    </w:sdtContent>
  </w:sdt>
  <w:p w14:paraId="18ED30BF" w14:textId="0DF78FB3" w:rsidR="008953BE" w:rsidRPr="008953BE" w:rsidRDefault="008953BE">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BC95F" w14:textId="6642A509" w:rsidR="00001542" w:rsidRDefault="00001542" w:rsidP="00896EE8">
    <w:pPr>
      <w:pStyle w:val="Footer"/>
      <w:jc w:val="right"/>
    </w:pPr>
    <w:r>
      <w:rPr>
        <w:sz w:val="16"/>
        <w:szCs w:val="16"/>
      </w:rPr>
      <w:t xml:space="preserve">rev </w:t>
    </w:r>
    <w:r w:rsidR="005E764F">
      <w:rPr>
        <w:sz w:val="16"/>
        <w:szCs w:val="16"/>
      </w:rPr>
      <w:t>July 201</w:t>
    </w:r>
    <w:r w:rsidR="00A10988">
      <w:rPr>
        <w:sz w:val="16"/>
        <w:szCs w:val="16"/>
      </w:rPr>
      <w:t>8</w:t>
    </w:r>
    <w:r>
      <w:rPr>
        <w:b/>
        <w:sz w:val="16"/>
        <w:szCs w:val="16"/>
      </w:rPr>
      <w:tab/>
    </w:r>
    <w:r>
      <w:rPr>
        <w:b/>
        <w:sz w:val="16"/>
        <w:szCs w:val="16"/>
      </w:rPr>
      <w:tab/>
    </w:r>
    <w:sdt>
      <w:sdtPr>
        <w:rPr>
          <w:szCs w:val="24"/>
        </w:rPr>
        <w:id w:val="17147072"/>
        <w:docPartObj>
          <w:docPartGallery w:val="Page Numbers (Bottom of Page)"/>
          <w:docPartUnique/>
        </w:docPartObj>
      </w:sdtPr>
      <w:sdtEndPr/>
      <w:sdtContent>
        <w:r w:rsidRPr="00D06F60">
          <w:rPr>
            <w:szCs w:val="24"/>
          </w:rPr>
          <w:t>A-</w:t>
        </w:r>
        <w:r w:rsidR="00E5363C" w:rsidRPr="00D06F60">
          <w:rPr>
            <w:szCs w:val="24"/>
          </w:rPr>
          <w:fldChar w:fldCharType="begin"/>
        </w:r>
        <w:r w:rsidR="00E5363C" w:rsidRPr="00D06F60">
          <w:rPr>
            <w:szCs w:val="24"/>
          </w:rPr>
          <w:instrText xml:space="preserve"> PAGE   \* MERGEFORMAT </w:instrText>
        </w:r>
        <w:r w:rsidR="00E5363C" w:rsidRPr="00D06F60">
          <w:rPr>
            <w:szCs w:val="24"/>
          </w:rPr>
          <w:fldChar w:fldCharType="separate"/>
        </w:r>
        <w:r w:rsidR="008723E8" w:rsidRPr="00D06F60">
          <w:rPr>
            <w:noProof/>
            <w:szCs w:val="24"/>
          </w:rPr>
          <w:t>4</w:t>
        </w:r>
        <w:r w:rsidR="00E5363C" w:rsidRPr="00D06F60">
          <w:rPr>
            <w:noProof/>
            <w:szCs w:val="24"/>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A503" w14:textId="6758274C" w:rsidR="00001542" w:rsidRPr="008953BE" w:rsidRDefault="00001542" w:rsidP="00142B4F">
    <w:pPr>
      <w:pStyle w:val="Footer"/>
      <w:jc w:val="right"/>
      <w:rPr>
        <w:sz w:val="16"/>
        <w:szCs w:val="16"/>
      </w:rPr>
    </w:pPr>
    <w:r w:rsidRPr="008953BE">
      <w:rPr>
        <w:sz w:val="16"/>
        <w:szCs w:val="16"/>
      </w:rPr>
      <w:t xml:space="preserve">rev. </w:t>
    </w:r>
    <w:r w:rsidR="00E51021">
      <w:rPr>
        <w:sz w:val="16"/>
        <w:szCs w:val="16"/>
      </w:rPr>
      <w:t>July</w:t>
    </w:r>
    <w:r w:rsidR="00A46FBE">
      <w:rPr>
        <w:sz w:val="16"/>
        <w:szCs w:val="16"/>
      </w:rPr>
      <w:t xml:space="preserve"> </w:t>
    </w:r>
    <w:r w:rsidR="00E51021">
      <w:rPr>
        <w:sz w:val="16"/>
        <w:szCs w:val="16"/>
      </w:rPr>
      <w:t>201</w:t>
    </w:r>
    <w:r w:rsidR="00A10988">
      <w:rPr>
        <w:sz w:val="16"/>
        <w:szCs w:val="16"/>
      </w:rPr>
      <w:t>8</w:t>
    </w:r>
    <w:r>
      <w:rPr>
        <w:sz w:val="16"/>
        <w:szCs w:val="16"/>
      </w:rPr>
      <w:t xml:space="preserve">                                                                                                                                              </w:t>
    </w:r>
    <w:r w:rsidRPr="00000725">
      <w:rPr>
        <w:szCs w:val="24"/>
      </w:rPr>
      <w:t>A-</w:t>
    </w:r>
    <w:r w:rsidR="001975EC" w:rsidRPr="00000725">
      <w:rPr>
        <w:szCs w:val="24"/>
      </w:rPr>
      <w:fldChar w:fldCharType="begin"/>
    </w:r>
    <w:r w:rsidRPr="00000725">
      <w:rPr>
        <w:szCs w:val="24"/>
      </w:rPr>
      <w:instrText xml:space="preserve"> PAGE   \* MERGEFORMAT </w:instrText>
    </w:r>
    <w:r w:rsidR="001975EC" w:rsidRPr="00000725">
      <w:rPr>
        <w:szCs w:val="24"/>
      </w:rPr>
      <w:fldChar w:fldCharType="separate"/>
    </w:r>
    <w:r w:rsidR="008723E8" w:rsidRPr="00000725">
      <w:rPr>
        <w:noProof/>
        <w:szCs w:val="24"/>
      </w:rPr>
      <w:t>1</w:t>
    </w:r>
    <w:r w:rsidR="001975EC" w:rsidRPr="00000725">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8407" w14:textId="050BC22C" w:rsidR="00896EE8" w:rsidRDefault="00896EE8" w:rsidP="00896EE8">
    <w:pPr>
      <w:pStyle w:val="Footer"/>
      <w:jc w:val="right"/>
    </w:pPr>
    <w:r>
      <w:rPr>
        <w:sz w:val="16"/>
        <w:szCs w:val="16"/>
      </w:rPr>
      <w:t xml:space="preserve">rev </w:t>
    </w:r>
    <w:r w:rsidR="005E764F">
      <w:rPr>
        <w:sz w:val="16"/>
        <w:szCs w:val="16"/>
      </w:rPr>
      <w:t>July 201</w:t>
    </w:r>
    <w:r w:rsidR="00A10988">
      <w:rPr>
        <w:sz w:val="16"/>
        <w:szCs w:val="16"/>
      </w:rPr>
      <w:t>8</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723E8">
          <w:rPr>
            <w:noProof/>
          </w:rPr>
          <w:t>2</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9529" w14:textId="77777777" w:rsidR="001524A0" w:rsidRDefault="001524A0"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3FA65" w14:textId="7CBAAEDE" w:rsidR="00896EE8" w:rsidRDefault="00BF2D45" w:rsidP="00896EE8">
    <w:pPr>
      <w:pStyle w:val="Footer"/>
      <w:jc w:val="right"/>
    </w:pPr>
    <w:r>
      <w:rPr>
        <w:sz w:val="16"/>
        <w:szCs w:val="16"/>
      </w:rPr>
      <w:t xml:space="preserve">rev </w:t>
    </w:r>
    <w:r w:rsidR="005E764F">
      <w:rPr>
        <w:sz w:val="16"/>
        <w:szCs w:val="16"/>
      </w:rPr>
      <w:t>July 201</w:t>
    </w:r>
    <w:r w:rsidR="00282A73">
      <w:rPr>
        <w:sz w:val="16"/>
        <w:szCs w:val="16"/>
      </w:rPr>
      <w:t>8</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723E8">
          <w:rPr>
            <w:noProof/>
          </w:rPr>
          <w:t>10</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42721" w14:textId="52507E3C" w:rsidR="00896EE8" w:rsidRDefault="00BF2D45" w:rsidP="00896EE8">
    <w:pPr>
      <w:pStyle w:val="Footer"/>
      <w:jc w:val="right"/>
    </w:pPr>
    <w:r>
      <w:rPr>
        <w:sz w:val="16"/>
        <w:szCs w:val="16"/>
      </w:rPr>
      <w:t xml:space="preserve">rev </w:t>
    </w:r>
    <w:r w:rsidR="005E764F">
      <w:rPr>
        <w:sz w:val="16"/>
        <w:szCs w:val="16"/>
      </w:rPr>
      <w:t>July 201</w:t>
    </w:r>
    <w:r w:rsidR="00A10988">
      <w:rPr>
        <w:sz w:val="16"/>
        <w:szCs w:val="16"/>
      </w:rPr>
      <w:t>8</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723E8">
          <w:rPr>
            <w:noProof/>
          </w:rPr>
          <w:t>1</w:t>
        </w:r>
        <w:r w:rsidR="00E5363C">
          <w:rPr>
            <w:noProof/>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57DCC" w14:textId="77777777" w:rsidR="0025289F" w:rsidRDefault="0025289F" w:rsidP="00437785">
      <w:r>
        <w:separator/>
      </w:r>
    </w:p>
  </w:footnote>
  <w:footnote w:type="continuationSeparator" w:id="0">
    <w:p w14:paraId="3BBCAAA1" w14:textId="77777777" w:rsidR="0025289F" w:rsidRDefault="0025289F"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802E7" w14:textId="77777777" w:rsidR="003B4F33" w:rsidRPr="003B3C0B" w:rsidRDefault="003B4F33" w:rsidP="003B3C0B">
    <w:pPr>
      <w:ind w:left="-86"/>
      <w:rPr>
        <w:rFonts w:asciiTheme="minorHAnsi" w:eastAsia="Times New Roman" w:hAnsiTheme="minorHAnsi" w:cstheme="minorHAnsi"/>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7F7D2" w14:textId="77777777" w:rsidR="00ED2609" w:rsidRPr="003E52BA" w:rsidRDefault="00ED2609" w:rsidP="009263F4">
    <w:pPr>
      <w:ind w:left="-86"/>
      <w:rPr>
        <w:rFonts w:asciiTheme="minorHAnsi" w:eastAsia="Times New Roman" w:hAnsiTheme="minorHAnsi" w:cstheme="minorHAnsi"/>
        <w:i/>
        <w:sz w:val="16"/>
        <w:szCs w:val="16"/>
      </w:rPr>
    </w:pPr>
    <w:bookmarkStart w:id="6" w:name="_Hlk15370632"/>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bookmarkEnd w:id="6"/>
  <w:p w14:paraId="49CAD502" w14:textId="77777777" w:rsidR="00ED2609" w:rsidRDefault="00ED2609">
    <w:pPr>
      <w:ind w:left="-86"/>
      <w:rPr>
        <w:rFonts w:ascii="Arial" w:eastAsia="Times New Roman" w:hAnsi="Arial"/>
        <w:b/>
        <w:sz w:val="22"/>
      </w:rPr>
    </w:pPr>
  </w:p>
  <w:p w14:paraId="055A7D88" w14:textId="77777777" w:rsidR="00ED2609" w:rsidRPr="000D2618" w:rsidRDefault="00ED2609" w:rsidP="000D26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1C9D9" w14:textId="77777777" w:rsidR="00ED2609" w:rsidRPr="003E52BA" w:rsidRDefault="00ED2609" w:rsidP="00ED2609">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54494E04" w14:textId="77777777" w:rsidR="00ED2609" w:rsidRPr="003B3C0B" w:rsidRDefault="00ED2609"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37D8"/>
    <w:multiLevelType w:val="hybridMultilevel"/>
    <w:tmpl w:val="527E148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B715208"/>
    <w:multiLevelType w:val="multilevel"/>
    <w:tmpl w:val="88209B8E"/>
    <w:lvl w:ilvl="0">
      <w:start w:val="1"/>
      <w:numFmt w:val="decimal"/>
      <w:lvlText w:val="%1.0"/>
      <w:lvlJc w:val="left"/>
      <w:pPr>
        <w:ind w:left="-720" w:hanging="720"/>
      </w:pPr>
      <w:rPr>
        <w:rFonts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8"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3"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4320733"/>
    <w:multiLevelType w:val="hybridMultilevel"/>
    <w:tmpl w:val="A54CDD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1"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55877511"/>
    <w:multiLevelType w:val="multilevel"/>
    <w:tmpl w:val="2528CB18"/>
    <w:numStyleLink w:val="MOUList"/>
  </w:abstractNum>
  <w:abstractNum w:abstractNumId="25" w15:restartNumberingAfterBreak="0">
    <w:nsid w:val="574A032E"/>
    <w:multiLevelType w:val="hybridMultilevel"/>
    <w:tmpl w:val="79D2C9B6"/>
    <w:lvl w:ilvl="0" w:tplc="04090005">
      <w:start w:val="1"/>
      <w:numFmt w:val="bullet"/>
      <w:lvlText w:val=""/>
      <w:lvlJc w:val="left"/>
      <w:pPr>
        <w:ind w:left="1656" w:hanging="360"/>
      </w:pPr>
      <w:rPr>
        <w:rFonts w:ascii="Wingdings" w:hAnsi="Wingdings"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6"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9"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0"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3"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10"/>
  </w:num>
  <w:num w:numId="2">
    <w:abstractNumId w:val="7"/>
  </w:num>
  <w:num w:numId="3">
    <w:abstractNumId w:val="28"/>
  </w:num>
  <w:num w:numId="4">
    <w:abstractNumId w:val="13"/>
  </w:num>
  <w:num w:numId="5">
    <w:abstractNumId w:val="9"/>
  </w:num>
  <w:num w:numId="6">
    <w:abstractNumId w:val="5"/>
  </w:num>
  <w:num w:numId="7">
    <w:abstractNumId w:val="18"/>
  </w:num>
  <w:num w:numId="8">
    <w:abstractNumId w:val="19"/>
  </w:num>
  <w:num w:numId="9">
    <w:abstractNumId w:val="4"/>
  </w:num>
  <w:num w:numId="10">
    <w:abstractNumId w:val="22"/>
  </w:num>
  <w:num w:numId="11">
    <w:abstractNumId w:val="3"/>
  </w:num>
  <w:num w:numId="12">
    <w:abstractNumId w:val="26"/>
  </w:num>
  <w:num w:numId="13">
    <w:abstractNumId w:val="30"/>
  </w:num>
  <w:num w:numId="14">
    <w:abstractNumId w:val="29"/>
  </w:num>
  <w:num w:numId="15">
    <w:abstractNumId w:val="2"/>
  </w:num>
  <w:num w:numId="16">
    <w:abstractNumId w:val="1"/>
  </w:num>
  <w:num w:numId="1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5"/>
  </w:num>
  <w:num w:numId="20">
    <w:abstractNumId w:val="27"/>
  </w:num>
  <w:num w:numId="21">
    <w:abstractNumId w:val="14"/>
  </w:num>
  <w:num w:numId="22">
    <w:abstractNumId w:val="11"/>
  </w:num>
  <w:num w:numId="23">
    <w:abstractNumId w:val="17"/>
  </w:num>
  <w:num w:numId="24">
    <w:abstractNumId w:val="12"/>
  </w:num>
  <w:num w:numId="25">
    <w:abstractNumId w:val="31"/>
  </w:num>
  <w:num w:numId="26">
    <w:abstractNumId w:val="21"/>
  </w:num>
  <w:num w:numId="27">
    <w:abstractNumId w:val="24"/>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3"/>
  </w:num>
  <w:num w:numId="29">
    <w:abstractNumId w:val="32"/>
  </w:num>
  <w:num w:numId="30">
    <w:abstractNumId w:val="8"/>
  </w:num>
  <w:num w:numId="31">
    <w:abstractNumId w:val="6"/>
  </w:num>
  <w:num w:numId="32">
    <w:abstractNumId w:val="16"/>
  </w:num>
  <w:num w:numId="33">
    <w:abstractNumId w:val="0"/>
  </w:num>
  <w:num w:numId="34">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72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1BD3"/>
    <w:rsid w:val="0004230B"/>
    <w:rsid w:val="00042C33"/>
    <w:rsid w:val="00044772"/>
    <w:rsid w:val="0004499B"/>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96DF1"/>
    <w:rsid w:val="00097A1A"/>
    <w:rsid w:val="000A24AD"/>
    <w:rsid w:val="000A3349"/>
    <w:rsid w:val="000A44C5"/>
    <w:rsid w:val="000A55E2"/>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3DAF"/>
    <w:rsid w:val="000F46CB"/>
    <w:rsid w:val="000F46FE"/>
    <w:rsid w:val="00100700"/>
    <w:rsid w:val="00101134"/>
    <w:rsid w:val="00103ACF"/>
    <w:rsid w:val="001046A6"/>
    <w:rsid w:val="0010523B"/>
    <w:rsid w:val="00111C4D"/>
    <w:rsid w:val="00113136"/>
    <w:rsid w:val="00115EF4"/>
    <w:rsid w:val="00120596"/>
    <w:rsid w:val="001205BF"/>
    <w:rsid w:val="00122651"/>
    <w:rsid w:val="001267AC"/>
    <w:rsid w:val="00127293"/>
    <w:rsid w:val="0012785C"/>
    <w:rsid w:val="00127E74"/>
    <w:rsid w:val="00132A64"/>
    <w:rsid w:val="001338FE"/>
    <w:rsid w:val="00133C8F"/>
    <w:rsid w:val="00133DDE"/>
    <w:rsid w:val="00134BA5"/>
    <w:rsid w:val="00142A64"/>
    <w:rsid w:val="00142B4F"/>
    <w:rsid w:val="00144EF7"/>
    <w:rsid w:val="0014500D"/>
    <w:rsid w:val="00146395"/>
    <w:rsid w:val="00146BA3"/>
    <w:rsid w:val="00150E36"/>
    <w:rsid w:val="00150FE1"/>
    <w:rsid w:val="001524A0"/>
    <w:rsid w:val="00152846"/>
    <w:rsid w:val="00152E34"/>
    <w:rsid w:val="00153C8D"/>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6DB8"/>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4B8"/>
    <w:rsid w:val="00204BFF"/>
    <w:rsid w:val="0020756C"/>
    <w:rsid w:val="00207CAC"/>
    <w:rsid w:val="0021599C"/>
    <w:rsid w:val="00222C95"/>
    <w:rsid w:val="002237DE"/>
    <w:rsid w:val="00224C85"/>
    <w:rsid w:val="00230C9B"/>
    <w:rsid w:val="00231581"/>
    <w:rsid w:val="00232192"/>
    <w:rsid w:val="00233756"/>
    <w:rsid w:val="0023478D"/>
    <w:rsid w:val="0023667C"/>
    <w:rsid w:val="00241E02"/>
    <w:rsid w:val="00245806"/>
    <w:rsid w:val="002464F0"/>
    <w:rsid w:val="00251F8F"/>
    <w:rsid w:val="0025289F"/>
    <w:rsid w:val="00252FCB"/>
    <w:rsid w:val="00253223"/>
    <w:rsid w:val="00266469"/>
    <w:rsid w:val="00270F4F"/>
    <w:rsid w:val="00271B8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0E6F"/>
    <w:rsid w:val="002B13F1"/>
    <w:rsid w:val="002B170E"/>
    <w:rsid w:val="002B6210"/>
    <w:rsid w:val="002B6BEC"/>
    <w:rsid w:val="002B7412"/>
    <w:rsid w:val="002C0630"/>
    <w:rsid w:val="002C27DF"/>
    <w:rsid w:val="002C3EAE"/>
    <w:rsid w:val="002C4401"/>
    <w:rsid w:val="002C6335"/>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2F61"/>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4AB1"/>
    <w:rsid w:val="00335894"/>
    <w:rsid w:val="00335EE5"/>
    <w:rsid w:val="003361AC"/>
    <w:rsid w:val="00337619"/>
    <w:rsid w:val="003420F5"/>
    <w:rsid w:val="00343498"/>
    <w:rsid w:val="00343C28"/>
    <w:rsid w:val="003507F1"/>
    <w:rsid w:val="00350C47"/>
    <w:rsid w:val="0035290D"/>
    <w:rsid w:val="00353038"/>
    <w:rsid w:val="003569D8"/>
    <w:rsid w:val="003579EC"/>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61F7"/>
    <w:rsid w:val="00387F13"/>
    <w:rsid w:val="00391DD1"/>
    <w:rsid w:val="00392AC3"/>
    <w:rsid w:val="00396831"/>
    <w:rsid w:val="003968D3"/>
    <w:rsid w:val="003971C7"/>
    <w:rsid w:val="003A1C4D"/>
    <w:rsid w:val="003A254A"/>
    <w:rsid w:val="003A4EAB"/>
    <w:rsid w:val="003B04F6"/>
    <w:rsid w:val="003B08BC"/>
    <w:rsid w:val="003B10D9"/>
    <w:rsid w:val="003B1D70"/>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A05"/>
    <w:rsid w:val="00402D43"/>
    <w:rsid w:val="00405381"/>
    <w:rsid w:val="00412133"/>
    <w:rsid w:val="00417572"/>
    <w:rsid w:val="00417B3C"/>
    <w:rsid w:val="00420271"/>
    <w:rsid w:val="004224F0"/>
    <w:rsid w:val="00422FF5"/>
    <w:rsid w:val="0042524F"/>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E5B69"/>
    <w:rsid w:val="004F7C4E"/>
    <w:rsid w:val="00502D4E"/>
    <w:rsid w:val="00504C57"/>
    <w:rsid w:val="005075E3"/>
    <w:rsid w:val="005129C0"/>
    <w:rsid w:val="00513347"/>
    <w:rsid w:val="00513F73"/>
    <w:rsid w:val="00524487"/>
    <w:rsid w:val="00524AF9"/>
    <w:rsid w:val="005257B0"/>
    <w:rsid w:val="005264AE"/>
    <w:rsid w:val="00530507"/>
    <w:rsid w:val="005316F2"/>
    <w:rsid w:val="00531ACF"/>
    <w:rsid w:val="00531BE0"/>
    <w:rsid w:val="00535786"/>
    <w:rsid w:val="005361A7"/>
    <w:rsid w:val="005365C6"/>
    <w:rsid w:val="005367DD"/>
    <w:rsid w:val="00537F13"/>
    <w:rsid w:val="00543978"/>
    <w:rsid w:val="00543A67"/>
    <w:rsid w:val="00547188"/>
    <w:rsid w:val="0055258A"/>
    <w:rsid w:val="0055280C"/>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3D7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16485"/>
    <w:rsid w:val="00632B03"/>
    <w:rsid w:val="00632E5F"/>
    <w:rsid w:val="00634BB6"/>
    <w:rsid w:val="006402DE"/>
    <w:rsid w:val="00642075"/>
    <w:rsid w:val="00642B89"/>
    <w:rsid w:val="0064401C"/>
    <w:rsid w:val="00644282"/>
    <w:rsid w:val="00651DC8"/>
    <w:rsid w:val="00653CC7"/>
    <w:rsid w:val="00654308"/>
    <w:rsid w:val="00656961"/>
    <w:rsid w:val="00660C37"/>
    <w:rsid w:val="00662012"/>
    <w:rsid w:val="006643D8"/>
    <w:rsid w:val="00664624"/>
    <w:rsid w:val="00665E2F"/>
    <w:rsid w:val="0066703F"/>
    <w:rsid w:val="00667507"/>
    <w:rsid w:val="006753E3"/>
    <w:rsid w:val="00676136"/>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2DA"/>
    <w:rsid w:val="006E5AFD"/>
    <w:rsid w:val="006E75AB"/>
    <w:rsid w:val="006E7AB0"/>
    <w:rsid w:val="006F2DEF"/>
    <w:rsid w:val="006F36FB"/>
    <w:rsid w:val="006F4CE0"/>
    <w:rsid w:val="006F4F71"/>
    <w:rsid w:val="006F5BD5"/>
    <w:rsid w:val="0070078B"/>
    <w:rsid w:val="00701788"/>
    <w:rsid w:val="0070246D"/>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35AC"/>
    <w:rsid w:val="00805AD1"/>
    <w:rsid w:val="00806F13"/>
    <w:rsid w:val="00807BC8"/>
    <w:rsid w:val="00810509"/>
    <w:rsid w:val="008110B5"/>
    <w:rsid w:val="008114BC"/>
    <w:rsid w:val="00813FB6"/>
    <w:rsid w:val="00814FE4"/>
    <w:rsid w:val="00816704"/>
    <w:rsid w:val="0081736F"/>
    <w:rsid w:val="00830720"/>
    <w:rsid w:val="008309EC"/>
    <w:rsid w:val="00830CC5"/>
    <w:rsid w:val="008326D6"/>
    <w:rsid w:val="00832795"/>
    <w:rsid w:val="008331E4"/>
    <w:rsid w:val="00836598"/>
    <w:rsid w:val="00836CBD"/>
    <w:rsid w:val="008459D6"/>
    <w:rsid w:val="008466AF"/>
    <w:rsid w:val="00846E22"/>
    <w:rsid w:val="00851AB8"/>
    <w:rsid w:val="00852252"/>
    <w:rsid w:val="00853E93"/>
    <w:rsid w:val="00855D01"/>
    <w:rsid w:val="0086161A"/>
    <w:rsid w:val="00863D67"/>
    <w:rsid w:val="0086409C"/>
    <w:rsid w:val="008643CA"/>
    <w:rsid w:val="00864894"/>
    <w:rsid w:val="008648B6"/>
    <w:rsid w:val="00864FD0"/>
    <w:rsid w:val="00866E99"/>
    <w:rsid w:val="008723E8"/>
    <w:rsid w:val="008758B9"/>
    <w:rsid w:val="00875E33"/>
    <w:rsid w:val="00876F69"/>
    <w:rsid w:val="00877076"/>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58E0"/>
    <w:rsid w:val="008E642A"/>
    <w:rsid w:val="008E69D0"/>
    <w:rsid w:val="008F1B64"/>
    <w:rsid w:val="008F1CA8"/>
    <w:rsid w:val="008F47FB"/>
    <w:rsid w:val="008F7E48"/>
    <w:rsid w:val="009041E6"/>
    <w:rsid w:val="0090613B"/>
    <w:rsid w:val="0090769D"/>
    <w:rsid w:val="0090796F"/>
    <w:rsid w:val="00910A29"/>
    <w:rsid w:val="009131B5"/>
    <w:rsid w:val="0091330D"/>
    <w:rsid w:val="00917C64"/>
    <w:rsid w:val="0092477C"/>
    <w:rsid w:val="00925FEE"/>
    <w:rsid w:val="009263E4"/>
    <w:rsid w:val="009263F4"/>
    <w:rsid w:val="00926411"/>
    <w:rsid w:val="00927784"/>
    <w:rsid w:val="00927DC6"/>
    <w:rsid w:val="00932B9E"/>
    <w:rsid w:val="009330F5"/>
    <w:rsid w:val="009341F2"/>
    <w:rsid w:val="0094285C"/>
    <w:rsid w:val="00942B7D"/>
    <w:rsid w:val="00943099"/>
    <w:rsid w:val="00945E3C"/>
    <w:rsid w:val="0094612E"/>
    <w:rsid w:val="00946D91"/>
    <w:rsid w:val="0094727C"/>
    <w:rsid w:val="0095116E"/>
    <w:rsid w:val="009517F2"/>
    <w:rsid w:val="009528FA"/>
    <w:rsid w:val="00954E77"/>
    <w:rsid w:val="00960F32"/>
    <w:rsid w:val="00962C77"/>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3C0E"/>
    <w:rsid w:val="00A2566C"/>
    <w:rsid w:val="00A2777E"/>
    <w:rsid w:val="00A31134"/>
    <w:rsid w:val="00A31A82"/>
    <w:rsid w:val="00A33015"/>
    <w:rsid w:val="00A3307E"/>
    <w:rsid w:val="00A33AE7"/>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8755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D7F7F"/>
    <w:rsid w:val="00AE253A"/>
    <w:rsid w:val="00AE61A6"/>
    <w:rsid w:val="00AE6F08"/>
    <w:rsid w:val="00AF47B6"/>
    <w:rsid w:val="00AF64AB"/>
    <w:rsid w:val="00B00CD8"/>
    <w:rsid w:val="00B00E84"/>
    <w:rsid w:val="00B03A7B"/>
    <w:rsid w:val="00B10937"/>
    <w:rsid w:val="00B1586F"/>
    <w:rsid w:val="00B15A09"/>
    <w:rsid w:val="00B15E24"/>
    <w:rsid w:val="00B170A3"/>
    <w:rsid w:val="00B174EC"/>
    <w:rsid w:val="00B1762D"/>
    <w:rsid w:val="00B1772A"/>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2A31"/>
    <w:rsid w:val="00B8714B"/>
    <w:rsid w:val="00B876B0"/>
    <w:rsid w:val="00B91A12"/>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D04DE"/>
    <w:rsid w:val="00BD2BD8"/>
    <w:rsid w:val="00BD4BC8"/>
    <w:rsid w:val="00BD595A"/>
    <w:rsid w:val="00BE3331"/>
    <w:rsid w:val="00BE39E2"/>
    <w:rsid w:val="00BE57EA"/>
    <w:rsid w:val="00BE7891"/>
    <w:rsid w:val="00BF2D45"/>
    <w:rsid w:val="00BF400D"/>
    <w:rsid w:val="00C00AE0"/>
    <w:rsid w:val="00C01E7A"/>
    <w:rsid w:val="00C034E2"/>
    <w:rsid w:val="00C03C0F"/>
    <w:rsid w:val="00C03ED5"/>
    <w:rsid w:val="00C04E9F"/>
    <w:rsid w:val="00C05A87"/>
    <w:rsid w:val="00C05E3D"/>
    <w:rsid w:val="00C073BF"/>
    <w:rsid w:val="00C11790"/>
    <w:rsid w:val="00C1179D"/>
    <w:rsid w:val="00C11CE4"/>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3816"/>
    <w:rsid w:val="00CC66B5"/>
    <w:rsid w:val="00CD0129"/>
    <w:rsid w:val="00CD120E"/>
    <w:rsid w:val="00CD19A5"/>
    <w:rsid w:val="00CD213D"/>
    <w:rsid w:val="00CE1F6A"/>
    <w:rsid w:val="00CE390C"/>
    <w:rsid w:val="00CE6E18"/>
    <w:rsid w:val="00CE739B"/>
    <w:rsid w:val="00CF045C"/>
    <w:rsid w:val="00CF16AA"/>
    <w:rsid w:val="00CF4418"/>
    <w:rsid w:val="00CF4D61"/>
    <w:rsid w:val="00CF57B5"/>
    <w:rsid w:val="00CF5FF4"/>
    <w:rsid w:val="00CF6AC2"/>
    <w:rsid w:val="00CF7FBD"/>
    <w:rsid w:val="00D03779"/>
    <w:rsid w:val="00D0381D"/>
    <w:rsid w:val="00D044F5"/>
    <w:rsid w:val="00D05306"/>
    <w:rsid w:val="00D06F60"/>
    <w:rsid w:val="00D111A4"/>
    <w:rsid w:val="00D138E3"/>
    <w:rsid w:val="00D14F73"/>
    <w:rsid w:val="00D1622D"/>
    <w:rsid w:val="00D17605"/>
    <w:rsid w:val="00D216E3"/>
    <w:rsid w:val="00D223D4"/>
    <w:rsid w:val="00D24DFA"/>
    <w:rsid w:val="00D259DB"/>
    <w:rsid w:val="00D27208"/>
    <w:rsid w:val="00D33AD0"/>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87EBC"/>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06F3"/>
    <w:rsid w:val="00DF1DE3"/>
    <w:rsid w:val="00DF2438"/>
    <w:rsid w:val="00DF27CD"/>
    <w:rsid w:val="00DF34C7"/>
    <w:rsid w:val="00DF3DAF"/>
    <w:rsid w:val="00DF411A"/>
    <w:rsid w:val="00DF4181"/>
    <w:rsid w:val="00DF516F"/>
    <w:rsid w:val="00DF6679"/>
    <w:rsid w:val="00DF7C30"/>
    <w:rsid w:val="00E00F8B"/>
    <w:rsid w:val="00E01C10"/>
    <w:rsid w:val="00E02AEF"/>
    <w:rsid w:val="00E03929"/>
    <w:rsid w:val="00E10CBD"/>
    <w:rsid w:val="00E1369E"/>
    <w:rsid w:val="00E165F5"/>
    <w:rsid w:val="00E17CB7"/>
    <w:rsid w:val="00E20E03"/>
    <w:rsid w:val="00E24A83"/>
    <w:rsid w:val="00E24A86"/>
    <w:rsid w:val="00E24E71"/>
    <w:rsid w:val="00E3061A"/>
    <w:rsid w:val="00E31872"/>
    <w:rsid w:val="00E31F33"/>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61B6C"/>
    <w:rsid w:val="00E64303"/>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51A5"/>
    <w:rsid w:val="00E97379"/>
    <w:rsid w:val="00EA166A"/>
    <w:rsid w:val="00EA6B56"/>
    <w:rsid w:val="00EB172C"/>
    <w:rsid w:val="00EB1B9B"/>
    <w:rsid w:val="00EB555A"/>
    <w:rsid w:val="00EB564D"/>
    <w:rsid w:val="00EB5D03"/>
    <w:rsid w:val="00EC03C8"/>
    <w:rsid w:val="00EC0826"/>
    <w:rsid w:val="00EC0B9F"/>
    <w:rsid w:val="00EC158B"/>
    <w:rsid w:val="00EC3A1D"/>
    <w:rsid w:val="00EC6410"/>
    <w:rsid w:val="00EC7B59"/>
    <w:rsid w:val="00ED0728"/>
    <w:rsid w:val="00ED2609"/>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3637"/>
    <w:rsid w:val="00F36081"/>
    <w:rsid w:val="00F42516"/>
    <w:rsid w:val="00F430A5"/>
    <w:rsid w:val="00F4326D"/>
    <w:rsid w:val="00F540AD"/>
    <w:rsid w:val="00F5689F"/>
    <w:rsid w:val="00F569F1"/>
    <w:rsid w:val="00F57637"/>
    <w:rsid w:val="00F57EA3"/>
    <w:rsid w:val="00F6253C"/>
    <w:rsid w:val="00F63F01"/>
    <w:rsid w:val="00F75B4E"/>
    <w:rsid w:val="00F811C0"/>
    <w:rsid w:val="00F82147"/>
    <w:rsid w:val="00F83B1D"/>
    <w:rsid w:val="00F852C6"/>
    <w:rsid w:val="00F86F74"/>
    <w:rsid w:val="00F90856"/>
    <w:rsid w:val="00F90B91"/>
    <w:rsid w:val="00F911A8"/>
    <w:rsid w:val="00F91A9F"/>
    <w:rsid w:val="00F94D1F"/>
    <w:rsid w:val="00F96620"/>
    <w:rsid w:val="00FA0041"/>
    <w:rsid w:val="00FA0BEA"/>
    <w:rsid w:val="00FA2073"/>
    <w:rsid w:val="00FA47DA"/>
    <w:rsid w:val="00FA63E8"/>
    <w:rsid w:val="00FA7D05"/>
    <w:rsid w:val="00FB0141"/>
    <w:rsid w:val="00FB2250"/>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3EA5"/>
    <w:rsid w:val="00FF6F98"/>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paragraph" w:customStyle="1" w:styleId="ExhibitC1">
    <w:name w:val="ExhibitC1"/>
    <w:basedOn w:val="Normal"/>
    <w:rsid w:val="0042524F"/>
    <w:pPr>
      <w:numPr>
        <w:numId w:val="30"/>
      </w:numPr>
    </w:pPr>
    <w:rPr>
      <w:rFonts w:eastAsia="Times New Roman"/>
      <w:noProof/>
      <w:u w:val="single"/>
    </w:rPr>
  </w:style>
  <w:style w:type="paragraph" w:customStyle="1" w:styleId="ExhibitC2">
    <w:name w:val="ExhibitC2"/>
    <w:basedOn w:val="Normal"/>
    <w:rsid w:val="0042524F"/>
    <w:pPr>
      <w:numPr>
        <w:ilvl w:val="1"/>
        <w:numId w:val="30"/>
      </w:numPr>
    </w:pPr>
    <w:rPr>
      <w:rFonts w:eastAsia="Times New Roman"/>
      <w:noProof/>
    </w:rPr>
  </w:style>
  <w:style w:type="paragraph" w:customStyle="1" w:styleId="ExhibitC3">
    <w:name w:val="ExhibitC3"/>
    <w:basedOn w:val="Normal"/>
    <w:rsid w:val="0042524F"/>
    <w:pPr>
      <w:keepNext/>
      <w:numPr>
        <w:ilvl w:val="2"/>
        <w:numId w:val="30"/>
      </w:numPr>
      <w:tabs>
        <w:tab w:val="left" w:pos="2592"/>
        <w:tab w:val="left" w:pos="4176"/>
        <w:tab w:val="left" w:pos="10710"/>
      </w:tabs>
      <w:ind w:right="187"/>
      <w:outlineLvl w:val="0"/>
    </w:pPr>
    <w:rPr>
      <w:rFonts w:eastAsia="Times New Roman"/>
    </w:rPr>
  </w:style>
  <w:style w:type="paragraph" w:customStyle="1" w:styleId="ExhibitC4">
    <w:name w:val="ExhibitC4"/>
    <w:basedOn w:val="Normal"/>
    <w:rsid w:val="0042524F"/>
    <w:pPr>
      <w:numPr>
        <w:ilvl w:val="3"/>
        <w:numId w:val="30"/>
      </w:numPr>
      <w:spacing w:before="120" w:after="120"/>
    </w:pPr>
    <w:rPr>
      <w:rFonts w:eastAsia="Times New Roman"/>
    </w:rPr>
  </w:style>
  <w:style w:type="paragraph" w:customStyle="1" w:styleId="ExhibitC5">
    <w:name w:val="ExhibitC5"/>
    <w:basedOn w:val="Normal"/>
    <w:rsid w:val="0042524F"/>
    <w:pPr>
      <w:numPr>
        <w:ilvl w:val="4"/>
        <w:numId w:val="30"/>
      </w:numPr>
      <w:spacing w:before="120" w:after="120"/>
    </w:pPr>
    <w:rPr>
      <w:rFonts w:eastAsia="Times New Roman"/>
    </w:rPr>
  </w:style>
  <w:style w:type="paragraph" w:customStyle="1" w:styleId="ExhibitC6">
    <w:name w:val="ExhibitC6"/>
    <w:basedOn w:val="Normal"/>
    <w:rsid w:val="0042524F"/>
    <w:pPr>
      <w:numPr>
        <w:ilvl w:val="5"/>
        <w:numId w:val="30"/>
      </w:numPr>
      <w:spacing w:before="120" w:after="120"/>
    </w:pPr>
    <w:rPr>
      <w:rFonts w:eastAsia="Times New Roman"/>
    </w:rPr>
  </w:style>
  <w:style w:type="paragraph" w:customStyle="1" w:styleId="ExhibitC7">
    <w:name w:val="ExhibitC7"/>
    <w:basedOn w:val="Normal"/>
    <w:rsid w:val="0042524F"/>
    <w:pPr>
      <w:numPr>
        <w:ilvl w:val="6"/>
        <w:numId w:val="30"/>
      </w:numPr>
      <w:spacing w:before="120" w:after="120"/>
    </w:pPr>
    <w:rPr>
      <w:rFonts w:eastAsia="Times New Roman"/>
    </w:rPr>
  </w:style>
  <w:style w:type="character" w:styleId="Hyperlink">
    <w:name w:val="Hyperlink"/>
    <w:basedOn w:val="DefaultParagraphFont"/>
    <w:uiPriority w:val="99"/>
    <w:unhideWhenUsed/>
    <w:rsid w:val="0055280C"/>
    <w:rPr>
      <w:color w:val="0000FF" w:themeColor="hyperlink"/>
      <w:u w:val="single"/>
    </w:rPr>
  </w:style>
  <w:style w:type="character" w:styleId="UnresolvedMention">
    <w:name w:val="Unresolved Mention"/>
    <w:basedOn w:val="DefaultParagraphFont"/>
    <w:uiPriority w:val="99"/>
    <w:semiHidden/>
    <w:unhideWhenUsed/>
    <w:rsid w:val="00552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urts.ca.gov/jbwcp.htm"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urts.ca.gov/jbwcp.htm" TargetMode="External"/><Relationship Id="rId22" Type="http://schemas.openxmlformats.org/officeDocument/2006/relationships/footer" Target="footer9.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A55C-B323-4220-B926-143CEE33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9563</Words>
  <Characters>54511</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2019-07-30T15:22:00Z</dcterms:created>
  <dcterms:modified xsi:type="dcterms:W3CDTF">2019-12-17T21:47:00Z</dcterms:modified>
</cp:coreProperties>
</file>