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29" w:rsidRPr="00353829" w:rsidRDefault="00353829" w:rsidP="00353829">
      <w:pPr>
        <w:spacing w:before="57" w:after="0" w:line="360" w:lineRule="auto"/>
        <w:ind w:left="1397" w:right="1368"/>
        <w:jc w:val="center"/>
        <w:rPr>
          <w:rFonts w:ascii="Times New Roman" w:eastAsia="Times New Roman" w:hAnsi="Times New Roman" w:cs="Times New Roman"/>
          <w:b/>
          <w:bCs/>
          <w:sz w:val="28"/>
          <w:szCs w:val="28"/>
        </w:rPr>
      </w:pPr>
      <w:r w:rsidRPr="00353829">
        <w:rPr>
          <w:rFonts w:ascii="Times New Roman" w:eastAsia="Times New Roman" w:hAnsi="Times New Roman" w:cs="Times New Roman"/>
          <w:b/>
          <w:bCs/>
          <w:spacing w:val="-1"/>
          <w:sz w:val="28"/>
          <w:szCs w:val="28"/>
        </w:rPr>
        <w:t>ADM</w:t>
      </w:r>
      <w:r w:rsidRPr="00353829">
        <w:rPr>
          <w:rFonts w:ascii="Times New Roman" w:eastAsia="Times New Roman" w:hAnsi="Times New Roman" w:cs="Times New Roman"/>
          <w:b/>
          <w:bCs/>
          <w:spacing w:val="1"/>
          <w:sz w:val="28"/>
          <w:szCs w:val="28"/>
        </w:rPr>
        <w:t>I</w:t>
      </w:r>
      <w:r w:rsidRPr="00353829">
        <w:rPr>
          <w:rFonts w:ascii="Times New Roman" w:eastAsia="Times New Roman" w:hAnsi="Times New Roman" w:cs="Times New Roman"/>
          <w:b/>
          <w:bCs/>
          <w:spacing w:val="-1"/>
          <w:sz w:val="28"/>
          <w:szCs w:val="28"/>
        </w:rPr>
        <w:t>N</w:t>
      </w:r>
      <w:r w:rsidRPr="00353829">
        <w:rPr>
          <w:rFonts w:ascii="Times New Roman" w:eastAsia="Times New Roman" w:hAnsi="Times New Roman" w:cs="Times New Roman"/>
          <w:b/>
          <w:bCs/>
          <w:spacing w:val="1"/>
          <w:sz w:val="28"/>
          <w:szCs w:val="28"/>
        </w:rPr>
        <w:t>I</w:t>
      </w:r>
      <w:r w:rsidRPr="00353829">
        <w:rPr>
          <w:rFonts w:ascii="Times New Roman" w:eastAsia="Times New Roman" w:hAnsi="Times New Roman" w:cs="Times New Roman"/>
          <w:b/>
          <w:bCs/>
          <w:sz w:val="28"/>
          <w:szCs w:val="28"/>
        </w:rPr>
        <w:t>ST</w:t>
      </w:r>
      <w:r w:rsidRPr="00353829">
        <w:rPr>
          <w:rFonts w:ascii="Times New Roman" w:eastAsia="Times New Roman" w:hAnsi="Times New Roman" w:cs="Times New Roman"/>
          <w:b/>
          <w:bCs/>
          <w:spacing w:val="-1"/>
          <w:sz w:val="28"/>
          <w:szCs w:val="28"/>
        </w:rPr>
        <w:t>RA</w:t>
      </w:r>
      <w:r w:rsidRPr="00353829">
        <w:rPr>
          <w:rFonts w:ascii="Times New Roman" w:eastAsia="Times New Roman" w:hAnsi="Times New Roman" w:cs="Times New Roman"/>
          <w:b/>
          <w:bCs/>
          <w:sz w:val="28"/>
          <w:szCs w:val="28"/>
        </w:rPr>
        <w:t>T</w:t>
      </w:r>
      <w:r w:rsidRPr="00353829">
        <w:rPr>
          <w:rFonts w:ascii="Times New Roman" w:eastAsia="Times New Roman" w:hAnsi="Times New Roman" w:cs="Times New Roman"/>
          <w:b/>
          <w:bCs/>
          <w:spacing w:val="1"/>
          <w:sz w:val="28"/>
          <w:szCs w:val="28"/>
        </w:rPr>
        <w:t>I</w:t>
      </w:r>
      <w:r w:rsidRPr="00353829">
        <w:rPr>
          <w:rFonts w:ascii="Times New Roman" w:eastAsia="Times New Roman" w:hAnsi="Times New Roman" w:cs="Times New Roman"/>
          <w:b/>
          <w:bCs/>
          <w:spacing w:val="-4"/>
          <w:sz w:val="28"/>
          <w:szCs w:val="28"/>
        </w:rPr>
        <w:t>V</w:t>
      </w:r>
      <w:r w:rsidRPr="00353829">
        <w:rPr>
          <w:rFonts w:ascii="Times New Roman" w:eastAsia="Times New Roman" w:hAnsi="Times New Roman" w:cs="Times New Roman"/>
          <w:b/>
          <w:bCs/>
          <w:sz w:val="28"/>
          <w:szCs w:val="28"/>
        </w:rPr>
        <w:t>E O</w:t>
      </w:r>
      <w:r w:rsidRPr="00353829">
        <w:rPr>
          <w:rFonts w:ascii="Times New Roman" w:eastAsia="Times New Roman" w:hAnsi="Times New Roman" w:cs="Times New Roman"/>
          <w:b/>
          <w:bCs/>
          <w:spacing w:val="-2"/>
          <w:sz w:val="28"/>
          <w:szCs w:val="28"/>
        </w:rPr>
        <w:t>F</w:t>
      </w:r>
      <w:r w:rsidRPr="00353829">
        <w:rPr>
          <w:rFonts w:ascii="Times New Roman" w:eastAsia="Times New Roman" w:hAnsi="Times New Roman" w:cs="Times New Roman"/>
          <w:b/>
          <w:bCs/>
          <w:spacing w:val="-1"/>
          <w:sz w:val="28"/>
          <w:szCs w:val="28"/>
        </w:rPr>
        <w:t>F</w:t>
      </w:r>
      <w:r w:rsidRPr="00353829">
        <w:rPr>
          <w:rFonts w:ascii="Times New Roman" w:eastAsia="Times New Roman" w:hAnsi="Times New Roman" w:cs="Times New Roman"/>
          <w:b/>
          <w:bCs/>
          <w:spacing w:val="1"/>
          <w:sz w:val="28"/>
          <w:szCs w:val="28"/>
        </w:rPr>
        <w:t>I</w:t>
      </w:r>
      <w:r w:rsidRPr="00353829">
        <w:rPr>
          <w:rFonts w:ascii="Times New Roman" w:eastAsia="Times New Roman" w:hAnsi="Times New Roman" w:cs="Times New Roman"/>
          <w:b/>
          <w:bCs/>
          <w:spacing w:val="-1"/>
          <w:sz w:val="28"/>
          <w:szCs w:val="28"/>
        </w:rPr>
        <w:t>C</w:t>
      </w:r>
      <w:r w:rsidRPr="00353829">
        <w:rPr>
          <w:rFonts w:ascii="Times New Roman" w:eastAsia="Times New Roman" w:hAnsi="Times New Roman" w:cs="Times New Roman"/>
          <w:b/>
          <w:bCs/>
          <w:sz w:val="28"/>
          <w:szCs w:val="28"/>
        </w:rPr>
        <w:t>E OF</w:t>
      </w:r>
      <w:r w:rsidRPr="00353829">
        <w:rPr>
          <w:rFonts w:ascii="Times New Roman" w:eastAsia="Times New Roman" w:hAnsi="Times New Roman" w:cs="Times New Roman"/>
          <w:b/>
          <w:bCs/>
          <w:spacing w:val="-2"/>
          <w:sz w:val="28"/>
          <w:szCs w:val="28"/>
        </w:rPr>
        <w:t xml:space="preserve"> </w:t>
      </w:r>
      <w:r w:rsidRPr="00353829">
        <w:rPr>
          <w:rFonts w:ascii="Times New Roman" w:eastAsia="Times New Roman" w:hAnsi="Times New Roman" w:cs="Times New Roman"/>
          <w:b/>
          <w:bCs/>
          <w:sz w:val="28"/>
          <w:szCs w:val="28"/>
        </w:rPr>
        <w:t xml:space="preserve">THE </w:t>
      </w:r>
      <w:r w:rsidRPr="00353829">
        <w:rPr>
          <w:rFonts w:ascii="Times New Roman" w:eastAsia="Times New Roman" w:hAnsi="Times New Roman" w:cs="Times New Roman"/>
          <w:b/>
          <w:bCs/>
          <w:spacing w:val="-2"/>
          <w:sz w:val="28"/>
          <w:szCs w:val="28"/>
        </w:rPr>
        <w:t>C</w:t>
      </w:r>
      <w:r w:rsidRPr="00353829">
        <w:rPr>
          <w:rFonts w:ascii="Times New Roman" w:eastAsia="Times New Roman" w:hAnsi="Times New Roman" w:cs="Times New Roman"/>
          <w:b/>
          <w:bCs/>
          <w:sz w:val="28"/>
          <w:szCs w:val="28"/>
        </w:rPr>
        <w:t>O</w:t>
      </w:r>
      <w:r w:rsidRPr="00353829">
        <w:rPr>
          <w:rFonts w:ascii="Times New Roman" w:eastAsia="Times New Roman" w:hAnsi="Times New Roman" w:cs="Times New Roman"/>
          <w:b/>
          <w:bCs/>
          <w:spacing w:val="-1"/>
          <w:sz w:val="28"/>
          <w:szCs w:val="28"/>
        </w:rPr>
        <w:t>UR</w:t>
      </w:r>
      <w:r w:rsidRPr="00353829">
        <w:rPr>
          <w:rFonts w:ascii="Times New Roman" w:eastAsia="Times New Roman" w:hAnsi="Times New Roman" w:cs="Times New Roman"/>
          <w:b/>
          <w:bCs/>
          <w:sz w:val="28"/>
          <w:szCs w:val="28"/>
        </w:rPr>
        <w:t>TS</w:t>
      </w:r>
    </w:p>
    <w:p w:rsidR="00353829" w:rsidRPr="00353829" w:rsidRDefault="00353829" w:rsidP="00353829">
      <w:pPr>
        <w:spacing w:before="57" w:after="0" w:line="360" w:lineRule="auto"/>
        <w:ind w:left="1397" w:right="1368"/>
        <w:jc w:val="center"/>
        <w:rPr>
          <w:rFonts w:ascii="Times New Roman" w:eastAsia="Times New Roman" w:hAnsi="Times New Roman" w:cs="Times New Roman"/>
          <w:b/>
          <w:bCs/>
          <w:sz w:val="28"/>
          <w:szCs w:val="28"/>
        </w:rPr>
      </w:pPr>
    </w:p>
    <w:p w:rsidR="00353829" w:rsidRPr="00353829" w:rsidRDefault="00353829" w:rsidP="00353829">
      <w:pPr>
        <w:spacing w:before="57" w:after="0" w:line="240" w:lineRule="auto"/>
        <w:ind w:left="1397" w:right="1368"/>
        <w:jc w:val="center"/>
        <w:rPr>
          <w:rFonts w:ascii="Times New Roman" w:eastAsia="Times New Roman" w:hAnsi="Times New Roman" w:cs="Times New Roman"/>
          <w:b/>
          <w:bCs/>
          <w:sz w:val="28"/>
          <w:szCs w:val="28"/>
        </w:rPr>
      </w:pPr>
      <w:r w:rsidRPr="00353829">
        <w:rPr>
          <w:rFonts w:ascii="Times New Roman" w:eastAsia="Times New Roman" w:hAnsi="Times New Roman" w:cs="Times New Roman"/>
          <w:b/>
          <w:bCs/>
          <w:sz w:val="28"/>
          <w:szCs w:val="28"/>
        </w:rPr>
        <w:t>Q</w:t>
      </w:r>
      <w:r w:rsidRPr="00353829">
        <w:rPr>
          <w:rFonts w:ascii="Times New Roman" w:eastAsia="Times New Roman" w:hAnsi="Times New Roman" w:cs="Times New Roman"/>
          <w:b/>
          <w:bCs/>
          <w:spacing w:val="-1"/>
          <w:sz w:val="28"/>
          <w:szCs w:val="28"/>
        </w:rPr>
        <w:t>U</w:t>
      </w:r>
      <w:r w:rsidRPr="00353829">
        <w:rPr>
          <w:rFonts w:ascii="Times New Roman" w:eastAsia="Times New Roman" w:hAnsi="Times New Roman" w:cs="Times New Roman"/>
          <w:b/>
          <w:bCs/>
          <w:sz w:val="28"/>
          <w:szCs w:val="28"/>
        </w:rPr>
        <w:t>ESTIO</w:t>
      </w:r>
      <w:r w:rsidRPr="00353829">
        <w:rPr>
          <w:rFonts w:ascii="Times New Roman" w:eastAsia="Times New Roman" w:hAnsi="Times New Roman" w:cs="Times New Roman"/>
          <w:b/>
          <w:bCs/>
          <w:spacing w:val="-1"/>
          <w:sz w:val="28"/>
          <w:szCs w:val="28"/>
        </w:rPr>
        <w:t>N</w:t>
      </w:r>
      <w:r w:rsidRPr="00353829">
        <w:rPr>
          <w:rFonts w:ascii="Times New Roman" w:eastAsia="Times New Roman" w:hAnsi="Times New Roman" w:cs="Times New Roman"/>
          <w:b/>
          <w:bCs/>
          <w:sz w:val="28"/>
          <w:szCs w:val="28"/>
        </w:rPr>
        <w:t xml:space="preserve">S </w:t>
      </w:r>
      <w:r w:rsidRPr="00353829">
        <w:rPr>
          <w:rFonts w:ascii="Times New Roman" w:eastAsia="Times New Roman" w:hAnsi="Times New Roman" w:cs="Times New Roman"/>
          <w:b/>
          <w:bCs/>
          <w:spacing w:val="-2"/>
          <w:sz w:val="28"/>
          <w:szCs w:val="28"/>
        </w:rPr>
        <w:t>A</w:t>
      </w:r>
      <w:r w:rsidRPr="00353829">
        <w:rPr>
          <w:rFonts w:ascii="Times New Roman" w:eastAsia="Times New Roman" w:hAnsi="Times New Roman" w:cs="Times New Roman"/>
          <w:b/>
          <w:bCs/>
          <w:spacing w:val="-1"/>
          <w:sz w:val="28"/>
          <w:szCs w:val="28"/>
        </w:rPr>
        <w:t>N</w:t>
      </w:r>
      <w:r w:rsidRPr="00353829">
        <w:rPr>
          <w:rFonts w:ascii="Times New Roman" w:eastAsia="Times New Roman" w:hAnsi="Times New Roman" w:cs="Times New Roman"/>
          <w:b/>
          <w:bCs/>
          <w:sz w:val="28"/>
          <w:szCs w:val="28"/>
        </w:rPr>
        <w:t>D</w:t>
      </w:r>
      <w:r w:rsidRPr="00353829">
        <w:rPr>
          <w:rFonts w:ascii="Times New Roman" w:eastAsia="Times New Roman" w:hAnsi="Times New Roman" w:cs="Times New Roman"/>
          <w:b/>
          <w:bCs/>
          <w:spacing w:val="-1"/>
          <w:sz w:val="28"/>
          <w:szCs w:val="28"/>
        </w:rPr>
        <w:t xml:space="preserve"> </w:t>
      </w:r>
      <w:r w:rsidRPr="00353829">
        <w:rPr>
          <w:rFonts w:ascii="Times New Roman" w:eastAsia="Times New Roman" w:hAnsi="Times New Roman" w:cs="Times New Roman"/>
          <w:b/>
          <w:bCs/>
          <w:spacing w:val="-2"/>
          <w:sz w:val="28"/>
          <w:szCs w:val="28"/>
        </w:rPr>
        <w:t>A</w:t>
      </w:r>
      <w:r w:rsidRPr="00353829">
        <w:rPr>
          <w:rFonts w:ascii="Times New Roman" w:eastAsia="Times New Roman" w:hAnsi="Times New Roman" w:cs="Times New Roman"/>
          <w:b/>
          <w:bCs/>
          <w:spacing w:val="-1"/>
          <w:sz w:val="28"/>
          <w:szCs w:val="28"/>
        </w:rPr>
        <w:t>N</w:t>
      </w:r>
      <w:r w:rsidRPr="00353829">
        <w:rPr>
          <w:rFonts w:ascii="Times New Roman" w:eastAsia="Times New Roman" w:hAnsi="Times New Roman" w:cs="Times New Roman"/>
          <w:b/>
          <w:bCs/>
          <w:sz w:val="28"/>
          <w:szCs w:val="28"/>
        </w:rPr>
        <w:t>SWE</w:t>
      </w:r>
      <w:r w:rsidRPr="00353829">
        <w:rPr>
          <w:rFonts w:ascii="Times New Roman" w:eastAsia="Times New Roman" w:hAnsi="Times New Roman" w:cs="Times New Roman"/>
          <w:b/>
          <w:bCs/>
          <w:spacing w:val="-1"/>
          <w:sz w:val="28"/>
          <w:szCs w:val="28"/>
        </w:rPr>
        <w:t>R</w:t>
      </w:r>
      <w:r w:rsidRPr="00353829">
        <w:rPr>
          <w:rFonts w:ascii="Times New Roman" w:eastAsia="Times New Roman" w:hAnsi="Times New Roman" w:cs="Times New Roman"/>
          <w:b/>
          <w:bCs/>
          <w:sz w:val="28"/>
          <w:szCs w:val="28"/>
        </w:rPr>
        <w:t>S FROM THE</w:t>
      </w:r>
    </w:p>
    <w:p w:rsidR="00353829" w:rsidRPr="00353829" w:rsidRDefault="00353829" w:rsidP="00353829">
      <w:pPr>
        <w:spacing w:before="57" w:after="0" w:line="240" w:lineRule="auto"/>
        <w:ind w:left="1397" w:right="1368"/>
        <w:jc w:val="center"/>
        <w:rPr>
          <w:rFonts w:ascii="Times New Roman" w:eastAsia="Times New Roman" w:hAnsi="Times New Roman" w:cs="Times New Roman"/>
          <w:sz w:val="28"/>
          <w:szCs w:val="28"/>
        </w:rPr>
      </w:pPr>
      <w:r w:rsidRPr="00353829">
        <w:rPr>
          <w:rFonts w:ascii="Times New Roman" w:eastAsia="Times New Roman" w:hAnsi="Times New Roman" w:cs="Times New Roman"/>
          <w:b/>
          <w:bCs/>
          <w:sz w:val="28"/>
          <w:szCs w:val="28"/>
        </w:rPr>
        <w:t>PRE-PROPOSAL CONFERENCE AND THE SOLICITATION MAILBOX</w:t>
      </w:r>
    </w:p>
    <w:p w:rsidR="00353829" w:rsidRPr="00353829" w:rsidRDefault="00353829" w:rsidP="00353829">
      <w:pPr>
        <w:spacing w:after="0" w:line="200" w:lineRule="exact"/>
        <w:jc w:val="center"/>
        <w:rPr>
          <w:rFonts w:ascii="Times New Roman" w:hAnsi="Times New Roman" w:cs="Times New Roman"/>
          <w:sz w:val="28"/>
          <w:szCs w:val="28"/>
        </w:rPr>
      </w:pPr>
    </w:p>
    <w:p w:rsidR="00353829" w:rsidRPr="00353829" w:rsidRDefault="00353829" w:rsidP="00353829">
      <w:pPr>
        <w:spacing w:after="0" w:line="479" w:lineRule="auto"/>
        <w:ind w:left="1723" w:right="1703" w:hanging="1"/>
        <w:jc w:val="center"/>
        <w:rPr>
          <w:rFonts w:ascii="Times New Roman" w:hAnsi="Times New Roman" w:cs="Times New Roman"/>
          <w:b/>
          <w:sz w:val="28"/>
          <w:szCs w:val="28"/>
        </w:rPr>
      </w:pPr>
      <w:r w:rsidRPr="00353829">
        <w:rPr>
          <w:rFonts w:ascii="Times New Roman" w:eastAsia="Times New Roman" w:hAnsi="Times New Roman" w:cs="Times New Roman"/>
          <w:b/>
          <w:bCs/>
          <w:spacing w:val="-1"/>
          <w:sz w:val="28"/>
          <w:szCs w:val="28"/>
        </w:rPr>
        <w:t>RF</w:t>
      </w:r>
      <w:r w:rsidRPr="00353829">
        <w:rPr>
          <w:rFonts w:ascii="Times New Roman" w:eastAsia="Times New Roman" w:hAnsi="Times New Roman" w:cs="Times New Roman"/>
          <w:b/>
          <w:bCs/>
          <w:sz w:val="28"/>
          <w:szCs w:val="28"/>
        </w:rPr>
        <w:t>P</w:t>
      </w:r>
      <w:r w:rsidRPr="00353829">
        <w:rPr>
          <w:rFonts w:ascii="Times New Roman" w:eastAsia="Times New Roman" w:hAnsi="Times New Roman" w:cs="Times New Roman"/>
          <w:b/>
          <w:bCs/>
          <w:spacing w:val="-1"/>
          <w:sz w:val="28"/>
          <w:szCs w:val="28"/>
        </w:rPr>
        <w:t xml:space="preserve"> </w:t>
      </w:r>
      <w:r w:rsidRPr="00353829">
        <w:rPr>
          <w:rFonts w:ascii="Times New Roman" w:eastAsia="Times New Roman" w:hAnsi="Times New Roman" w:cs="Times New Roman"/>
          <w:b/>
          <w:bCs/>
          <w:spacing w:val="-2"/>
          <w:sz w:val="28"/>
          <w:szCs w:val="28"/>
        </w:rPr>
        <w:t>N</w:t>
      </w:r>
      <w:r w:rsidRPr="00353829">
        <w:rPr>
          <w:rFonts w:ascii="Times New Roman" w:eastAsia="Times New Roman" w:hAnsi="Times New Roman" w:cs="Times New Roman"/>
          <w:b/>
          <w:bCs/>
          <w:spacing w:val="2"/>
          <w:sz w:val="28"/>
          <w:szCs w:val="28"/>
        </w:rPr>
        <w:t>u</w:t>
      </w:r>
      <w:r w:rsidRPr="00353829">
        <w:rPr>
          <w:rFonts w:ascii="Times New Roman" w:eastAsia="Times New Roman" w:hAnsi="Times New Roman" w:cs="Times New Roman"/>
          <w:b/>
          <w:bCs/>
          <w:spacing w:val="-3"/>
          <w:sz w:val="28"/>
          <w:szCs w:val="28"/>
        </w:rPr>
        <w:t>m</w:t>
      </w:r>
      <w:r w:rsidRPr="00353829">
        <w:rPr>
          <w:rFonts w:ascii="Times New Roman" w:eastAsia="Times New Roman" w:hAnsi="Times New Roman" w:cs="Times New Roman"/>
          <w:b/>
          <w:bCs/>
          <w:sz w:val="28"/>
          <w:szCs w:val="28"/>
        </w:rPr>
        <w:t xml:space="preserve">ber: </w:t>
      </w:r>
      <w:r w:rsidRPr="00353829">
        <w:rPr>
          <w:rFonts w:ascii="Times New Roman" w:hAnsi="Times New Roman" w:cs="Times New Roman"/>
          <w:sz w:val="28"/>
          <w:szCs w:val="28"/>
        </w:rPr>
        <w:t>ITSO-2013-01-DCA</w:t>
      </w:r>
    </w:p>
    <w:p w:rsidR="00353829" w:rsidRPr="00353829" w:rsidRDefault="00050FBB" w:rsidP="00353829">
      <w:pPr>
        <w:pStyle w:val="JCCReportCoverSubhead"/>
        <w:jc w:val="center"/>
        <w:rPr>
          <w:rFonts w:ascii="Times New Roman" w:hAnsi="Times New Roman"/>
          <w:b/>
          <w:i/>
          <w:color w:val="000000" w:themeColor="text1"/>
          <w:szCs w:val="28"/>
        </w:rPr>
      </w:pPr>
      <w:r>
        <w:rPr>
          <w:rFonts w:ascii="Times New Roman" w:hAnsi="Times New Roman"/>
          <w:b/>
          <w:i/>
          <w:color w:val="000000" w:themeColor="text1"/>
          <w:szCs w:val="28"/>
        </w:rPr>
        <w:t>California Appellate Courts</w:t>
      </w:r>
      <w:r w:rsidR="00353829" w:rsidRPr="00353829">
        <w:rPr>
          <w:rFonts w:ascii="Times New Roman" w:hAnsi="Times New Roman"/>
          <w:b/>
          <w:i/>
          <w:color w:val="000000" w:themeColor="text1"/>
          <w:szCs w:val="28"/>
        </w:rPr>
        <w:t xml:space="preserve"> - E-FiLING</w:t>
      </w:r>
    </w:p>
    <w:p w:rsidR="00353829" w:rsidRPr="00235150" w:rsidRDefault="00353829" w:rsidP="00353829">
      <w:pPr>
        <w:spacing w:after="0" w:line="271" w:lineRule="exact"/>
        <w:ind w:left="3565" w:right="3545"/>
        <w:jc w:val="center"/>
        <w:rPr>
          <w:sz w:val="13"/>
          <w:szCs w:val="13"/>
        </w:rPr>
      </w:pPr>
    </w:p>
    <w:p w:rsidR="00353829" w:rsidRDefault="00D8026E" w:rsidP="00353829">
      <w:pPr>
        <w:jc w:val="center"/>
        <w:rPr>
          <w:rFonts w:ascii="Times New Roman" w:hAnsi="Times New Roman" w:cs="Times New Roman"/>
          <w:b/>
          <w:sz w:val="24"/>
          <w:szCs w:val="24"/>
        </w:rPr>
      </w:pPr>
      <w:r w:rsidRPr="00D8026E">
        <w:rPr>
          <w:rFonts w:ascii="Times New Roman" w:hAnsi="Times New Roman" w:cs="Times New Roman"/>
          <w:b/>
          <w:sz w:val="24"/>
          <w:szCs w:val="24"/>
          <w:highlight w:val="yellow"/>
        </w:rPr>
        <w:t>REVISED</w:t>
      </w:r>
      <w:r>
        <w:rPr>
          <w:rFonts w:ascii="Times New Roman" w:hAnsi="Times New Roman" w:cs="Times New Roman"/>
          <w:b/>
          <w:sz w:val="24"/>
          <w:szCs w:val="24"/>
        </w:rPr>
        <w:t xml:space="preserve"> 3/19</w:t>
      </w:r>
      <w:r w:rsidR="00205BCD" w:rsidRPr="00205BCD">
        <w:rPr>
          <w:rFonts w:ascii="Times New Roman" w:hAnsi="Times New Roman" w:cs="Times New Roman"/>
          <w:b/>
          <w:sz w:val="24"/>
          <w:szCs w:val="24"/>
        </w:rPr>
        <w:t>/13</w:t>
      </w:r>
    </w:p>
    <w:p w:rsidR="00353829" w:rsidRPr="00235150" w:rsidRDefault="002F539C" w:rsidP="00353829">
      <w:pPr>
        <w:spacing w:after="0" w:line="200" w:lineRule="exact"/>
        <w:rPr>
          <w:sz w:val="20"/>
          <w:szCs w:val="20"/>
        </w:rPr>
      </w:pPr>
      <w:r w:rsidRPr="002F539C">
        <w:rPr>
          <w:rFonts w:ascii="Times New Roman" w:hAnsi="Times New Roman" w:cs="Times New Roman"/>
          <w:sz w:val="24"/>
          <w:szCs w:val="24"/>
        </w:rPr>
        <w:pict>
          <v:group id="_x0000_s1031" style="position:absolute;margin-left:83.95pt;margin-top:7.6pt;width:438.05pt;height:4.55pt;z-index:-251656192;mso-position-horizontal-relative:page" coordorigin="1741,-520" coordsize="8761,91">
            <v:group id="_x0000_s1032" style="position:absolute;left:1772;top:-438;width:8699;height:2" coordorigin="1772,-438" coordsize="8699,2">
              <v:shape id="_x0000_s1033" style="position:absolute;left:1772;top:-438;width:8699;height:2" coordorigin="1772,-438" coordsize="8699,0" path="m1772,-438r8699,e" filled="f" strokeweight=".82pt">
                <v:path arrowok="t"/>
              </v:shape>
            </v:group>
            <v:group id="_x0000_s1034" style="position:absolute;left:1772;top:-489;width:8699;height:2" coordorigin="1772,-489" coordsize="8699,2">
              <v:shape id="_x0000_s1035" style="position:absolute;left:1772;top:-489;width:8699;height:2" coordorigin="1772,-489" coordsize="8699,0" path="m1772,-489r8699,e" filled="f" strokeweight="3.1pt">
                <v:path arrowok="t"/>
              </v:shape>
            </v:group>
            <w10:wrap anchorx="page"/>
          </v:group>
        </w:pict>
      </w:r>
    </w:p>
    <w:p w:rsidR="00C23239" w:rsidRDefault="00C23239" w:rsidP="00C059FC">
      <w:pPr>
        <w:pStyle w:val="ListParagraph"/>
        <w:jc w:val="center"/>
        <w:rPr>
          <w:rFonts w:cstheme="minorHAnsi"/>
          <w:b/>
          <w:sz w:val="28"/>
          <w:szCs w:val="28"/>
        </w:rPr>
      </w:pPr>
    </w:p>
    <w:p w:rsidR="00C23239" w:rsidRPr="00782120" w:rsidRDefault="00985832" w:rsidP="00C059FC">
      <w:pPr>
        <w:pStyle w:val="ListParagraph"/>
        <w:jc w:val="center"/>
        <w:rPr>
          <w:rFonts w:cstheme="minorHAnsi"/>
          <w:b/>
          <w:sz w:val="20"/>
          <w:szCs w:val="20"/>
          <w:u w:val="single"/>
        </w:rPr>
      </w:pPr>
      <w:r w:rsidRPr="00782120">
        <w:rPr>
          <w:rFonts w:cstheme="minorHAnsi"/>
          <w:b/>
          <w:sz w:val="20"/>
          <w:szCs w:val="20"/>
          <w:u w:val="single"/>
        </w:rPr>
        <w:t xml:space="preserve">Question and Answers from </w:t>
      </w:r>
      <w:r w:rsidR="00782120" w:rsidRPr="00782120">
        <w:rPr>
          <w:rFonts w:cstheme="minorHAnsi"/>
          <w:b/>
          <w:sz w:val="20"/>
          <w:szCs w:val="20"/>
          <w:u w:val="single"/>
        </w:rPr>
        <w:t>Solicitation</w:t>
      </w:r>
      <w:r w:rsidRPr="00782120">
        <w:rPr>
          <w:rFonts w:cstheme="minorHAnsi"/>
          <w:b/>
          <w:sz w:val="20"/>
          <w:szCs w:val="20"/>
          <w:u w:val="single"/>
        </w:rPr>
        <w:t xml:space="preserve"> Mailbox</w:t>
      </w:r>
    </w:p>
    <w:p w:rsidR="004F3ADD" w:rsidRPr="00782120" w:rsidRDefault="004F3ADD" w:rsidP="00C059FC">
      <w:pPr>
        <w:pStyle w:val="ListParagraph"/>
        <w:jc w:val="center"/>
        <w:rPr>
          <w:rFonts w:cstheme="minorHAnsi"/>
          <w:b/>
          <w:sz w:val="20"/>
          <w:szCs w:val="20"/>
          <w:u w:val="single"/>
        </w:rPr>
      </w:pPr>
    </w:p>
    <w:p w:rsidR="00985832" w:rsidRPr="00782120" w:rsidRDefault="00985832" w:rsidP="00985832">
      <w:pPr>
        <w:pStyle w:val="ListParagraph"/>
        <w:numPr>
          <w:ilvl w:val="0"/>
          <w:numId w:val="6"/>
        </w:numPr>
        <w:rPr>
          <w:color w:val="000000"/>
          <w:sz w:val="20"/>
          <w:szCs w:val="20"/>
        </w:rPr>
      </w:pPr>
      <w:r w:rsidRPr="00782120">
        <w:rPr>
          <w:color w:val="000000"/>
          <w:sz w:val="20"/>
          <w:szCs w:val="20"/>
        </w:rPr>
        <w:t>[RFP Section] 2.1 “The solution includes but is not limited to: … hosting” &amp; next item: “Vendor provided requirements for the network infrastructure necessary to implement the solution (for the Court and AOC to satisfy)” - Question:  Is the AOC requiring the solution be hosted in the AOC data center or vendor data center?</w:t>
      </w:r>
    </w:p>
    <w:p w:rsidR="00985832" w:rsidRPr="00782120" w:rsidRDefault="00985832" w:rsidP="00D70831">
      <w:pPr>
        <w:ind w:left="360"/>
        <w:rPr>
          <w:color w:val="000000"/>
          <w:sz w:val="20"/>
          <w:szCs w:val="20"/>
        </w:rPr>
      </w:pPr>
      <w:r w:rsidRPr="00782120">
        <w:rPr>
          <w:color w:val="000000"/>
          <w:sz w:val="20"/>
          <w:szCs w:val="20"/>
        </w:rPr>
        <w:t> </w:t>
      </w:r>
      <w:r w:rsidR="00171115" w:rsidRPr="00782120">
        <w:rPr>
          <w:b/>
          <w:color w:val="000000"/>
          <w:sz w:val="20"/>
          <w:szCs w:val="20"/>
        </w:rPr>
        <w:t>Answer:</w:t>
      </w:r>
      <w:r w:rsidRPr="00782120">
        <w:rPr>
          <w:color w:val="000000"/>
          <w:sz w:val="20"/>
          <w:szCs w:val="20"/>
        </w:rPr>
        <w:t xml:space="preserve"> </w:t>
      </w:r>
      <w:r w:rsidR="00DF01CC">
        <w:rPr>
          <w:color w:val="000000"/>
          <w:sz w:val="20"/>
          <w:szCs w:val="20"/>
        </w:rPr>
        <w:t>The</w:t>
      </w:r>
      <w:r w:rsidR="00C97DF1">
        <w:rPr>
          <w:color w:val="000000"/>
          <w:sz w:val="20"/>
          <w:szCs w:val="20"/>
        </w:rPr>
        <w:t xml:space="preserve"> vendor e-filing</w:t>
      </w:r>
      <w:r w:rsidR="00DF01CC">
        <w:rPr>
          <w:color w:val="000000"/>
          <w:sz w:val="20"/>
          <w:szCs w:val="20"/>
        </w:rPr>
        <w:t xml:space="preserve"> solution would be hosted at the vendor data center. The ACCMS related components will be hosted at the </w:t>
      </w:r>
      <w:r w:rsidR="009A3634">
        <w:rPr>
          <w:color w:val="000000"/>
          <w:sz w:val="20"/>
          <w:szCs w:val="20"/>
        </w:rPr>
        <w:t>AOC data center.</w:t>
      </w:r>
    </w:p>
    <w:p w:rsidR="00985832" w:rsidRPr="00782120" w:rsidRDefault="008D021F" w:rsidP="00985832">
      <w:pPr>
        <w:pStyle w:val="ListParagraph"/>
        <w:numPr>
          <w:ilvl w:val="0"/>
          <w:numId w:val="6"/>
        </w:numPr>
        <w:rPr>
          <w:color w:val="000000"/>
          <w:sz w:val="20"/>
          <w:szCs w:val="20"/>
        </w:rPr>
      </w:pPr>
      <w:r w:rsidRPr="00782120">
        <w:rPr>
          <w:color w:val="000000"/>
          <w:sz w:val="20"/>
          <w:szCs w:val="20"/>
        </w:rPr>
        <w:t>[Response Template</w:t>
      </w:r>
      <w:r w:rsidR="009A3634" w:rsidRPr="00782120">
        <w:rPr>
          <w:color w:val="000000"/>
          <w:sz w:val="20"/>
          <w:szCs w:val="20"/>
        </w:rPr>
        <w:t>] 2.2</w:t>
      </w:r>
      <w:r w:rsidR="00985832" w:rsidRPr="00782120">
        <w:rPr>
          <w:color w:val="000000"/>
          <w:sz w:val="20"/>
          <w:szCs w:val="20"/>
        </w:rPr>
        <w:t xml:space="preserve"> “Provide at least three references of customers with comparable service.” - Question: Will the AOC consider other electronic filing services with several 3</w:t>
      </w:r>
      <w:r w:rsidR="00985832" w:rsidRPr="00782120">
        <w:rPr>
          <w:color w:val="000000"/>
          <w:sz w:val="20"/>
          <w:szCs w:val="20"/>
          <w:vertAlign w:val="superscript"/>
        </w:rPr>
        <w:t>rd</w:t>
      </w:r>
      <w:r w:rsidR="00985832" w:rsidRPr="00782120">
        <w:rPr>
          <w:color w:val="000000"/>
          <w:sz w:val="20"/>
          <w:szCs w:val="20"/>
        </w:rPr>
        <w:t xml:space="preserve"> party interface integrations in extremely high volume environments as “comparable services”?</w:t>
      </w:r>
    </w:p>
    <w:p w:rsidR="00985832" w:rsidRPr="00782120" w:rsidRDefault="00985832" w:rsidP="00985832">
      <w:pPr>
        <w:pStyle w:val="ListParagraph"/>
        <w:ind w:left="1080"/>
        <w:rPr>
          <w:color w:val="000000"/>
          <w:sz w:val="20"/>
          <w:szCs w:val="20"/>
        </w:rPr>
      </w:pPr>
    </w:p>
    <w:p w:rsidR="00985832" w:rsidRPr="00782120" w:rsidRDefault="00171115" w:rsidP="00D70831">
      <w:pPr>
        <w:pStyle w:val="ListParagraph"/>
        <w:ind w:left="360"/>
        <w:rPr>
          <w:color w:val="000000"/>
          <w:sz w:val="20"/>
          <w:szCs w:val="20"/>
        </w:rPr>
      </w:pPr>
      <w:r w:rsidRPr="00782120">
        <w:rPr>
          <w:b/>
          <w:color w:val="000000"/>
          <w:sz w:val="20"/>
          <w:szCs w:val="20"/>
        </w:rPr>
        <w:t>Answer:</w:t>
      </w:r>
      <w:r w:rsidR="00985832" w:rsidRPr="00782120">
        <w:rPr>
          <w:color w:val="000000"/>
          <w:sz w:val="20"/>
          <w:szCs w:val="20"/>
        </w:rPr>
        <w:t xml:space="preserve"> </w:t>
      </w:r>
      <w:r w:rsidRPr="00782120">
        <w:rPr>
          <w:color w:val="000000"/>
          <w:sz w:val="20"/>
          <w:szCs w:val="20"/>
        </w:rPr>
        <w:t xml:space="preserve"> </w:t>
      </w:r>
      <w:r w:rsidR="00070238" w:rsidRPr="00782120">
        <w:rPr>
          <w:color w:val="000000"/>
          <w:sz w:val="20"/>
          <w:szCs w:val="20"/>
        </w:rPr>
        <w:t>Yes, the court would consider other e-filing references.  A vendor would be expected to gain a high level of understanding of the court filing process.</w:t>
      </w:r>
    </w:p>
    <w:p w:rsidR="00985832" w:rsidRPr="00782120" w:rsidRDefault="00985832" w:rsidP="00985832">
      <w:pPr>
        <w:pStyle w:val="ListParagraph"/>
        <w:ind w:left="1440"/>
        <w:rPr>
          <w:color w:val="000000"/>
          <w:sz w:val="20"/>
          <w:szCs w:val="20"/>
        </w:rPr>
      </w:pPr>
    </w:p>
    <w:p w:rsidR="00985832" w:rsidRPr="00782120" w:rsidRDefault="00985832" w:rsidP="00985832">
      <w:pPr>
        <w:pStyle w:val="ListParagraph"/>
        <w:numPr>
          <w:ilvl w:val="0"/>
          <w:numId w:val="6"/>
        </w:numPr>
        <w:rPr>
          <w:color w:val="000000"/>
          <w:sz w:val="20"/>
          <w:szCs w:val="20"/>
        </w:rPr>
      </w:pPr>
      <w:r w:rsidRPr="00782120">
        <w:rPr>
          <w:color w:val="000000"/>
          <w:sz w:val="20"/>
          <w:szCs w:val="20"/>
        </w:rPr>
        <w:t>[Response Template]  Question: Section 1 references 5-7 pages.  Any such requirement/preference for the remaining sections aside from the excessive graphics?</w:t>
      </w:r>
    </w:p>
    <w:p w:rsidR="00985832" w:rsidRPr="00782120" w:rsidRDefault="00171115" w:rsidP="00A60680">
      <w:pPr>
        <w:ind w:left="360"/>
        <w:rPr>
          <w:color w:val="000000"/>
          <w:sz w:val="20"/>
          <w:szCs w:val="20"/>
        </w:rPr>
      </w:pPr>
      <w:r w:rsidRPr="00782120">
        <w:rPr>
          <w:b/>
          <w:color w:val="000000"/>
          <w:sz w:val="20"/>
          <w:szCs w:val="20"/>
        </w:rPr>
        <w:t>Answer:</w:t>
      </w:r>
      <w:r w:rsidR="009112E6" w:rsidRPr="00782120">
        <w:rPr>
          <w:color w:val="000000"/>
          <w:sz w:val="20"/>
          <w:szCs w:val="20"/>
        </w:rPr>
        <w:t xml:space="preserve"> </w:t>
      </w:r>
      <w:r w:rsidRPr="00782120">
        <w:rPr>
          <w:color w:val="000000"/>
          <w:sz w:val="20"/>
          <w:szCs w:val="20"/>
        </w:rPr>
        <w:t xml:space="preserve"> All responses should clearly answer the questions</w:t>
      </w:r>
      <w:r w:rsidR="008D021F" w:rsidRPr="00782120">
        <w:rPr>
          <w:color w:val="000000"/>
          <w:sz w:val="20"/>
          <w:szCs w:val="20"/>
        </w:rPr>
        <w:t xml:space="preserve"> and give evaluators enough information to thoroughly understand the solution. There are no requirements on length. </w:t>
      </w:r>
    </w:p>
    <w:p w:rsidR="00985832" w:rsidRPr="00782120" w:rsidRDefault="00985832" w:rsidP="00985832">
      <w:pPr>
        <w:pStyle w:val="ListParagraph"/>
        <w:numPr>
          <w:ilvl w:val="0"/>
          <w:numId w:val="6"/>
        </w:numPr>
        <w:rPr>
          <w:color w:val="000000"/>
          <w:sz w:val="20"/>
          <w:szCs w:val="20"/>
        </w:rPr>
      </w:pPr>
      <w:r w:rsidRPr="00782120">
        <w:rPr>
          <w:color w:val="000000"/>
          <w:sz w:val="20"/>
          <w:szCs w:val="20"/>
        </w:rPr>
        <w:t xml:space="preserve">[Response Template]  Question: Section 7.0.  Please confirm pricing gets submitted “as is”.  Same proposal and NOT separated? </w:t>
      </w:r>
    </w:p>
    <w:p w:rsidR="009112E6" w:rsidRPr="00782120" w:rsidRDefault="00171115" w:rsidP="00D70831">
      <w:pPr>
        <w:ind w:left="360"/>
        <w:rPr>
          <w:color w:val="000000"/>
          <w:sz w:val="20"/>
          <w:szCs w:val="20"/>
        </w:rPr>
      </w:pPr>
      <w:r w:rsidRPr="00782120">
        <w:rPr>
          <w:b/>
          <w:color w:val="000000"/>
          <w:sz w:val="20"/>
          <w:szCs w:val="20"/>
        </w:rPr>
        <w:t>Answer:</w:t>
      </w:r>
      <w:r w:rsidR="009112E6" w:rsidRPr="00782120">
        <w:rPr>
          <w:color w:val="000000"/>
          <w:sz w:val="20"/>
          <w:szCs w:val="20"/>
        </w:rPr>
        <w:t xml:space="preserve"> </w:t>
      </w:r>
      <w:r w:rsidR="008D021F" w:rsidRPr="00782120">
        <w:rPr>
          <w:color w:val="000000"/>
          <w:sz w:val="20"/>
          <w:szCs w:val="20"/>
        </w:rPr>
        <w:t xml:space="preserve"> Title </w:t>
      </w:r>
      <w:r w:rsidR="009007C2" w:rsidRPr="00782120">
        <w:rPr>
          <w:color w:val="000000"/>
          <w:sz w:val="20"/>
          <w:szCs w:val="20"/>
        </w:rPr>
        <w:t xml:space="preserve">of section </w:t>
      </w:r>
      <w:r w:rsidR="00070238" w:rsidRPr="00782120">
        <w:rPr>
          <w:color w:val="000000"/>
          <w:sz w:val="20"/>
          <w:szCs w:val="20"/>
        </w:rPr>
        <w:t xml:space="preserve">7.0 </w:t>
      </w:r>
      <w:r w:rsidR="009007C2" w:rsidRPr="00782120">
        <w:rPr>
          <w:color w:val="000000"/>
          <w:sz w:val="20"/>
          <w:szCs w:val="20"/>
        </w:rPr>
        <w:t>was</w:t>
      </w:r>
      <w:r w:rsidR="008D021F" w:rsidRPr="00782120">
        <w:rPr>
          <w:color w:val="000000"/>
          <w:sz w:val="20"/>
          <w:szCs w:val="20"/>
        </w:rPr>
        <w:t xml:space="preserve"> updated to match the RFP, see Response Template </w:t>
      </w:r>
      <w:r w:rsidR="00C97DF1">
        <w:rPr>
          <w:color w:val="000000"/>
          <w:sz w:val="20"/>
          <w:szCs w:val="20"/>
        </w:rPr>
        <w:t>Revision</w:t>
      </w:r>
      <w:r w:rsidR="008D021F" w:rsidRPr="00782120">
        <w:rPr>
          <w:color w:val="000000"/>
          <w:sz w:val="20"/>
          <w:szCs w:val="20"/>
        </w:rPr>
        <w:t xml:space="preserve"> 1.  The request is that a vendor submits their model to recover costs, </w:t>
      </w:r>
      <w:r w:rsidR="009007C2" w:rsidRPr="00782120">
        <w:rPr>
          <w:color w:val="000000"/>
          <w:sz w:val="20"/>
          <w:szCs w:val="20"/>
        </w:rPr>
        <w:t>at</w:t>
      </w:r>
      <w:r w:rsidR="008D021F" w:rsidRPr="00782120">
        <w:rPr>
          <w:color w:val="000000"/>
          <w:sz w:val="20"/>
          <w:szCs w:val="20"/>
        </w:rPr>
        <w:t xml:space="preserve"> no cost to the </w:t>
      </w:r>
      <w:r w:rsidR="009007C2" w:rsidRPr="00782120">
        <w:rPr>
          <w:color w:val="000000"/>
          <w:sz w:val="20"/>
          <w:szCs w:val="20"/>
        </w:rPr>
        <w:t>CA Judicial B</w:t>
      </w:r>
      <w:r w:rsidR="008D021F" w:rsidRPr="00782120">
        <w:rPr>
          <w:color w:val="000000"/>
          <w:sz w:val="20"/>
          <w:szCs w:val="20"/>
        </w:rPr>
        <w:t xml:space="preserve">ranch.   This does not have to be </w:t>
      </w:r>
      <w:r w:rsidR="00070238" w:rsidRPr="00782120">
        <w:rPr>
          <w:color w:val="000000"/>
          <w:sz w:val="20"/>
          <w:szCs w:val="20"/>
        </w:rPr>
        <w:t>submitted separately.</w:t>
      </w:r>
    </w:p>
    <w:p w:rsidR="009112E6" w:rsidRPr="00782120" w:rsidRDefault="009112E6" w:rsidP="009112E6">
      <w:pPr>
        <w:ind w:left="720"/>
        <w:rPr>
          <w:color w:val="000000"/>
          <w:sz w:val="20"/>
          <w:szCs w:val="20"/>
        </w:rPr>
      </w:pPr>
    </w:p>
    <w:p w:rsidR="00985832" w:rsidRPr="00782120" w:rsidRDefault="00985832" w:rsidP="00985832">
      <w:pPr>
        <w:pStyle w:val="ListParagraph"/>
        <w:numPr>
          <w:ilvl w:val="0"/>
          <w:numId w:val="6"/>
        </w:numPr>
        <w:rPr>
          <w:color w:val="000000"/>
          <w:sz w:val="20"/>
          <w:szCs w:val="20"/>
        </w:rPr>
      </w:pPr>
      <w:r w:rsidRPr="00782120">
        <w:rPr>
          <w:color w:val="000000"/>
          <w:sz w:val="20"/>
          <w:szCs w:val="20"/>
        </w:rPr>
        <w:t> </w:t>
      </w:r>
      <w:r w:rsidR="009007C2" w:rsidRPr="00782120">
        <w:rPr>
          <w:color w:val="000000"/>
          <w:sz w:val="20"/>
          <w:szCs w:val="20"/>
        </w:rPr>
        <w:t>[Response Template</w:t>
      </w:r>
      <w:proofErr w:type="gramStart"/>
      <w:r w:rsidR="009007C2" w:rsidRPr="00782120">
        <w:rPr>
          <w:color w:val="000000"/>
          <w:sz w:val="20"/>
          <w:szCs w:val="20"/>
        </w:rPr>
        <w:t xml:space="preserve">] </w:t>
      </w:r>
      <w:r w:rsidRPr="00782120">
        <w:rPr>
          <w:color w:val="000000"/>
          <w:sz w:val="20"/>
          <w:szCs w:val="20"/>
        </w:rPr>
        <w:t>:</w:t>
      </w:r>
      <w:proofErr w:type="gramEnd"/>
      <w:r w:rsidRPr="00782120">
        <w:rPr>
          <w:color w:val="000000"/>
          <w:sz w:val="20"/>
          <w:szCs w:val="20"/>
        </w:rPr>
        <w:t xml:space="preserve"> Section 7.0 – What type of fee structure would the AOC prefer? Percentage, fixed rate, hybrid, anything?</w:t>
      </w:r>
    </w:p>
    <w:p w:rsidR="009112E6" w:rsidRPr="00782120" w:rsidRDefault="00171115" w:rsidP="00D70831">
      <w:pPr>
        <w:ind w:left="360"/>
        <w:rPr>
          <w:color w:val="000000"/>
          <w:sz w:val="20"/>
          <w:szCs w:val="20"/>
        </w:rPr>
      </w:pPr>
      <w:r w:rsidRPr="00782120">
        <w:rPr>
          <w:b/>
          <w:color w:val="000000"/>
          <w:sz w:val="20"/>
          <w:szCs w:val="20"/>
        </w:rPr>
        <w:t>Answer:</w:t>
      </w:r>
      <w:r w:rsidR="009112E6" w:rsidRPr="00782120">
        <w:rPr>
          <w:color w:val="000000"/>
          <w:sz w:val="20"/>
          <w:szCs w:val="20"/>
        </w:rPr>
        <w:t xml:space="preserve"> </w:t>
      </w:r>
      <w:r w:rsidR="009007C2" w:rsidRPr="00782120">
        <w:rPr>
          <w:color w:val="000000"/>
          <w:sz w:val="20"/>
          <w:szCs w:val="20"/>
        </w:rPr>
        <w:t>The AOC</w:t>
      </w:r>
      <w:r w:rsidR="008D021F" w:rsidRPr="00782120">
        <w:rPr>
          <w:color w:val="000000"/>
          <w:sz w:val="20"/>
          <w:szCs w:val="20"/>
        </w:rPr>
        <w:t xml:space="preserve"> is open to all </w:t>
      </w:r>
      <w:r w:rsidR="009007C2" w:rsidRPr="00782120">
        <w:rPr>
          <w:color w:val="000000"/>
          <w:sz w:val="20"/>
          <w:szCs w:val="20"/>
        </w:rPr>
        <w:t xml:space="preserve">viable cost recovery </w:t>
      </w:r>
      <w:r w:rsidR="008D021F" w:rsidRPr="00782120">
        <w:rPr>
          <w:color w:val="000000"/>
          <w:sz w:val="20"/>
          <w:szCs w:val="20"/>
        </w:rPr>
        <w:t>proposals</w:t>
      </w:r>
      <w:r w:rsidR="009007C2" w:rsidRPr="00782120">
        <w:rPr>
          <w:color w:val="000000"/>
          <w:sz w:val="20"/>
          <w:szCs w:val="20"/>
        </w:rPr>
        <w:t xml:space="preserve"> and fee structures. </w:t>
      </w:r>
    </w:p>
    <w:p w:rsidR="00985832" w:rsidRPr="00782120" w:rsidRDefault="009112E6" w:rsidP="00985832">
      <w:pPr>
        <w:pStyle w:val="ListParagraph"/>
        <w:numPr>
          <w:ilvl w:val="0"/>
          <w:numId w:val="6"/>
        </w:numPr>
        <w:rPr>
          <w:color w:val="000000"/>
          <w:sz w:val="20"/>
          <w:szCs w:val="20"/>
        </w:rPr>
      </w:pPr>
      <w:r w:rsidRPr="00782120">
        <w:rPr>
          <w:color w:val="000000"/>
          <w:sz w:val="20"/>
          <w:szCs w:val="20"/>
        </w:rPr>
        <w:t xml:space="preserve"> [Requirements Document</w:t>
      </w:r>
      <w:r w:rsidR="009007C2" w:rsidRPr="00782120">
        <w:rPr>
          <w:color w:val="000000"/>
          <w:sz w:val="20"/>
          <w:szCs w:val="20"/>
        </w:rPr>
        <w:t xml:space="preserve"> - Documents]</w:t>
      </w:r>
      <w:r w:rsidR="00985832" w:rsidRPr="00782120">
        <w:rPr>
          <w:color w:val="000000"/>
          <w:sz w:val="20"/>
          <w:szCs w:val="20"/>
        </w:rPr>
        <w:t>: </w:t>
      </w:r>
      <w:r w:rsidR="009007C2" w:rsidRPr="00782120">
        <w:rPr>
          <w:color w:val="000000"/>
          <w:sz w:val="20"/>
          <w:szCs w:val="20"/>
        </w:rPr>
        <w:t xml:space="preserve"> </w:t>
      </w:r>
      <w:r w:rsidR="00985832" w:rsidRPr="00782120">
        <w:rPr>
          <w:color w:val="000000"/>
          <w:sz w:val="20"/>
          <w:szCs w:val="20"/>
        </w:rPr>
        <w:t>4.4 &amp; 4.4.1 “Document size” – Would 20MB be an AOC limit or is this just a minimum/general number?</w:t>
      </w:r>
    </w:p>
    <w:p w:rsidR="009112E6" w:rsidRPr="00782120" w:rsidRDefault="00171115" w:rsidP="00D70831">
      <w:pPr>
        <w:ind w:left="360"/>
        <w:rPr>
          <w:color w:val="000000"/>
          <w:sz w:val="20"/>
          <w:szCs w:val="20"/>
        </w:rPr>
      </w:pPr>
      <w:r w:rsidRPr="00782120">
        <w:rPr>
          <w:b/>
          <w:color w:val="000000"/>
          <w:sz w:val="20"/>
          <w:szCs w:val="20"/>
        </w:rPr>
        <w:t>Answer:</w:t>
      </w:r>
      <w:r w:rsidR="009112E6" w:rsidRPr="00782120">
        <w:rPr>
          <w:color w:val="000000"/>
          <w:sz w:val="20"/>
          <w:szCs w:val="20"/>
        </w:rPr>
        <w:t xml:space="preserve"> </w:t>
      </w:r>
      <w:r w:rsidR="00070238" w:rsidRPr="00782120">
        <w:rPr>
          <w:color w:val="000000"/>
          <w:sz w:val="20"/>
          <w:szCs w:val="20"/>
        </w:rPr>
        <w:t>This requirement was modified to remove the 20MB limit and add support for FTP.</w:t>
      </w:r>
      <w:r w:rsidR="005D4BF0" w:rsidRPr="00782120">
        <w:rPr>
          <w:color w:val="000000"/>
          <w:sz w:val="20"/>
          <w:szCs w:val="20"/>
        </w:rPr>
        <w:t xml:space="preserve"> </w:t>
      </w:r>
      <w:r w:rsidR="00070238" w:rsidRPr="00782120">
        <w:rPr>
          <w:color w:val="000000"/>
          <w:sz w:val="20"/>
          <w:szCs w:val="20"/>
        </w:rPr>
        <w:t xml:space="preserve"> See </w:t>
      </w:r>
      <w:r w:rsidR="00421D82">
        <w:rPr>
          <w:color w:val="000000"/>
          <w:sz w:val="20"/>
          <w:szCs w:val="20"/>
        </w:rPr>
        <w:t xml:space="preserve">Attachment 4 </w:t>
      </w:r>
      <w:r w:rsidR="00C97DF1">
        <w:rPr>
          <w:color w:val="000000"/>
          <w:sz w:val="20"/>
          <w:szCs w:val="20"/>
        </w:rPr>
        <w:t>Revision 1, requirement T300.1.1.3</w:t>
      </w:r>
      <w:r w:rsidR="00FD582B">
        <w:rPr>
          <w:color w:val="000000"/>
          <w:sz w:val="20"/>
          <w:szCs w:val="20"/>
        </w:rPr>
        <w:t xml:space="preserve">. The 20MB limit we experienced in the past would not be an issue </w:t>
      </w:r>
      <w:r w:rsidR="00B40AE7">
        <w:rPr>
          <w:color w:val="000000"/>
          <w:sz w:val="20"/>
          <w:szCs w:val="20"/>
        </w:rPr>
        <w:t>if an</w:t>
      </w:r>
      <w:r w:rsidR="00FD582B">
        <w:rPr>
          <w:color w:val="000000"/>
          <w:sz w:val="20"/>
          <w:szCs w:val="20"/>
        </w:rPr>
        <w:t xml:space="preserve"> FTP solution is implemented. </w:t>
      </w:r>
    </w:p>
    <w:p w:rsidR="00985832" w:rsidRPr="00782120" w:rsidRDefault="009112E6" w:rsidP="00985832">
      <w:pPr>
        <w:pStyle w:val="ListParagraph"/>
        <w:numPr>
          <w:ilvl w:val="0"/>
          <w:numId w:val="6"/>
        </w:numPr>
        <w:rPr>
          <w:color w:val="000000"/>
          <w:sz w:val="20"/>
          <w:szCs w:val="20"/>
        </w:rPr>
      </w:pPr>
      <w:r w:rsidRPr="00782120">
        <w:rPr>
          <w:color w:val="000000"/>
          <w:sz w:val="20"/>
          <w:szCs w:val="20"/>
        </w:rPr>
        <w:t xml:space="preserve"> [Requirements Document</w:t>
      </w:r>
      <w:r w:rsidR="009007C2" w:rsidRPr="00782120">
        <w:rPr>
          <w:color w:val="000000"/>
          <w:sz w:val="20"/>
          <w:szCs w:val="20"/>
        </w:rPr>
        <w:t xml:space="preserve"> - Documents</w:t>
      </w:r>
      <w:r w:rsidRPr="00782120">
        <w:rPr>
          <w:color w:val="000000"/>
          <w:sz w:val="20"/>
          <w:szCs w:val="20"/>
        </w:rPr>
        <w:t xml:space="preserve">]:  </w:t>
      </w:r>
      <w:r w:rsidR="00985832" w:rsidRPr="00782120">
        <w:rPr>
          <w:color w:val="000000"/>
          <w:sz w:val="20"/>
          <w:szCs w:val="20"/>
        </w:rPr>
        <w:t>4.5 “Vendor shall ensure that all submitted documents are PDF” – Question: Would AOC accept a solution that converted a word/other text document into PDF?</w:t>
      </w:r>
    </w:p>
    <w:p w:rsidR="009112E6" w:rsidRPr="00782120" w:rsidRDefault="00171115" w:rsidP="00D70831">
      <w:pPr>
        <w:ind w:left="360"/>
        <w:rPr>
          <w:color w:val="000000"/>
          <w:sz w:val="20"/>
          <w:szCs w:val="20"/>
        </w:rPr>
      </w:pPr>
      <w:r w:rsidRPr="00782120">
        <w:rPr>
          <w:b/>
          <w:color w:val="000000"/>
          <w:sz w:val="20"/>
          <w:szCs w:val="20"/>
        </w:rPr>
        <w:t>Answer:</w:t>
      </w:r>
      <w:r w:rsidR="009112E6" w:rsidRPr="00782120">
        <w:rPr>
          <w:color w:val="000000"/>
          <w:sz w:val="20"/>
          <w:szCs w:val="20"/>
        </w:rPr>
        <w:t xml:space="preserve"> </w:t>
      </w:r>
      <w:r w:rsidR="00D2408B">
        <w:rPr>
          <w:color w:val="000000"/>
          <w:sz w:val="20"/>
          <w:szCs w:val="20"/>
        </w:rPr>
        <w:t>Yes. I</w:t>
      </w:r>
      <w:r w:rsidR="009112E6" w:rsidRPr="00782120">
        <w:rPr>
          <w:color w:val="000000"/>
          <w:sz w:val="20"/>
          <w:szCs w:val="20"/>
        </w:rPr>
        <w:t xml:space="preserve">t is the vendor responsibility to convert documents to PDF prior to sending to the </w:t>
      </w:r>
      <w:r w:rsidR="000A0694">
        <w:rPr>
          <w:color w:val="000000"/>
          <w:sz w:val="20"/>
          <w:szCs w:val="20"/>
        </w:rPr>
        <w:t>Court</w:t>
      </w:r>
      <w:r w:rsidR="009112E6" w:rsidRPr="00782120">
        <w:rPr>
          <w:color w:val="000000"/>
          <w:sz w:val="20"/>
          <w:szCs w:val="20"/>
        </w:rPr>
        <w:t>.</w:t>
      </w:r>
      <w:r w:rsidR="00D2408B">
        <w:rPr>
          <w:color w:val="000000"/>
          <w:sz w:val="20"/>
          <w:szCs w:val="20"/>
        </w:rPr>
        <w:t xml:space="preserve"> How the vendor does the conversion is the </w:t>
      </w:r>
      <w:proofErr w:type="gramStart"/>
      <w:r w:rsidR="00D2408B">
        <w:rPr>
          <w:color w:val="000000"/>
          <w:sz w:val="20"/>
          <w:szCs w:val="20"/>
        </w:rPr>
        <w:t>vendors</w:t>
      </w:r>
      <w:proofErr w:type="gramEnd"/>
      <w:r w:rsidR="00D2408B">
        <w:rPr>
          <w:color w:val="000000"/>
          <w:sz w:val="20"/>
          <w:szCs w:val="20"/>
        </w:rPr>
        <w:t xml:space="preserve"> decision.</w:t>
      </w:r>
    </w:p>
    <w:p w:rsidR="00985832" w:rsidRPr="00782120" w:rsidRDefault="00D70831" w:rsidP="009112E6">
      <w:pPr>
        <w:pStyle w:val="ListParagraph"/>
        <w:numPr>
          <w:ilvl w:val="0"/>
          <w:numId w:val="6"/>
        </w:numPr>
        <w:rPr>
          <w:color w:val="000000"/>
          <w:sz w:val="20"/>
          <w:szCs w:val="20"/>
        </w:rPr>
      </w:pPr>
      <w:r w:rsidRPr="00782120">
        <w:rPr>
          <w:color w:val="000000"/>
          <w:sz w:val="20"/>
          <w:szCs w:val="20"/>
        </w:rPr>
        <w:t xml:space="preserve"> </w:t>
      </w:r>
      <w:r w:rsidR="009112E6" w:rsidRPr="00782120">
        <w:rPr>
          <w:color w:val="000000"/>
          <w:sz w:val="20"/>
          <w:szCs w:val="20"/>
        </w:rPr>
        <w:t>[Requirements Document - Fees]</w:t>
      </w:r>
      <w:r w:rsidR="00985832" w:rsidRPr="00782120">
        <w:rPr>
          <w:color w:val="000000"/>
          <w:sz w:val="20"/>
          <w:szCs w:val="20"/>
        </w:rPr>
        <w:t>:</w:t>
      </w:r>
      <w:r w:rsidR="009112E6" w:rsidRPr="00782120">
        <w:rPr>
          <w:color w:val="000000"/>
          <w:sz w:val="20"/>
          <w:szCs w:val="20"/>
        </w:rPr>
        <w:t xml:space="preserve"> </w:t>
      </w:r>
      <w:r w:rsidR="00985832" w:rsidRPr="00782120">
        <w:rPr>
          <w:color w:val="000000"/>
          <w:sz w:val="20"/>
          <w:szCs w:val="20"/>
        </w:rPr>
        <w:t xml:space="preserve">6.2 “Vendor shall collect all applicable filing and response fees.” – Question: What does the AOC consider a response fee? </w:t>
      </w:r>
    </w:p>
    <w:p w:rsidR="009112E6" w:rsidRPr="00782120" w:rsidRDefault="00171115" w:rsidP="00D70831">
      <w:pPr>
        <w:ind w:left="360"/>
        <w:rPr>
          <w:color w:val="000000"/>
          <w:sz w:val="20"/>
          <w:szCs w:val="20"/>
        </w:rPr>
      </w:pPr>
      <w:r w:rsidRPr="00782120">
        <w:rPr>
          <w:b/>
          <w:color w:val="000000"/>
          <w:sz w:val="20"/>
          <w:szCs w:val="20"/>
        </w:rPr>
        <w:t>Answer:</w:t>
      </w:r>
      <w:r w:rsidR="009112E6" w:rsidRPr="00782120">
        <w:rPr>
          <w:color w:val="000000"/>
          <w:sz w:val="20"/>
          <w:szCs w:val="20"/>
        </w:rPr>
        <w:t xml:space="preserve"> </w:t>
      </w:r>
      <w:r w:rsidR="00CA5070" w:rsidRPr="00782120">
        <w:rPr>
          <w:color w:val="000000"/>
          <w:sz w:val="20"/>
          <w:szCs w:val="20"/>
        </w:rPr>
        <w:t xml:space="preserve">This refers only to statutory filing fees.  Responding parties also have filing fees due.  The required fees are listed in Govt. Code §§ 68926, 68926.1, 68926.3 and 68927 (see Rule of Court 8.25)   </w:t>
      </w:r>
    </w:p>
    <w:p w:rsidR="00985832" w:rsidRPr="00782120" w:rsidRDefault="009112E6" w:rsidP="009112E6">
      <w:pPr>
        <w:pStyle w:val="ListParagraph"/>
        <w:numPr>
          <w:ilvl w:val="0"/>
          <w:numId w:val="6"/>
        </w:numPr>
        <w:rPr>
          <w:color w:val="000000"/>
          <w:sz w:val="20"/>
          <w:szCs w:val="20"/>
        </w:rPr>
      </w:pPr>
      <w:r w:rsidRPr="00782120">
        <w:rPr>
          <w:color w:val="000000"/>
          <w:sz w:val="20"/>
          <w:szCs w:val="20"/>
        </w:rPr>
        <w:t xml:space="preserve"> [Requirements Document - Fees]:  </w:t>
      </w:r>
      <w:r w:rsidR="00985832" w:rsidRPr="00782120">
        <w:rPr>
          <w:color w:val="000000"/>
          <w:sz w:val="20"/>
          <w:szCs w:val="20"/>
        </w:rPr>
        <w:t>6.4 “Vendor shall forward the Court Filing Fees and Court Service Fees to the court” – Question: Would this be going into a single account or multiple accounts per court?</w:t>
      </w:r>
    </w:p>
    <w:p w:rsidR="009112E6" w:rsidRPr="00782120" w:rsidRDefault="00171115" w:rsidP="00D70831">
      <w:pPr>
        <w:ind w:left="360"/>
        <w:rPr>
          <w:color w:val="000000"/>
          <w:sz w:val="20"/>
          <w:szCs w:val="20"/>
        </w:rPr>
      </w:pPr>
      <w:r w:rsidRPr="00782120">
        <w:rPr>
          <w:b/>
          <w:color w:val="000000"/>
          <w:sz w:val="20"/>
          <w:szCs w:val="20"/>
        </w:rPr>
        <w:t>Answer:</w:t>
      </w:r>
      <w:r w:rsidR="009112E6" w:rsidRPr="00782120">
        <w:rPr>
          <w:color w:val="000000"/>
          <w:sz w:val="20"/>
          <w:szCs w:val="20"/>
        </w:rPr>
        <w:t xml:space="preserve"> </w:t>
      </w:r>
      <w:r w:rsidR="00CA5070" w:rsidRPr="00782120">
        <w:rPr>
          <w:color w:val="000000"/>
          <w:sz w:val="20"/>
          <w:szCs w:val="20"/>
        </w:rPr>
        <w:t>Only delivery to a single account is required.  The fees that require special allocation under Govt. Code §§ 68926.1 and 68926.3 are handled internally, and the vendor does not need to do any allocation.</w:t>
      </w:r>
    </w:p>
    <w:p w:rsidR="00985832" w:rsidRPr="001A3F4A" w:rsidRDefault="009112E6" w:rsidP="00985832">
      <w:pPr>
        <w:pStyle w:val="ListParagraph"/>
        <w:numPr>
          <w:ilvl w:val="0"/>
          <w:numId w:val="6"/>
        </w:numPr>
        <w:rPr>
          <w:color w:val="000000"/>
          <w:sz w:val="20"/>
          <w:szCs w:val="20"/>
        </w:rPr>
      </w:pPr>
      <w:r w:rsidRPr="001A3F4A">
        <w:rPr>
          <w:color w:val="000000"/>
          <w:sz w:val="20"/>
          <w:szCs w:val="20"/>
        </w:rPr>
        <w:t xml:space="preserve">[Requirements Document - </w:t>
      </w:r>
      <w:r w:rsidR="00985832" w:rsidRPr="001A3F4A">
        <w:rPr>
          <w:color w:val="000000"/>
          <w:sz w:val="20"/>
          <w:szCs w:val="20"/>
        </w:rPr>
        <w:t>E-Services &amp; E-Notice</w:t>
      </w:r>
      <w:r w:rsidRPr="001A3F4A">
        <w:rPr>
          <w:color w:val="000000"/>
          <w:sz w:val="20"/>
          <w:szCs w:val="20"/>
        </w:rPr>
        <w:t>]</w:t>
      </w:r>
      <w:r w:rsidR="00985832" w:rsidRPr="001A3F4A">
        <w:rPr>
          <w:color w:val="000000"/>
          <w:sz w:val="20"/>
          <w:szCs w:val="20"/>
        </w:rPr>
        <w:t>:</w:t>
      </w:r>
      <w:r w:rsidRPr="001A3F4A">
        <w:rPr>
          <w:color w:val="000000"/>
          <w:sz w:val="20"/>
          <w:szCs w:val="20"/>
        </w:rPr>
        <w:t xml:space="preserve"> </w:t>
      </w:r>
      <w:r w:rsidR="00985832" w:rsidRPr="001A3F4A">
        <w:rPr>
          <w:color w:val="000000"/>
          <w:sz w:val="20"/>
          <w:szCs w:val="20"/>
        </w:rPr>
        <w:t>7.1.2 “When E-Service is initiated the Vendor shall support sending a hyperlink to</w:t>
      </w:r>
      <w:r w:rsidR="00600249" w:rsidRPr="001A3F4A">
        <w:rPr>
          <w:color w:val="000000"/>
          <w:sz w:val="20"/>
          <w:szCs w:val="20"/>
        </w:rPr>
        <w:t xml:space="preserve"> </w:t>
      </w:r>
      <w:r w:rsidR="00985832" w:rsidRPr="001A3F4A">
        <w:rPr>
          <w:color w:val="000000"/>
          <w:sz w:val="20"/>
          <w:szCs w:val="20"/>
        </w:rPr>
        <w:t xml:space="preserve"> the documents, not the documents themselves” – Question: Would the AOC prefer a solution that kept a “local” copy of a filing for a period of time and acted as almost a L2 cache?  Or should the documents always be retrieved from the ACCMS?</w:t>
      </w:r>
    </w:p>
    <w:p w:rsidR="00782120" w:rsidRDefault="00171115" w:rsidP="00B43752">
      <w:pPr>
        <w:ind w:left="360"/>
        <w:rPr>
          <w:color w:val="000000"/>
          <w:sz w:val="20"/>
          <w:szCs w:val="20"/>
        </w:rPr>
      </w:pPr>
      <w:r w:rsidRPr="001A3F4A">
        <w:rPr>
          <w:b/>
          <w:color w:val="000000"/>
          <w:sz w:val="20"/>
          <w:szCs w:val="20"/>
        </w:rPr>
        <w:t>Answer:</w:t>
      </w:r>
      <w:r w:rsidRPr="001A3F4A">
        <w:rPr>
          <w:color w:val="000000"/>
          <w:sz w:val="20"/>
          <w:szCs w:val="20"/>
        </w:rPr>
        <w:t xml:space="preserve"> </w:t>
      </w:r>
      <w:r w:rsidR="00B43752" w:rsidRPr="001A3F4A">
        <w:rPr>
          <w:color w:val="000000"/>
          <w:sz w:val="20"/>
          <w:szCs w:val="20"/>
        </w:rPr>
        <w:t>There is</w:t>
      </w:r>
      <w:r w:rsidR="00B43752" w:rsidRPr="00782120">
        <w:rPr>
          <w:color w:val="000000"/>
          <w:sz w:val="20"/>
          <w:szCs w:val="20"/>
        </w:rPr>
        <w:t xml:space="preserve"> </w:t>
      </w:r>
      <w:proofErr w:type="gramStart"/>
      <w:r w:rsidR="00B43752" w:rsidRPr="00782120">
        <w:rPr>
          <w:color w:val="000000"/>
          <w:sz w:val="20"/>
          <w:szCs w:val="20"/>
        </w:rPr>
        <w:t>no  preference</w:t>
      </w:r>
      <w:proofErr w:type="gramEnd"/>
      <w:r w:rsidR="00DD34CF">
        <w:rPr>
          <w:color w:val="000000"/>
          <w:sz w:val="20"/>
          <w:szCs w:val="20"/>
        </w:rPr>
        <w:t xml:space="preserve">, but either a </w:t>
      </w:r>
      <w:r w:rsidR="00B43752" w:rsidRPr="00782120">
        <w:rPr>
          <w:color w:val="000000"/>
          <w:sz w:val="20"/>
          <w:szCs w:val="20"/>
        </w:rPr>
        <w:t xml:space="preserve"> hyperlink or </w:t>
      </w:r>
      <w:r w:rsidR="00DD34CF">
        <w:rPr>
          <w:color w:val="000000"/>
          <w:sz w:val="20"/>
          <w:szCs w:val="20"/>
        </w:rPr>
        <w:t xml:space="preserve">the </w:t>
      </w:r>
      <w:r w:rsidR="00B43752" w:rsidRPr="00782120">
        <w:rPr>
          <w:color w:val="000000"/>
          <w:sz w:val="20"/>
          <w:szCs w:val="20"/>
        </w:rPr>
        <w:t>documents</w:t>
      </w:r>
      <w:r w:rsidR="00DD34CF">
        <w:rPr>
          <w:color w:val="000000"/>
          <w:sz w:val="20"/>
          <w:szCs w:val="20"/>
        </w:rPr>
        <w:t xml:space="preserve"> must be sent to the filer</w:t>
      </w:r>
      <w:r w:rsidR="00B43752" w:rsidRPr="00782120">
        <w:rPr>
          <w:color w:val="000000"/>
          <w:sz w:val="20"/>
          <w:szCs w:val="20"/>
        </w:rPr>
        <w:t xml:space="preserve">. The requirements have been modified. </w:t>
      </w:r>
      <w:r w:rsidR="00CB59BF">
        <w:rPr>
          <w:color w:val="000000"/>
          <w:sz w:val="20"/>
          <w:szCs w:val="20"/>
        </w:rPr>
        <w:t xml:space="preserve"> See Attachment 4 Revision #1.</w:t>
      </w:r>
    </w:p>
    <w:p w:rsidR="00B43752" w:rsidRPr="00782120" w:rsidRDefault="00B43752" w:rsidP="00B43752">
      <w:pPr>
        <w:ind w:left="360"/>
        <w:rPr>
          <w:color w:val="000000"/>
          <w:sz w:val="20"/>
          <w:szCs w:val="20"/>
        </w:rPr>
      </w:pPr>
      <w:r w:rsidRPr="00782120">
        <w:rPr>
          <w:color w:val="000000"/>
          <w:sz w:val="20"/>
          <w:szCs w:val="20"/>
        </w:rPr>
        <w:t>Service through hyperlink is only one of the methods authorized under Rule of Court 8.71.  Rule 8.70(d</w:t>
      </w:r>
      <w:proofErr w:type="gramStart"/>
      <w:r w:rsidRPr="00782120">
        <w:rPr>
          <w:color w:val="000000"/>
          <w:sz w:val="20"/>
          <w:szCs w:val="20"/>
        </w:rPr>
        <w:t>)(</w:t>
      </w:r>
      <w:proofErr w:type="gramEnd"/>
      <w:r w:rsidRPr="00782120">
        <w:rPr>
          <w:color w:val="000000"/>
          <w:sz w:val="20"/>
          <w:szCs w:val="20"/>
        </w:rPr>
        <w:t xml:space="preserve">(5) defines hyperlink service as “electronic notification.”  Rule of Court 8.71(e) outlines the requirements </w:t>
      </w:r>
      <w:r w:rsidRPr="00782120">
        <w:rPr>
          <w:i/>
          <w:color w:val="000000"/>
          <w:sz w:val="20"/>
          <w:szCs w:val="20"/>
        </w:rPr>
        <w:t>if</w:t>
      </w:r>
      <w:r w:rsidRPr="00782120">
        <w:rPr>
          <w:color w:val="000000"/>
          <w:sz w:val="20"/>
          <w:szCs w:val="20"/>
        </w:rPr>
        <w:t xml:space="preserve"> this method is used, but requires that the hyperlink must be maintained until the case is final. </w:t>
      </w:r>
    </w:p>
    <w:p w:rsidR="00985832" w:rsidRPr="00782120" w:rsidRDefault="00F24611" w:rsidP="00985832">
      <w:pPr>
        <w:pStyle w:val="ListParagraph"/>
        <w:numPr>
          <w:ilvl w:val="0"/>
          <w:numId w:val="6"/>
        </w:numPr>
        <w:rPr>
          <w:color w:val="000000"/>
          <w:sz w:val="20"/>
          <w:szCs w:val="20"/>
        </w:rPr>
      </w:pPr>
      <w:r w:rsidRPr="00782120">
        <w:rPr>
          <w:color w:val="000000"/>
          <w:sz w:val="20"/>
          <w:szCs w:val="20"/>
        </w:rPr>
        <w:t xml:space="preserve"> </w:t>
      </w:r>
      <w:r w:rsidR="009112E6" w:rsidRPr="00782120">
        <w:rPr>
          <w:color w:val="000000"/>
          <w:sz w:val="20"/>
          <w:szCs w:val="20"/>
        </w:rPr>
        <w:t xml:space="preserve">[Requirements Document – </w:t>
      </w:r>
      <w:r w:rsidR="00985832" w:rsidRPr="00782120">
        <w:rPr>
          <w:color w:val="000000"/>
          <w:sz w:val="20"/>
          <w:szCs w:val="20"/>
        </w:rPr>
        <w:t>Security</w:t>
      </w:r>
      <w:r w:rsidR="009112E6" w:rsidRPr="00782120">
        <w:rPr>
          <w:color w:val="000000"/>
          <w:sz w:val="20"/>
          <w:szCs w:val="20"/>
        </w:rPr>
        <w:t>]</w:t>
      </w:r>
      <w:r w:rsidR="00985832" w:rsidRPr="00782120">
        <w:rPr>
          <w:color w:val="000000"/>
          <w:sz w:val="20"/>
          <w:szCs w:val="20"/>
        </w:rPr>
        <w:t>:</w:t>
      </w:r>
      <w:r w:rsidR="009112E6" w:rsidRPr="00782120">
        <w:rPr>
          <w:color w:val="000000"/>
          <w:sz w:val="20"/>
          <w:szCs w:val="20"/>
        </w:rPr>
        <w:t xml:space="preserve"> </w:t>
      </w:r>
      <w:r w:rsidR="00985832" w:rsidRPr="00782120">
        <w:rPr>
          <w:color w:val="000000"/>
          <w:sz w:val="20"/>
          <w:szCs w:val="20"/>
        </w:rPr>
        <w:t>T300.1.1.2 “All automated exchanges of data between the Portal and ACCMS will require authentication and authorization processing” – Question: What type of auth does the AOC envision between the applications?</w:t>
      </w:r>
    </w:p>
    <w:p w:rsidR="00171115" w:rsidRPr="00782120" w:rsidRDefault="00171115" w:rsidP="00D70831">
      <w:pPr>
        <w:ind w:left="360"/>
        <w:rPr>
          <w:color w:val="000000"/>
          <w:sz w:val="20"/>
          <w:szCs w:val="20"/>
        </w:rPr>
      </w:pPr>
      <w:r w:rsidRPr="00782120">
        <w:rPr>
          <w:b/>
          <w:color w:val="000000"/>
          <w:sz w:val="20"/>
          <w:szCs w:val="20"/>
        </w:rPr>
        <w:t>Answer:</w:t>
      </w:r>
      <w:r w:rsidRPr="00782120">
        <w:rPr>
          <w:color w:val="000000"/>
          <w:sz w:val="20"/>
          <w:szCs w:val="20"/>
        </w:rPr>
        <w:t xml:space="preserve"> </w:t>
      </w:r>
      <w:r w:rsidR="004B4474" w:rsidRPr="00782120">
        <w:rPr>
          <w:color w:val="000000"/>
          <w:sz w:val="20"/>
          <w:szCs w:val="20"/>
        </w:rPr>
        <w:t xml:space="preserve"> The authentication mechanism we currently support is username/password. </w:t>
      </w:r>
    </w:p>
    <w:p w:rsidR="00171115" w:rsidRPr="00782120" w:rsidRDefault="00171115" w:rsidP="00171115">
      <w:pPr>
        <w:pStyle w:val="ListParagraph"/>
        <w:ind w:left="1440"/>
        <w:rPr>
          <w:color w:val="000000"/>
          <w:sz w:val="20"/>
          <w:szCs w:val="20"/>
        </w:rPr>
      </w:pPr>
    </w:p>
    <w:p w:rsidR="00985832" w:rsidRPr="00782120" w:rsidRDefault="00171115" w:rsidP="00985832">
      <w:pPr>
        <w:pStyle w:val="ListParagraph"/>
        <w:numPr>
          <w:ilvl w:val="0"/>
          <w:numId w:val="6"/>
        </w:numPr>
        <w:rPr>
          <w:color w:val="000000"/>
          <w:sz w:val="20"/>
          <w:szCs w:val="20"/>
        </w:rPr>
      </w:pPr>
      <w:r w:rsidRPr="00782120">
        <w:rPr>
          <w:color w:val="000000"/>
          <w:sz w:val="20"/>
          <w:szCs w:val="20"/>
        </w:rPr>
        <w:t xml:space="preserve"> [Requirements Document – </w:t>
      </w:r>
      <w:r w:rsidR="00985832" w:rsidRPr="00782120">
        <w:rPr>
          <w:color w:val="000000"/>
          <w:sz w:val="20"/>
          <w:szCs w:val="20"/>
        </w:rPr>
        <w:t>Integration</w:t>
      </w:r>
      <w:r w:rsidRPr="00782120">
        <w:rPr>
          <w:color w:val="000000"/>
          <w:sz w:val="20"/>
          <w:szCs w:val="20"/>
        </w:rPr>
        <w:t>]</w:t>
      </w:r>
      <w:r w:rsidR="00985832" w:rsidRPr="00782120">
        <w:rPr>
          <w:color w:val="000000"/>
          <w:sz w:val="20"/>
          <w:szCs w:val="20"/>
        </w:rPr>
        <w:t>:</w:t>
      </w:r>
      <w:r w:rsidRPr="00782120">
        <w:rPr>
          <w:color w:val="000000"/>
          <w:sz w:val="20"/>
          <w:szCs w:val="20"/>
        </w:rPr>
        <w:t xml:space="preserve">  </w:t>
      </w:r>
      <w:r w:rsidR="00985832" w:rsidRPr="00782120">
        <w:rPr>
          <w:color w:val="000000"/>
          <w:sz w:val="20"/>
          <w:szCs w:val="20"/>
        </w:rPr>
        <w:t>T100.1 - "The system shall support integration and/or interfaces between or among other systems" – Question: Can you touch on some other possible systems?  Would this be external services such as validating attorney #s?</w:t>
      </w:r>
    </w:p>
    <w:p w:rsidR="00171115" w:rsidRPr="00782120" w:rsidRDefault="00171115" w:rsidP="00D70831">
      <w:pPr>
        <w:ind w:left="360"/>
        <w:rPr>
          <w:color w:val="000000"/>
          <w:sz w:val="20"/>
          <w:szCs w:val="20"/>
        </w:rPr>
      </w:pPr>
      <w:r w:rsidRPr="00782120">
        <w:rPr>
          <w:b/>
          <w:color w:val="000000"/>
          <w:sz w:val="20"/>
          <w:szCs w:val="20"/>
        </w:rPr>
        <w:t>Answer:</w:t>
      </w:r>
      <w:r w:rsidRPr="00782120">
        <w:rPr>
          <w:color w:val="000000"/>
          <w:sz w:val="20"/>
          <w:szCs w:val="20"/>
        </w:rPr>
        <w:t xml:space="preserve"> </w:t>
      </w:r>
      <w:r w:rsidR="003405C6" w:rsidRPr="00782120">
        <w:rPr>
          <w:color w:val="000000"/>
          <w:sz w:val="20"/>
          <w:szCs w:val="20"/>
        </w:rPr>
        <w:t xml:space="preserve"> The e-filing solution will integrate with ACCMS. </w:t>
      </w:r>
      <w:r w:rsidR="00421D82">
        <w:rPr>
          <w:color w:val="000000"/>
          <w:sz w:val="20"/>
          <w:szCs w:val="20"/>
        </w:rPr>
        <w:t xml:space="preserve">Other </w:t>
      </w:r>
      <w:r w:rsidR="00C97DF1">
        <w:rPr>
          <w:color w:val="000000"/>
          <w:sz w:val="20"/>
          <w:szCs w:val="20"/>
        </w:rPr>
        <w:t xml:space="preserve">examples </w:t>
      </w:r>
      <w:r w:rsidR="00C97DF1" w:rsidRPr="00782120">
        <w:rPr>
          <w:color w:val="000000"/>
          <w:sz w:val="20"/>
          <w:szCs w:val="20"/>
        </w:rPr>
        <w:t>would</w:t>
      </w:r>
      <w:r w:rsidR="003405C6" w:rsidRPr="00782120">
        <w:rPr>
          <w:color w:val="000000"/>
          <w:sz w:val="20"/>
          <w:szCs w:val="20"/>
        </w:rPr>
        <w:t xml:space="preserve"> </w:t>
      </w:r>
      <w:r w:rsidR="00421D82">
        <w:rPr>
          <w:color w:val="000000"/>
          <w:sz w:val="20"/>
          <w:szCs w:val="20"/>
        </w:rPr>
        <w:t xml:space="preserve">include interfaces with </w:t>
      </w:r>
      <w:r w:rsidR="003405C6" w:rsidRPr="00782120">
        <w:rPr>
          <w:color w:val="000000"/>
          <w:sz w:val="20"/>
          <w:szCs w:val="20"/>
        </w:rPr>
        <w:t>trial cou</w:t>
      </w:r>
      <w:r w:rsidR="00421D82">
        <w:rPr>
          <w:color w:val="000000"/>
          <w:sz w:val="20"/>
          <w:szCs w:val="20"/>
        </w:rPr>
        <w:t>r</w:t>
      </w:r>
      <w:r w:rsidR="003405C6" w:rsidRPr="00782120">
        <w:rPr>
          <w:color w:val="000000"/>
          <w:sz w:val="20"/>
          <w:szCs w:val="20"/>
        </w:rPr>
        <w:t>ts and</w:t>
      </w:r>
      <w:r w:rsidR="00421D82">
        <w:rPr>
          <w:color w:val="000000"/>
          <w:sz w:val="20"/>
          <w:szCs w:val="20"/>
        </w:rPr>
        <w:t>/or</w:t>
      </w:r>
      <w:r w:rsidR="003405C6" w:rsidRPr="00782120">
        <w:rPr>
          <w:color w:val="000000"/>
          <w:sz w:val="20"/>
          <w:szCs w:val="20"/>
        </w:rPr>
        <w:t xml:space="preserve"> Justice Partners. Other </w:t>
      </w:r>
      <w:r w:rsidRPr="00782120">
        <w:rPr>
          <w:color w:val="000000"/>
          <w:sz w:val="20"/>
          <w:szCs w:val="20"/>
        </w:rPr>
        <w:t xml:space="preserve">systems may be defined by vendor, and may include systems such as a credit card clearing house. Validating attorney’s </w:t>
      </w:r>
      <w:r w:rsidR="00421D82">
        <w:rPr>
          <w:color w:val="000000"/>
          <w:sz w:val="20"/>
          <w:szCs w:val="20"/>
        </w:rPr>
        <w:t xml:space="preserve">bar </w:t>
      </w:r>
      <w:r w:rsidRPr="00782120">
        <w:rPr>
          <w:color w:val="000000"/>
          <w:sz w:val="20"/>
          <w:szCs w:val="20"/>
        </w:rPr>
        <w:t>number is not a requirement of this RFP.</w:t>
      </w:r>
    </w:p>
    <w:p w:rsidR="00985832" w:rsidRPr="00782120" w:rsidRDefault="00171115" w:rsidP="00985832">
      <w:pPr>
        <w:pStyle w:val="ListParagraph"/>
        <w:numPr>
          <w:ilvl w:val="0"/>
          <w:numId w:val="6"/>
        </w:numPr>
        <w:rPr>
          <w:color w:val="000000"/>
          <w:sz w:val="20"/>
          <w:szCs w:val="20"/>
        </w:rPr>
      </w:pPr>
      <w:r w:rsidRPr="00782120">
        <w:rPr>
          <w:color w:val="000000"/>
          <w:sz w:val="20"/>
          <w:szCs w:val="20"/>
        </w:rPr>
        <w:t xml:space="preserve">[Requirements Document – </w:t>
      </w:r>
      <w:r w:rsidR="00985832" w:rsidRPr="00782120">
        <w:rPr>
          <w:color w:val="000000"/>
          <w:sz w:val="20"/>
          <w:szCs w:val="20"/>
        </w:rPr>
        <w:t>Phase 2 Fees</w:t>
      </w:r>
      <w:r w:rsidRPr="00782120">
        <w:rPr>
          <w:color w:val="000000"/>
          <w:sz w:val="20"/>
          <w:szCs w:val="20"/>
        </w:rPr>
        <w:t>]</w:t>
      </w:r>
      <w:r w:rsidR="00985832" w:rsidRPr="00782120">
        <w:rPr>
          <w:color w:val="000000"/>
          <w:sz w:val="20"/>
          <w:szCs w:val="20"/>
        </w:rPr>
        <w:t>: 200 - "Vendor shall support Fee Waiver processing" - Question: How would this process be defined? During registration? Manual verification?</w:t>
      </w:r>
    </w:p>
    <w:p w:rsidR="00CF478B" w:rsidRPr="00782120" w:rsidRDefault="00171115" w:rsidP="00D70831">
      <w:pPr>
        <w:ind w:left="360"/>
        <w:rPr>
          <w:sz w:val="20"/>
          <w:szCs w:val="20"/>
        </w:rPr>
      </w:pPr>
      <w:r w:rsidRPr="00782120">
        <w:rPr>
          <w:b/>
          <w:color w:val="000000"/>
          <w:sz w:val="20"/>
          <w:szCs w:val="20"/>
        </w:rPr>
        <w:t>Answer:</w:t>
      </w:r>
      <w:r w:rsidRPr="00782120">
        <w:rPr>
          <w:color w:val="000000"/>
          <w:sz w:val="20"/>
          <w:szCs w:val="20"/>
        </w:rPr>
        <w:t xml:space="preserve"> </w:t>
      </w:r>
      <w:r w:rsidR="007C5988" w:rsidRPr="00782120">
        <w:rPr>
          <w:sz w:val="20"/>
          <w:szCs w:val="20"/>
        </w:rPr>
        <w:t xml:space="preserve">Not at </w:t>
      </w:r>
      <w:r w:rsidR="00DD34CF">
        <w:rPr>
          <w:sz w:val="20"/>
          <w:szCs w:val="20"/>
        </w:rPr>
        <w:t>r</w:t>
      </w:r>
      <w:r w:rsidR="007C5988" w:rsidRPr="00782120">
        <w:rPr>
          <w:sz w:val="20"/>
          <w:szCs w:val="20"/>
        </w:rPr>
        <w:t xml:space="preserve">egistration and not manually. Vendor would have to identify when an e-filing is a </w:t>
      </w:r>
      <w:r w:rsidR="007C5988" w:rsidRPr="00782120">
        <w:rPr>
          <w:i/>
          <w:iCs/>
          <w:sz w:val="20"/>
          <w:szCs w:val="20"/>
        </w:rPr>
        <w:t xml:space="preserve">Request for Fee Waiver </w:t>
      </w:r>
      <w:r w:rsidR="007C5988" w:rsidRPr="00782120">
        <w:rPr>
          <w:sz w:val="20"/>
          <w:szCs w:val="20"/>
        </w:rPr>
        <w:t>and not charge a fee or “hold fee” collected for refund, if court grants waiver. Vendor would also need to know that a Filer on a case has been granted a Fee Waiver and that the Fee Waiver has not expired and not charge a fee</w:t>
      </w:r>
      <w:r w:rsidR="00CF478B" w:rsidRPr="00782120">
        <w:rPr>
          <w:sz w:val="20"/>
          <w:szCs w:val="20"/>
        </w:rPr>
        <w:t>.</w:t>
      </w:r>
    </w:p>
    <w:p w:rsidR="00171115" w:rsidRPr="00782120" w:rsidRDefault="00171115" w:rsidP="007C5988">
      <w:pPr>
        <w:pStyle w:val="ListParagraph"/>
        <w:numPr>
          <w:ilvl w:val="0"/>
          <w:numId w:val="6"/>
        </w:numPr>
        <w:rPr>
          <w:rFonts w:cs="Arial"/>
          <w:sz w:val="20"/>
          <w:szCs w:val="20"/>
        </w:rPr>
      </w:pPr>
      <w:r w:rsidRPr="00782120">
        <w:rPr>
          <w:rFonts w:cs="Arial"/>
          <w:sz w:val="20"/>
          <w:szCs w:val="20"/>
        </w:rPr>
        <w:t xml:space="preserve">Is </w:t>
      </w:r>
      <w:proofErr w:type="gramStart"/>
      <w:r w:rsidRPr="00782120">
        <w:rPr>
          <w:rFonts w:cs="Arial"/>
          <w:sz w:val="20"/>
          <w:szCs w:val="20"/>
        </w:rPr>
        <w:t>the</w:t>
      </w:r>
      <w:r w:rsidR="007C5988" w:rsidRPr="00782120">
        <w:rPr>
          <w:rFonts w:cs="Arial"/>
          <w:sz w:val="20"/>
          <w:szCs w:val="20"/>
        </w:rPr>
        <w:t>[</w:t>
      </w:r>
      <w:proofErr w:type="gramEnd"/>
      <w:r w:rsidR="007C5988" w:rsidRPr="00782120">
        <w:rPr>
          <w:rFonts w:cs="Arial"/>
          <w:sz w:val="20"/>
          <w:szCs w:val="20"/>
        </w:rPr>
        <w:t>re]</w:t>
      </w:r>
      <w:r w:rsidRPr="00782120">
        <w:rPr>
          <w:rFonts w:cs="Arial"/>
          <w:sz w:val="20"/>
          <w:szCs w:val="20"/>
        </w:rPr>
        <w:t xml:space="preserve"> any plans at the county or state level to mandate e-filing? </w:t>
      </w:r>
    </w:p>
    <w:p w:rsidR="004F3ADD" w:rsidRPr="00782120" w:rsidRDefault="00171115" w:rsidP="00D70831">
      <w:pPr>
        <w:ind w:left="360"/>
        <w:rPr>
          <w:rFonts w:cs="Arial"/>
          <w:sz w:val="20"/>
          <w:szCs w:val="20"/>
        </w:rPr>
      </w:pPr>
      <w:r w:rsidRPr="00782120">
        <w:rPr>
          <w:rFonts w:cs="Arial"/>
          <w:b/>
          <w:sz w:val="20"/>
          <w:szCs w:val="20"/>
        </w:rPr>
        <w:t>Answer:</w:t>
      </w:r>
      <w:r w:rsidRPr="00782120">
        <w:rPr>
          <w:rFonts w:cs="Arial"/>
          <w:sz w:val="20"/>
          <w:szCs w:val="20"/>
        </w:rPr>
        <w:t xml:space="preserve">  </w:t>
      </w:r>
      <w:r w:rsidR="008D149C" w:rsidRPr="003767DE">
        <w:rPr>
          <w:sz w:val="20"/>
          <w:szCs w:val="20"/>
        </w:rPr>
        <w:t xml:space="preserve">For the pilot project and the First District our intention is to mandate e-filing with the exception of the pro-se and fee exempt filers.  </w:t>
      </w:r>
    </w:p>
    <w:p w:rsidR="00CF1C52" w:rsidRPr="00782120" w:rsidRDefault="00CF1C52" w:rsidP="00CF1C52">
      <w:pPr>
        <w:pStyle w:val="ListParagraph"/>
        <w:numPr>
          <w:ilvl w:val="0"/>
          <w:numId w:val="6"/>
        </w:numPr>
        <w:rPr>
          <w:sz w:val="20"/>
          <w:szCs w:val="20"/>
        </w:rPr>
      </w:pPr>
      <w:r w:rsidRPr="00782120">
        <w:rPr>
          <w:sz w:val="20"/>
          <w:szCs w:val="20"/>
        </w:rPr>
        <w:t>I just wanted to make sure that I'm reading the RFP correctly in that the AOC is not willing to pay anything, at all, ever, for this project? If that is the case, how does the AOC expect to find a willing vendor?</w:t>
      </w:r>
    </w:p>
    <w:p w:rsidR="004F3ADD" w:rsidRPr="00782120" w:rsidRDefault="00CF1C52" w:rsidP="00D70831">
      <w:pPr>
        <w:ind w:left="360"/>
        <w:rPr>
          <w:sz w:val="20"/>
          <w:szCs w:val="20"/>
        </w:rPr>
      </w:pPr>
      <w:r w:rsidRPr="00782120">
        <w:rPr>
          <w:b/>
          <w:sz w:val="20"/>
          <w:szCs w:val="20"/>
        </w:rPr>
        <w:t xml:space="preserve">Answer:  </w:t>
      </w:r>
      <w:r w:rsidRPr="00782120">
        <w:rPr>
          <w:sz w:val="20"/>
          <w:szCs w:val="20"/>
        </w:rPr>
        <w:t xml:space="preserve">The AOC would like to take part in a partnership where vendors earn a return on their investments, while not passing the costs to the Judicial Branch. There are models of this partnership in play in the country today. </w:t>
      </w:r>
    </w:p>
    <w:p w:rsidR="000A3734" w:rsidRPr="00782120" w:rsidRDefault="000A3734" w:rsidP="00843973">
      <w:pPr>
        <w:pStyle w:val="ListParagraph"/>
        <w:numPr>
          <w:ilvl w:val="0"/>
          <w:numId w:val="6"/>
        </w:numPr>
        <w:spacing w:after="0" w:line="240" w:lineRule="auto"/>
        <w:contextualSpacing w:val="0"/>
        <w:rPr>
          <w:sz w:val="20"/>
          <w:szCs w:val="20"/>
        </w:rPr>
      </w:pPr>
      <w:r w:rsidRPr="00782120">
        <w:rPr>
          <w:sz w:val="20"/>
          <w:szCs w:val="20"/>
        </w:rPr>
        <w:t xml:space="preserve">During the </w:t>
      </w:r>
      <w:r w:rsidR="00205BCD" w:rsidRPr="00205BCD">
        <w:rPr>
          <w:bCs/>
          <w:sz w:val="20"/>
          <w:szCs w:val="20"/>
        </w:rPr>
        <w:t>Pre-Proposal Conference</w:t>
      </w:r>
      <w:r w:rsidRPr="00782120">
        <w:rPr>
          <w:sz w:val="20"/>
          <w:szCs w:val="20"/>
        </w:rPr>
        <w:t>, Justice Bruiniers made a reference to a draft rule being introduced in May that would require e</w:t>
      </w:r>
      <w:r w:rsidR="00DD34CF">
        <w:rPr>
          <w:sz w:val="20"/>
          <w:szCs w:val="20"/>
        </w:rPr>
        <w:t>-</w:t>
      </w:r>
      <w:r w:rsidRPr="00782120">
        <w:rPr>
          <w:sz w:val="20"/>
          <w:szCs w:val="20"/>
        </w:rPr>
        <w:t>Delivery of Filings.  Is the draft rule available to the bidders?  If so, where do we get a copy?  Please clarify what this rule is intended to accomplish and why it is important to this effort.</w:t>
      </w:r>
    </w:p>
    <w:p w:rsidR="000A3734" w:rsidRPr="00782120" w:rsidRDefault="000A3734" w:rsidP="00843973">
      <w:pPr>
        <w:pStyle w:val="ListParagraph"/>
        <w:spacing w:after="0" w:line="240" w:lineRule="auto"/>
        <w:ind w:left="1440"/>
        <w:contextualSpacing w:val="0"/>
        <w:rPr>
          <w:sz w:val="20"/>
          <w:szCs w:val="20"/>
        </w:rPr>
      </w:pPr>
    </w:p>
    <w:p w:rsidR="00843973" w:rsidRPr="00782120" w:rsidRDefault="00843973" w:rsidP="00D70831">
      <w:pPr>
        <w:pStyle w:val="ListParagraph"/>
        <w:spacing w:after="0" w:line="240" w:lineRule="auto"/>
        <w:ind w:left="360"/>
        <w:contextualSpacing w:val="0"/>
        <w:rPr>
          <w:b/>
          <w:sz w:val="20"/>
          <w:szCs w:val="20"/>
        </w:rPr>
      </w:pPr>
      <w:r w:rsidRPr="00782120">
        <w:rPr>
          <w:b/>
          <w:sz w:val="20"/>
          <w:szCs w:val="20"/>
        </w:rPr>
        <w:t xml:space="preserve">Answer: </w:t>
      </w:r>
      <w:r w:rsidR="00CF478B" w:rsidRPr="00782120">
        <w:rPr>
          <w:b/>
          <w:sz w:val="20"/>
          <w:szCs w:val="20"/>
        </w:rPr>
        <w:t xml:space="preserve"> </w:t>
      </w:r>
      <w:r w:rsidR="00270163" w:rsidRPr="00782120">
        <w:rPr>
          <w:sz w:val="20"/>
          <w:szCs w:val="20"/>
        </w:rPr>
        <w:t xml:space="preserve">The reference is to a draft order that will soon be issued for the First District, to be effective May 1.  This order will require e-delivery to the existing website </w:t>
      </w:r>
      <w:proofErr w:type="gramStart"/>
      <w:r w:rsidR="00270163" w:rsidRPr="00782120">
        <w:rPr>
          <w:sz w:val="20"/>
          <w:szCs w:val="20"/>
        </w:rPr>
        <w:t>( http</w:t>
      </w:r>
      <w:proofErr w:type="gramEnd"/>
      <w:r w:rsidR="00270163" w:rsidRPr="00782120">
        <w:rPr>
          <w:sz w:val="20"/>
          <w:szCs w:val="20"/>
        </w:rPr>
        <w:t>://www.courts.ca.gov/9261.htm ) of virtually all record documents.  It is similar to what several other Districts are doing, but more comprehensive.  It is intended to be an interim order, until the vendor portal is up and runni</w:t>
      </w:r>
      <w:r w:rsidR="00DF01CC">
        <w:rPr>
          <w:sz w:val="20"/>
          <w:szCs w:val="20"/>
        </w:rPr>
        <w:t xml:space="preserve">ng.  It cannot be distributed </w:t>
      </w:r>
      <w:r w:rsidR="00270163" w:rsidRPr="00782120">
        <w:rPr>
          <w:sz w:val="20"/>
          <w:szCs w:val="20"/>
        </w:rPr>
        <w:t>until it has the proper signature, but it will be publicly posted once it is issued.</w:t>
      </w:r>
    </w:p>
    <w:p w:rsidR="00843973" w:rsidRPr="00782120" w:rsidRDefault="00843973" w:rsidP="00843973">
      <w:pPr>
        <w:pStyle w:val="ListParagraph"/>
        <w:spacing w:after="0" w:line="240" w:lineRule="auto"/>
        <w:ind w:left="1440"/>
        <w:contextualSpacing w:val="0"/>
        <w:rPr>
          <w:sz w:val="20"/>
          <w:szCs w:val="20"/>
        </w:rPr>
      </w:pPr>
    </w:p>
    <w:p w:rsidR="000A3734" w:rsidRPr="00782120" w:rsidRDefault="00205BCD" w:rsidP="00843973">
      <w:pPr>
        <w:pStyle w:val="ListParagraph"/>
        <w:numPr>
          <w:ilvl w:val="0"/>
          <w:numId w:val="6"/>
        </w:numPr>
        <w:autoSpaceDE w:val="0"/>
        <w:autoSpaceDN w:val="0"/>
        <w:spacing w:after="0" w:line="240" w:lineRule="auto"/>
        <w:contextualSpacing w:val="0"/>
        <w:rPr>
          <w:sz w:val="20"/>
          <w:szCs w:val="20"/>
        </w:rPr>
      </w:pPr>
      <w:r w:rsidRPr="00205BCD">
        <w:rPr>
          <w:bCs/>
          <w:sz w:val="20"/>
          <w:szCs w:val="20"/>
        </w:rPr>
        <w:t>Section 1.4, Appellate Court Case Management System (ACCMS)</w:t>
      </w:r>
      <w:r w:rsidR="000A3734" w:rsidRPr="00782120">
        <w:rPr>
          <w:sz w:val="20"/>
          <w:szCs w:val="20"/>
        </w:rPr>
        <w:t xml:space="preserve"> says that “The AOC intends to design, develop, and implement e-filing capabilities into ACCMS in parallel and in conjunction with the solution requested herein”.  Please explain why the AOC would want to do this.  If the vendor builds a solution for the Court and the AOC builds a solution for the Court will the AOC’s solution be deployed and thus compete with the vendor’s solution?  Please clarify.</w:t>
      </w:r>
    </w:p>
    <w:p w:rsidR="00CF478B" w:rsidRPr="00782120" w:rsidRDefault="00CF478B" w:rsidP="00CF478B">
      <w:pPr>
        <w:autoSpaceDE w:val="0"/>
        <w:autoSpaceDN w:val="0"/>
        <w:spacing w:after="0" w:line="240" w:lineRule="auto"/>
        <w:ind w:left="360"/>
        <w:rPr>
          <w:sz w:val="20"/>
          <w:szCs w:val="20"/>
          <w:highlight w:val="yellow"/>
        </w:rPr>
      </w:pPr>
    </w:p>
    <w:p w:rsidR="000A3734" w:rsidRPr="00782120" w:rsidRDefault="000A3734" w:rsidP="00CF478B">
      <w:pPr>
        <w:autoSpaceDE w:val="0"/>
        <w:autoSpaceDN w:val="0"/>
        <w:spacing w:after="0" w:line="240" w:lineRule="auto"/>
        <w:ind w:left="360"/>
        <w:rPr>
          <w:sz w:val="20"/>
          <w:szCs w:val="20"/>
        </w:rPr>
      </w:pPr>
      <w:r w:rsidRPr="00D75E45">
        <w:rPr>
          <w:b/>
          <w:sz w:val="20"/>
          <w:szCs w:val="20"/>
        </w:rPr>
        <w:t>Answer</w:t>
      </w:r>
      <w:r w:rsidRPr="00D75E45">
        <w:rPr>
          <w:sz w:val="20"/>
          <w:szCs w:val="20"/>
        </w:rPr>
        <w:t xml:space="preserve">:  </w:t>
      </w:r>
      <w:r w:rsidR="00D8026E" w:rsidRPr="00D8026E">
        <w:rPr>
          <w:color w:val="000000" w:themeColor="text1"/>
          <w:sz w:val="20"/>
          <w:szCs w:val="20"/>
        </w:rPr>
        <w:t xml:space="preserve">The AOC </w:t>
      </w:r>
      <w:r w:rsidR="00D8026E" w:rsidRPr="00D8026E">
        <w:rPr>
          <w:rFonts w:cs="Arial"/>
          <w:color w:val="000000" w:themeColor="text1"/>
          <w:sz w:val="20"/>
          <w:szCs w:val="20"/>
        </w:rPr>
        <w:t xml:space="preserve">is prepared to build </w:t>
      </w:r>
      <w:r w:rsidR="00D8026E" w:rsidRPr="00D8026E">
        <w:rPr>
          <w:color w:val="000000" w:themeColor="text1"/>
          <w:sz w:val="20"/>
          <w:szCs w:val="20"/>
        </w:rPr>
        <w:t xml:space="preserve">the complementary e-filing components for their appellate case management system (ACCMS) system. These </w:t>
      </w:r>
      <w:r w:rsidR="00D8026E" w:rsidRPr="00D8026E">
        <w:rPr>
          <w:color w:val="000000" w:themeColor="text1"/>
          <w:sz w:val="20"/>
          <w:szCs w:val="20"/>
        </w:rPr>
        <w:t>components may</w:t>
      </w:r>
      <w:r w:rsidR="00D8026E" w:rsidRPr="00D8026E">
        <w:rPr>
          <w:color w:val="000000" w:themeColor="text1"/>
          <w:sz w:val="20"/>
          <w:szCs w:val="20"/>
        </w:rPr>
        <w:t xml:space="preserve"> include a clerk review module and some of the web services for integration between the vendor and ACCMS.  </w:t>
      </w:r>
      <w:r w:rsidR="00D8026E" w:rsidRPr="00D8026E">
        <w:rPr>
          <w:rFonts w:cs="Arial"/>
          <w:color w:val="000000" w:themeColor="text1"/>
          <w:sz w:val="20"/>
          <w:szCs w:val="20"/>
        </w:rPr>
        <w:t xml:space="preserve">What the components the AOC builds will depend on the proposal received. </w:t>
      </w:r>
      <w:r w:rsidR="00D8026E" w:rsidRPr="00D8026E">
        <w:rPr>
          <w:color w:val="000000" w:themeColor="text1"/>
          <w:sz w:val="20"/>
          <w:szCs w:val="20"/>
        </w:rPr>
        <w:t xml:space="preserve">The AOC is not building a competing system. </w:t>
      </w:r>
      <w:r w:rsidR="00D8026E" w:rsidRPr="00D8026E">
        <w:rPr>
          <w:color w:val="000000" w:themeColor="text1"/>
          <w:sz w:val="20"/>
          <w:szCs w:val="20"/>
          <w:highlight w:val="yellow"/>
        </w:rPr>
        <w:t>[REVISED]</w:t>
      </w:r>
    </w:p>
    <w:p w:rsidR="006D5951" w:rsidRPr="00782120" w:rsidRDefault="006D5951" w:rsidP="00CF478B">
      <w:pPr>
        <w:autoSpaceDE w:val="0"/>
        <w:autoSpaceDN w:val="0"/>
        <w:spacing w:after="0" w:line="240" w:lineRule="auto"/>
        <w:ind w:left="360"/>
        <w:rPr>
          <w:sz w:val="20"/>
          <w:szCs w:val="20"/>
        </w:rPr>
      </w:pPr>
    </w:p>
    <w:p w:rsidR="000A3734" w:rsidRPr="00782120" w:rsidRDefault="000A3734" w:rsidP="00843973">
      <w:pPr>
        <w:pStyle w:val="ListParagraph"/>
        <w:numPr>
          <w:ilvl w:val="0"/>
          <w:numId w:val="6"/>
        </w:numPr>
        <w:autoSpaceDE w:val="0"/>
        <w:autoSpaceDN w:val="0"/>
        <w:spacing w:after="0" w:line="240" w:lineRule="auto"/>
        <w:contextualSpacing w:val="0"/>
        <w:rPr>
          <w:sz w:val="20"/>
          <w:szCs w:val="20"/>
        </w:rPr>
      </w:pPr>
      <w:r w:rsidRPr="00782120">
        <w:rPr>
          <w:b/>
          <w:bCs/>
          <w:sz w:val="20"/>
          <w:szCs w:val="20"/>
        </w:rPr>
        <w:lastRenderedPageBreak/>
        <w:t>Section 2.2, Scope</w:t>
      </w:r>
      <w:r w:rsidRPr="00782120">
        <w:rPr>
          <w:sz w:val="20"/>
          <w:szCs w:val="20"/>
        </w:rPr>
        <w:t xml:space="preserve"> says that the </w:t>
      </w:r>
      <w:proofErr w:type="spellStart"/>
      <w:r w:rsidRPr="00782120">
        <w:rPr>
          <w:sz w:val="20"/>
          <w:szCs w:val="20"/>
        </w:rPr>
        <w:t>eFiling</w:t>
      </w:r>
      <w:proofErr w:type="spellEnd"/>
      <w:r w:rsidRPr="00782120">
        <w:rPr>
          <w:sz w:val="20"/>
          <w:szCs w:val="20"/>
        </w:rPr>
        <w:t xml:space="preserve"> solution includes “Bi-directional interface between the Portal and ACCMS to enable clerk review and e-service”.  Is it expected that the vendor’s solution will include an Electronic Filing Manager (EFM)?  Or will the Court be providing the EFM that the vendor will be required to connect to?    Please clarify.</w:t>
      </w:r>
    </w:p>
    <w:p w:rsidR="00811D30" w:rsidRPr="00782120" w:rsidRDefault="00811D30" w:rsidP="00811D30">
      <w:pPr>
        <w:pStyle w:val="ListParagraph"/>
        <w:autoSpaceDE w:val="0"/>
        <w:autoSpaceDN w:val="0"/>
        <w:spacing w:after="0" w:line="240" w:lineRule="auto"/>
        <w:contextualSpacing w:val="0"/>
        <w:rPr>
          <w:sz w:val="20"/>
          <w:szCs w:val="20"/>
        </w:rPr>
      </w:pPr>
    </w:p>
    <w:p w:rsidR="00D8026E" w:rsidRDefault="00811D30" w:rsidP="00D8026E">
      <w:pPr>
        <w:autoSpaceDE w:val="0"/>
        <w:autoSpaceDN w:val="0"/>
        <w:spacing w:after="0" w:line="240" w:lineRule="auto"/>
        <w:ind w:left="360"/>
        <w:rPr>
          <w:sz w:val="20"/>
          <w:szCs w:val="20"/>
        </w:rPr>
      </w:pPr>
      <w:r w:rsidRPr="00782120">
        <w:rPr>
          <w:b/>
          <w:sz w:val="20"/>
          <w:szCs w:val="20"/>
        </w:rPr>
        <w:t>Answer:</w:t>
      </w:r>
      <w:r w:rsidRPr="00782120">
        <w:rPr>
          <w:sz w:val="20"/>
          <w:szCs w:val="20"/>
        </w:rPr>
        <w:t xml:space="preserve">  </w:t>
      </w:r>
      <w:r w:rsidR="00D8026E" w:rsidRPr="00D8026E">
        <w:rPr>
          <w:color w:val="000000" w:themeColor="text1"/>
          <w:sz w:val="20"/>
          <w:szCs w:val="20"/>
        </w:rPr>
        <w:t>The AOC has not developed a separate</w:t>
      </w:r>
      <w:r w:rsidR="00D8026E" w:rsidRPr="00D8026E">
        <w:rPr>
          <w:color w:val="000000" w:themeColor="text1"/>
          <w:sz w:val="20"/>
          <w:szCs w:val="20"/>
        </w:rPr>
        <w:t xml:space="preserve"> </w:t>
      </w:r>
      <w:r w:rsidR="00D8026E" w:rsidRPr="00D8026E">
        <w:rPr>
          <w:color w:val="000000" w:themeColor="text1"/>
          <w:sz w:val="20"/>
          <w:szCs w:val="20"/>
        </w:rPr>
        <w:t>EFM and anticipates that this be provided</w:t>
      </w:r>
      <w:r w:rsidR="00D8026E" w:rsidRPr="00D8026E">
        <w:rPr>
          <w:color w:val="000000" w:themeColor="text1"/>
          <w:sz w:val="20"/>
          <w:szCs w:val="20"/>
        </w:rPr>
        <w:t xml:space="preserve"> </w:t>
      </w:r>
      <w:r w:rsidR="00D8026E" w:rsidRPr="00D8026E">
        <w:rPr>
          <w:color w:val="000000" w:themeColor="text1"/>
          <w:sz w:val="20"/>
          <w:szCs w:val="20"/>
        </w:rPr>
        <w:t xml:space="preserve">by the vendor. </w:t>
      </w:r>
      <w:r w:rsidR="00D8026E" w:rsidRPr="00D8026E">
        <w:rPr>
          <w:rFonts w:cs="Arial"/>
          <w:color w:val="000000" w:themeColor="text1"/>
          <w:sz w:val="20"/>
          <w:szCs w:val="20"/>
        </w:rPr>
        <w:t>However, the AOC is prepared to build the clerk review module of the overall e-filing solution if necessary.  The clerk review module can either be proposed as a vendor EFM component or as an element of ACCMS.</w:t>
      </w:r>
      <w:r w:rsidR="00D8026E">
        <w:rPr>
          <w:rFonts w:cs="Arial"/>
          <w:color w:val="000000" w:themeColor="text1"/>
          <w:sz w:val="20"/>
          <w:szCs w:val="20"/>
        </w:rPr>
        <w:t xml:space="preserve"> </w:t>
      </w:r>
      <w:r w:rsidR="00D8026E" w:rsidRPr="00D8026E">
        <w:rPr>
          <w:rFonts w:cs="Arial"/>
          <w:color w:val="000000" w:themeColor="text1"/>
          <w:sz w:val="20"/>
          <w:szCs w:val="20"/>
          <w:highlight w:val="yellow"/>
        </w:rPr>
        <w:t>[REVISED]</w:t>
      </w:r>
    </w:p>
    <w:p w:rsidR="00811D30" w:rsidRPr="00782120" w:rsidRDefault="00811D30" w:rsidP="006D5951">
      <w:pPr>
        <w:autoSpaceDE w:val="0"/>
        <w:autoSpaceDN w:val="0"/>
        <w:spacing w:after="0" w:line="240" w:lineRule="auto"/>
        <w:ind w:left="360"/>
        <w:rPr>
          <w:sz w:val="20"/>
          <w:szCs w:val="20"/>
        </w:rPr>
      </w:pPr>
    </w:p>
    <w:p w:rsidR="00811D30" w:rsidRPr="00782120" w:rsidRDefault="00811D30" w:rsidP="00811D30">
      <w:pPr>
        <w:autoSpaceDE w:val="0"/>
        <w:autoSpaceDN w:val="0"/>
        <w:spacing w:after="0" w:line="240" w:lineRule="auto"/>
        <w:ind w:left="720"/>
        <w:rPr>
          <w:sz w:val="20"/>
          <w:szCs w:val="20"/>
        </w:rPr>
      </w:pPr>
    </w:p>
    <w:p w:rsidR="000A3734" w:rsidRPr="00E61D9B" w:rsidRDefault="000A3734" w:rsidP="00843973">
      <w:pPr>
        <w:pStyle w:val="ListParagraph"/>
        <w:numPr>
          <w:ilvl w:val="0"/>
          <w:numId w:val="6"/>
        </w:numPr>
        <w:autoSpaceDE w:val="0"/>
        <w:autoSpaceDN w:val="0"/>
        <w:spacing w:after="0" w:line="240" w:lineRule="auto"/>
        <w:contextualSpacing w:val="0"/>
        <w:rPr>
          <w:sz w:val="20"/>
          <w:szCs w:val="20"/>
        </w:rPr>
      </w:pPr>
      <w:r w:rsidRPr="00E61D9B">
        <w:rPr>
          <w:bCs/>
          <w:sz w:val="20"/>
          <w:szCs w:val="20"/>
        </w:rPr>
        <w:t xml:space="preserve">Section 4.0, Vendor Proposed Cost Recovery Model </w:t>
      </w:r>
      <w:r w:rsidRPr="00E61D9B">
        <w:rPr>
          <w:sz w:val="20"/>
          <w:szCs w:val="20"/>
        </w:rPr>
        <w:t>says that</w:t>
      </w:r>
      <w:r w:rsidRPr="00E61D9B">
        <w:rPr>
          <w:bCs/>
          <w:sz w:val="20"/>
          <w:szCs w:val="20"/>
        </w:rPr>
        <w:t xml:space="preserve"> </w:t>
      </w:r>
      <w:r w:rsidRPr="00E61D9B">
        <w:rPr>
          <w:sz w:val="20"/>
          <w:szCs w:val="20"/>
        </w:rPr>
        <w:t>“The solution shall be at no cost to the Judicial Branch for both Phase 1 and Phase 2”.  In order to completely vet the opportunity it would be helpful if the Court could provide some additional metrics.  Please provide us with the number of Filers for the last three years by Filer type e.g. Attorney, Self-Represented Litigants, Government Agency/Justice Partners, etc…  Please also provide the number of subscribers, users or filers that the Court currently supports for case alerts, copy requests, email notifications and case search information.   </w:t>
      </w:r>
    </w:p>
    <w:p w:rsidR="006D5951" w:rsidRPr="00E61D9B" w:rsidRDefault="006D5951" w:rsidP="00843973">
      <w:pPr>
        <w:autoSpaceDE w:val="0"/>
        <w:autoSpaceDN w:val="0"/>
        <w:spacing w:after="0" w:line="240" w:lineRule="auto"/>
        <w:ind w:left="1080"/>
        <w:rPr>
          <w:sz w:val="20"/>
          <w:szCs w:val="20"/>
        </w:rPr>
      </w:pPr>
    </w:p>
    <w:p w:rsidR="009E61B2" w:rsidRPr="00E61D9B" w:rsidRDefault="00843973" w:rsidP="00050FBB">
      <w:pPr>
        <w:ind w:left="360"/>
        <w:rPr>
          <w:sz w:val="20"/>
          <w:szCs w:val="20"/>
        </w:rPr>
      </w:pPr>
      <w:r w:rsidRPr="00E61D9B">
        <w:rPr>
          <w:sz w:val="20"/>
          <w:szCs w:val="20"/>
        </w:rPr>
        <w:t xml:space="preserve">Answer: </w:t>
      </w:r>
      <w:r w:rsidR="009E61B2" w:rsidRPr="00E61D9B">
        <w:rPr>
          <w:sz w:val="20"/>
          <w:szCs w:val="20"/>
        </w:rPr>
        <w:t xml:space="preserve"> </w:t>
      </w:r>
      <w:r w:rsidR="003A2A85" w:rsidRPr="00E61D9B">
        <w:rPr>
          <w:sz w:val="20"/>
          <w:szCs w:val="20"/>
        </w:rPr>
        <w:t>The</w:t>
      </w:r>
      <w:r w:rsidR="009E61B2" w:rsidRPr="00E61D9B">
        <w:rPr>
          <w:sz w:val="20"/>
          <w:szCs w:val="20"/>
        </w:rPr>
        <w:t xml:space="preserve"> following are the case </w:t>
      </w:r>
      <w:r w:rsidR="009E61B2" w:rsidRPr="00E61D9B">
        <w:rPr>
          <w:bCs/>
          <w:sz w:val="20"/>
          <w:szCs w:val="20"/>
        </w:rPr>
        <w:t>e</w:t>
      </w:r>
      <w:r w:rsidR="009E61B2" w:rsidRPr="00E61D9B">
        <w:rPr>
          <w:sz w:val="20"/>
          <w:szCs w:val="20"/>
        </w:rPr>
        <w:t xml:space="preserve">mail notification sign-up counts </w:t>
      </w:r>
      <w:r w:rsidR="007526A4">
        <w:rPr>
          <w:sz w:val="20"/>
          <w:szCs w:val="20"/>
        </w:rPr>
        <w:t>from</w:t>
      </w:r>
      <w:r w:rsidR="007526A4" w:rsidRPr="00E61D9B">
        <w:rPr>
          <w:sz w:val="20"/>
          <w:szCs w:val="20"/>
        </w:rPr>
        <w:t xml:space="preserve"> </w:t>
      </w:r>
      <w:r w:rsidR="009E61B2" w:rsidRPr="00E61D9B">
        <w:rPr>
          <w:sz w:val="20"/>
          <w:szCs w:val="20"/>
        </w:rPr>
        <w:t>the appellate case website</w:t>
      </w:r>
      <w:r w:rsidR="00736D9C" w:rsidRPr="00E61D9B">
        <w:rPr>
          <w:sz w:val="20"/>
          <w:szCs w:val="20"/>
        </w:rPr>
        <w:t xml:space="preserve"> (See </w:t>
      </w:r>
      <w:hyperlink r:id="rId8" w:history="1">
        <w:r w:rsidR="00736D9C" w:rsidRPr="00E61D9B">
          <w:rPr>
            <w:rStyle w:val="Hyperlink"/>
            <w:sz w:val="20"/>
            <w:szCs w:val="20"/>
          </w:rPr>
          <w:t>http://www.courts.ca.gov/</w:t>
        </w:r>
      </w:hyperlink>
      <w:r w:rsidR="00736D9C" w:rsidRPr="00E61D9B">
        <w:rPr>
          <w:color w:val="1F497D"/>
          <w:sz w:val="20"/>
          <w:szCs w:val="20"/>
        </w:rPr>
        <w:t xml:space="preserve"> </w:t>
      </w:r>
      <w:r w:rsidR="00736D9C" w:rsidRPr="00E61D9B">
        <w:rPr>
          <w:sz w:val="20"/>
          <w:szCs w:val="20"/>
        </w:rPr>
        <w:t>)</w:t>
      </w:r>
      <w:r w:rsidR="007526A4">
        <w:rPr>
          <w:sz w:val="20"/>
          <w:szCs w:val="20"/>
        </w:rPr>
        <w:t xml:space="preserve"> for all Appellate Districts and the Supreme Court</w:t>
      </w:r>
      <w:r w:rsidR="009E61B2" w:rsidRPr="00E61D9B">
        <w:rPr>
          <w:sz w:val="20"/>
          <w:szCs w:val="20"/>
        </w:rPr>
        <w:t>. Each sign-up is for a single case with one or more notification options.</w:t>
      </w:r>
    </w:p>
    <w:p w:rsidR="009E61B2" w:rsidRPr="00E61D9B" w:rsidRDefault="009E61B2" w:rsidP="009E61B2">
      <w:pPr>
        <w:pStyle w:val="ListParagraph"/>
        <w:numPr>
          <w:ilvl w:val="0"/>
          <w:numId w:val="19"/>
        </w:numPr>
        <w:spacing w:line="240" w:lineRule="auto"/>
        <w:rPr>
          <w:sz w:val="20"/>
          <w:szCs w:val="20"/>
        </w:rPr>
      </w:pPr>
      <w:r w:rsidRPr="00E61D9B">
        <w:rPr>
          <w:sz w:val="20"/>
          <w:szCs w:val="20"/>
        </w:rPr>
        <w:t>Year 2009 – 86673</w:t>
      </w:r>
    </w:p>
    <w:p w:rsidR="009E61B2" w:rsidRPr="00E61D9B" w:rsidRDefault="009E61B2" w:rsidP="009E61B2">
      <w:pPr>
        <w:pStyle w:val="ListParagraph"/>
        <w:numPr>
          <w:ilvl w:val="0"/>
          <w:numId w:val="19"/>
        </w:numPr>
        <w:spacing w:line="240" w:lineRule="auto"/>
        <w:rPr>
          <w:sz w:val="20"/>
          <w:szCs w:val="20"/>
        </w:rPr>
      </w:pPr>
      <w:r w:rsidRPr="00E61D9B">
        <w:rPr>
          <w:sz w:val="20"/>
          <w:szCs w:val="20"/>
        </w:rPr>
        <w:t>Year 2010 - 87328</w:t>
      </w:r>
    </w:p>
    <w:p w:rsidR="009E61B2" w:rsidRPr="00E61D9B" w:rsidRDefault="009E61B2" w:rsidP="009E61B2">
      <w:pPr>
        <w:pStyle w:val="ListParagraph"/>
        <w:numPr>
          <w:ilvl w:val="0"/>
          <w:numId w:val="19"/>
        </w:numPr>
        <w:spacing w:line="240" w:lineRule="auto"/>
        <w:rPr>
          <w:sz w:val="20"/>
          <w:szCs w:val="20"/>
        </w:rPr>
      </w:pPr>
      <w:r w:rsidRPr="00E61D9B">
        <w:rPr>
          <w:sz w:val="20"/>
          <w:szCs w:val="20"/>
        </w:rPr>
        <w:t>Year 2011 – 93650</w:t>
      </w:r>
    </w:p>
    <w:p w:rsidR="00843973" w:rsidRPr="00E61D9B" w:rsidRDefault="003A2A85" w:rsidP="006D5951">
      <w:pPr>
        <w:autoSpaceDE w:val="0"/>
        <w:autoSpaceDN w:val="0"/>
        <w:spacing w:after="0" w:line="240" w:lineRule="auto"/>
        <w:ind w:left="360"/>
        <w:rPr>
          <w:sz w:val="20"/>
          <w:szCs w:val="20"/>
        </w:rPr>
      </w:pPr>
      <w:r w:rsidRPr="00E61D9B">
        <w:rPr>
          <w:sz w:val="20"/>
          <w:szCs w:val="20"/>
        </w:rPr>
        <w:t>See Attachment 6 for filing counts</w:t>
      </w:r>
      <w:r w:rsidR="0011744E" w:rsidRPr="00E61D9B">
        <w:rPr>
          <w:sz w:val="20"/>
          <w:szCs w:val="20"/>
        </w:rPr>
        <w:t>. These filing counts use the best available information we have, but</w:t>
      </w:r>
      <w:r w:rsidR="00E61D9B" w:rsidRPr="00E61D9B">
        <w:rPr>
          <w:sz w:val="20"/>
          <w:szCs w:val="20"/>
        </w:rPr>
        <w:t xml:space="preserve"> are not a warranty</w:t>
      </w:r>
      <w:r w:rsidRPr="00E61D9B">
        <w:rPr>
          <w:sz w:val="20"/>
          <w:szCs w:val="20"/>
        </w:rPr>
        <w:t>.  These do not co</w:t>
      </w:r>
      <w:r w:rsidR="002946E4" w:rsidRPr="00E61D9B">
        <w:rPr>
          <w:sz w:val="20"/>
          <w:szCs w:val="20"/>
        </w:rPr>
        <w:t>ntain break downs by filer type</w:t>
      </w:r>
      <w:r w:rsidR="00E61D9B" w:rsidRPr="00E61D9B">
        <w:rPr>
          <w:sz w:val="20"/>
          <w:szCs w:val="20"/>
        </w:rPr>
        <w:t>,</w:t>
      </w:r>
      <w:r w:rsidR="00226594">
        <w:rPr>
          <w:sz w:val="20"/>
          <w:szCs w:val="20"/>
        </w:rPr>
        <w:t xml:space="preserve"> </w:t>
      </w:r>
      <w:r w:rsidR="00E61D9B" w:rsidRPr="00E61D9B">
        <w:rPr>
          <w:sz w:val="20"/>
          <w:szCs w:val="20"/>
        </w:rPr>
        <w:t>t</w:t>
      </w:r>
      <w:r w:rsidRPr="00E61D9B">
        <w:rPr>
          <w:sz w:val="20"/>
          <w:szCs w:val="20"/>
        </w:rPr>
        <w:t xml:space="preserve">o do so would be a manual count and will not be </w:t>
      </w:r>
      <w:r w:rsidR="00E61D9B" w:rsidRPr="00E61D9B">
        <w:rPr>
          <w:sz w:val="20"/>
          <w:szCs w:val="20"/>
        </w:rPr>
        <w:t>available</w:t>
      </w:r>
      <w:r w:rsidRPr="00E61D9B">
        <w:rPr>
          <w:sz w:val="20"/>
          <w:szCs w:val="20"/>
        </w:rPr>
        <w:t xml:space="preserve"> </w:t>
      </w:r>
      <w:r w:rsidR="00E61D9B" w:rsidRPr="00E61D9B">
        <w:rPr>
          <w:sz w:val="20"/>
          <w:szCs w:val="20"/>
        </w:rPr>
        <w:t>prior to the proposal submission deadline</w:t>
      </w:r>
      <w:r w:rsidRPr="00E61D9B">
        <w:rPr>
          <w:sz w:val="20"/>
          <w:szCs w:val="20"/>
        </w:rPr>
        <w:t>.</w:t>
      </w:r>
    </w:p>
    <w:p w:rsidR="00191BF0" w:rsidRPr="00782120" w:rsidRDefault="00191BF0" w:rsidP="006D5951">
      <w:pPr>
        <w:autoSpaceDE w:val="0"/>
        <w:autoSpaceDN w:val="0"/>
        <w:spacing w:after="0" w:line="240" w:lineRule="auto"/>
        <w:ind w:left="360"/>
        <w:rPr>
          <w:b/>
          <w:sz w:val="20"/>
          <w:szCs w:val="20"/>
        </w:rPr>
      </w:pPr>
    </w:p>
    <w:p w:rsidR="00843973" w:rsidRPr="00782120" w:rsidRDefault="00843973" w:rsidP="00843973">
      <w:pPr>
        <w:autoSpaceDE w:val="0"/>
        <w:autoSpaceDN w:val="0"/>
        <w:spacing w:after="0" w:line="240" w:lineRule="auto"/>
        <w:ind w:left="1080"/>
        <w:rPr>
          <w:b/>
          <w:sz w:val="20"/>
          <w:szCs w:val="20"/>
        </w:rPr>
      </w:pPr>
    </w:p>
    <w:p w:rsidR="000A3734" w:rsidRPr="00782120" w:rsidRDefault="00205BCD" w:rsidP="00843973">
      <w:pPr>
        <w:pStyle w:val="ListParagraph"/>
        <w:numPr>
          <w:ilvl w:val="0"/>
          <w:numId w:val="6"/>
        </w:numPr>
        <w:spacing w:after="0" w:line="240" w:lineRule="auto"/>
        <w:contextualSpacing w:val="0"/>
        <w:rPr>
          <w:sz w:val="20"/>
          <w:szCs w:val="20"/>
        </w:rPr>
      </w:pPr>
      <w:r w:rsidRPr="00205BCD">
        <w:rPr>
          <w:bCs/>
          <w:sz w:val="20"/>
          <w:szCs w:val="20"/>
        </w:rPr>
        <w:t>Attachment 4, Phase 1 Functional Requirements, Section 2.5</w:t>
      </w:r>
      <w:r w:rsidR="000A3734" w:rsidRPr="00782120">
        <w:rPr>
          <w:sz w:val="20"/>
          <w:szCs w:val="20"/>
        </w:rPr>
        <w:t xml:space="preserve"> says that the “Vendor shall support and maintain registration of all E-Filers (</w:t>
      </w:r>
      <w:r w:rsidR="00421D82" w:rsidRPr="00782120">
        <w:rPr>
          <w:sz w:val="20"/>
          <w:szCs w:val="20"/>
        </w:rPr>
        <w:t>ensuring</w:t>
      </w:r>
      <w:r w:rsidR="000A3734" w:rsidRPr="00782120">
        <w:rPr>
          <w:sz w:val="20"/>
          <w:szCs w:val="20"/>
        </w:rPr>
        <w:t xml:space="preserve"> authorization/authentication)”.  Please describe anticipated process that will be used to authorize and authenticate </w:t>
      </w:r>
      <w:proofErr w:type="spellStart"/>
      <w:r w:rsidR="000A3734" w:rsidRPr="00782120">
        <w:rPr>
          <w:sz w:val="20"/>
          <w:szCs w:val="20"/>
        </w:rPr>
        <w:t>eFilers</w:t>
      </w:r>
      <w:proofErr w:type="spellEnd"/>
      <w:r w:rsidR="000A3734" w:rsidRPr="00782120">
        <w:rPr>
          <w:sz w:val="20"/>
          <w:szCs w:val="20"/>
        </w:rPr>
        <w:t>.</w:t>
      </w:r>
    </w:p>
    <w:p w:rsidR="00811D30" w:rsidRPr="00782120" w:rsidRDefault="00811D30" w:rsidP="00811D30">
      <w:pPr>
        <w:spacing w:after="0" w:line="240" w:lineRule="auto"/>
        <w:rPr>
          <w:sz w:val="20"/>
          <w:szCs w:val="20"/>
        </w:rPr>
      </w:pPr>
    </w:p>
    <w:p w:rsidR="003A2A85" w:rsidRPr="00944EBF" w:rsidRDefault="00811D30" w:rsidP="003A2A85">
      <w:pPr>
        <w:spacing w:after="0" w:line="240" w:lineRule="auto"/>
        <w:ind w:left="360"/>
      </w:pPr>
      <w:r w:rsidRPr="00782120">
        <w:rPr>
          <w:b/>
          <w:sz w:val="20"/>
          <w:szCs w:val="20"/>
        </w:rPr>
        <w:t>Answer:</w:t>
      </w:r>
      <w:r w:rsidR="006D5951" w:rsidRPr="00782120">
        <w:rPr>
          <w:b/>
          <w:sz w:val="20"/>
          <w:szCs w:val="20"/>
        </w:rPr>
        <w:t xml:space="preserve"> </w:t>
      </w:r>
      <w:r w:rsidR="006D5951" w:rsidRPr="003A2A85">
        <w:rPr>
          <w:sz w:val="20"/>
          <w:szCs w:val="20"/>
        </w:rPr>
        <w:t>Authentication and authorization will be done using username/password</w:t>
      </w:r>
      <w:r w:rsidR="003A2A85" w:rsidRPr="003A2A85">
        <w:rPr>
          <w:sz w:val="20"/>
          <w:szCs w:val="20"/>
        </w:rPr>
        <w:t>.  For registration we need confirmation that a</w:t>
      </w:r>
      <w:r w:rsidR="003A2A85">
        <w:rPr>
          <w:sz w:val="20"/>
          <w:szCs w:val="20"/>
        </w:rPr>
        <w:t>n</w:t>
      </w:r>
      <w:r w:rsidR="003A2A85" w:rsidRPr="003A2A85">
        <w:rPr>
          <w:sz w:val="20"/>
          <w:szCs w:val="20"/>
        </w:rPr>
        <w:t xml:space="preserve"> attorney/party filing into a case, and receiving information about it, is authorized to do so.  We need names, addresses, phone numbers, e-mail notification addresses, and state bar numbers for attorneys. Financial information required is up to the vendor.</w:t>
      </w:r>
    </w:p>
    <w:p w:rsidR="003A2A85" w:rsidRPr="00782120" w:rsidRDefault="003A2A85" w:rsidP="006D5951">
      <w:pPr>
        <w:spacing w:after="0" w:line="240" w:lineRule="auto"/>
        <w:ind w:left="360"/>
        <w:rPr>
          <w:sz w:val="20"/>
          <w:szCs w:val="20"/>
        </w:rPr>
      </w:pPr>
    </w:p>
    <w:p w:rsidR="00811D30" w:rsidRPr="00782120" w:rsidRDefault="00811D30" w:rsidP="00811D30">
      <w:pPr>
        <w:spacing w:after="0" w:line="240" w:lineRule="auto"/>
        <w:rPr>
          <w:sz w:val="20"/>
          <w:szCs w:val="20"/>
        </w:rPr>
      </w:pPr>
    </w:p>
    <w:p w:rsidR="000A3734" w:rsidRPr="00782120" w:rsidRDefault="00205BCD" w:rsidP="00843973">
      <w:pPr>
        <w:pStyle w:val="ListParagraph"/>
        <w:numPr>
          <w:ilvl w:val="0"/>
          <w:numId w:val="6"/>
        </w:numPr>
        <w:spacing w:after="0" w:line="240" w:lineRule="auto"/>
        <w:contextualSpacing w:val="0"/>
        <w:rPr>
          <w:sz w:val="20"/>
          <w:szCs w:val="20"/>
        </w:rPr>
      </w:pPr>
      <w:r w:rsidRPr="00205BCD">
        <w:rPr>
          <w:bCs/>
          <w:sz w:val="20"/>
          <w:szCs w:val="20"/>
        </w:rPr>
        <w:t>Attachment 4, Requirements, Section 4.8.1</w:t>
      </w:r>
      <w:r w:rsidR="000A3734" w:rsidRPr="00782120">
        <w:rPr>
          <w:sz w:val="20"/>
          <w:szCs w:val="20"/>
        </w:rPr>
        <w:t xml:space="preserve"> says “Upon acceptance by the Clerk, Vendor and ACCMS shall support sending an acceptance notification to the Filer, along with all accepted (endorsed) document(s)”.  Is it expected that the vendor will send the Filer the electronic notification and the accepted documents via email with attachments or by electronic notification with a hyperlink to these documents?</w:t>
      </w:r>
    </w:p>
    <w:p w:rsidR="006D5951" w:rsidRPr="00782120" w:rsidRDefault="006D5951" w:rsidP="006D5951">
      <w:pPr>
        <w:spacing w:after="0" w:line="240" w:lineRule="auto"/>
        <w:rPr>
          <w:sz w:val="20"/>
          <w:szCs w:val="20"/>
        </w:rPr>
      </w:pPr>
    </w:p>
    <w:p w:rsidR="00421D82" w:rsidRPr="00421D82" w:rsidRDefault="006D5951" w:rsidP="00421D82">
      <w:pPr>
        <w:ind w:left="360"/>
        <w:rPr>
          <w:rFonts w:eastAsia="Times New Roman" w:cs="Arial"/>
          <w:sz w:val="20"/>
          <w:szCs w:val="20"/>
        </w:rPr>
      </w:pPr>
      <w:r w:rsidRPr="004D1643">
        <w:rPr>
          <w:b/>
          <w:sz w:val="20"/>
          <w:szCs w:val="20"/>
        </w:rPr>
        <w:t xml:space="preserve">Answer:  </w:t>
      </w:r>
      <w:r w:rsidR="00421D82" w:rsidRPr="004D1643">
        <w:rPr>
          <w:sz w:val="20"/>
          <w:szCs w:val="20"/>
        </w:rPr>
        <w:t xml:space="preserve">Attachment 4 </w:t>
      </w:r>
      <w:r w:rsidR="00C97DF1" w:rsidRPr="004D1643">
        <w:rPr>
          <w:sz w:val="20"/>
          <w:szCs w:val="20"/>
        </w:rPr>
        <w:t>Revision</w:t>
      </w:r>
      <w:r w:rsidR="00421D82" w:rsidRPr="004D1643">
        <w:rPr>
          <w:sz w:val="20"/>
          <w:szCs w:val="20"/>
        </w:rPr>
        <w:t xml:space="preserve"> 1 has reworded the requirement: </w:t>
      </w:r>
      <w:r w:rsidR="00421D82" w:rsidRPr="004D1643">
        <w:rPr>
          <w:b/>
          <w:sz w:val="20"/>
          <w:szCs w:val="20"/>
        </w:rPr>
        <w:t xml:space="preserve"> “</w:t>
      </w:r>
      <w:r w:rsidR="00421D82" w:rsidRPr="004D1643">
        <w:rPr>
          <w:rFonts w:eastAsia="Times New Roman" w:cs="Arial"/>
          <w:sz w:val="20"/>
          <w:szCs w:val="20"/>
        </w:rPr>
        <w:t xml:space="preserve">When E-Service is initiated the Vendor shall support sending a hyperlink to the documents </w:t>
      </w:r>
      <w:r w:rsidR="00421D82" w:rsidRPr="004D1643">
        <w:rPr>
          <w:rFonts w:eastAsia="Times New Roman" w:cs="Arial"/>
          <w:bCs/>
          <w:color w:val="376091"/>
          <w:sz w:val="20"/>
          <w:szCs w:val="20"/>
        </w:rPr>
        <w:t>or</w:t>
      </w:r>
      <w:r w:rsidR="00421D82" w:rsidRPr="004D1643">
        <w:rPr>
          <w:rFonts w:eastAsia="Times New Roman" w:cs="Arial"/>
          <w:sz w:val="24"/>
          <w:szCs w:val="24"/>
        </w:rPr>
        <w:t xml:space="preserve"> </w:t>
      </w:r>
      <w:r w:rsidR="00421D82" w:rsidRPr="004D1643">
        <w:rPr>
          <w:rFonts w:eastAsia="Times New Roman" w:cs="Arial"/>
          <w:sz w:val="20"/>
          <w:szCs w:val="20"/>
        </w:rPr>
        <w:t>the documents themselves.”</w:t>
      </w:r>
      <w:r w:rsidR="004D1643" w:rsidRPr="004D1643">
        <w:rPr>
          <w:rFonts w:eastAsia="Times New Roman" w:cs="Arial"/>
          <w:sz w:val="20"/>
          <w:szCs w:val="20"/>
        </w:rPr>
        <w:t xml:space="preserve"> The vendor will store the </w:t>
      </w:r>
      <w:r w:rsidR="006E5C83">
        <w:rPr>
          <w:rFonts w:eastAsia="Times New Roman" w:cs="Arial"/>
          <w:sz w:val="20"/>
          <w:szCs w:val="20"/>
        </w:rPr>
        <w:t xml:space="preserve">service </w:t>
      </w:r>
      <w:r w:rsidR="004D1643" w:rsidRPr="004D1643">
        <w:rPr>
          <w:rFonts w:eastAsia="Times New Roman" w:cs="Arial"/>
          <w:sz w:val="20"/>
          <w:szCs w:val="20"/>
        </w:rPr>
        <w:t>documents on behalf of the customer base.</w:t>
      </w:r>
    </w:p>
    <w:p w:rsidR="006D5951" w:rsidRPr="00782120" w:rsidRDefault="006D5951" w:rsidP="006D5951">
      <w:pPr>
        <w:spacing w:after="0" w:line="240" w:lineRule="auto"/>
        <w:ind w:left="360"/>
        <w:rPr>
          <w:b/>
          <w:sz w:val="20"/>
          <w:szCs w:val="20"/>
        </w:rPr>
      </w:pPr>
    </w:p>
    <w:p w:rsidR="007857DF" w:rsidRPr="00782120" w:rsidRDefault="007857DF" w:rsidP="007857DF">
      <w:pPr>
        <w:spacing w:after="0" w:line="240" w:lineRule="auto"/>
        <w:rPr>
          <w:sz w:val="20"/>
          <w:szCs w:val="20"/>
        </w:rPr>
      </w:pPr>
    </w:p>
    <w:p w:rsidR="000A3734" w:rsidRPr="00782120" w:rsidRDefault="000A3734" w:rsidP="00843973">
      <w:pPr>
        <w:pStyle w:val="ListParagraph"/>
        <w:numPr>
          <w:ilvl w:val="0"/>
          <w:numId w:val="6"/>
        </w:numPr>
        <w:spacing w:after="0" w:line="240" w:lineRule="auto"/>
        <w:contextualSpacing w:val="0"/>
        <w:rPr>
          <w:sz w:val="20"/>
          <w:szCs w:val="20"/>
        </w:rPr>
      </w:pPr>
      <w:r w:rsidRPr="00782120">
        <w:rPr>
          <w:b/>
          <w:bCs/>
          <w:sz w:val="20"/>
          <w:szCs w:val="20"/>
        </w:rPr>
        <w:lastRenderedPageBreak/>
        <w:t xml:space="preserve">Attachment 4, Requirements, Section 6.4 </w:t>
      </w:r>
      <w:r w:rsidRPr="00782120">
        <w:rPr>
          <w:sz w:val="20"/>
          <w:szCs w:val="20"/>
        </w:rPr>
        <w:t>says “Vendor shall forward the Court Filing Fees and Court Service Fees to the court”.   Please define what a “Court Service Fee” is and how is it different than a Court Filing Fee.</w:t>
      </w:r>
    </w:p>
    <w:p w:rsidR="00270163" w:rsidRPr="00782120" w:rsidRDefault="00270163" w:rsidP="00270163">
      <w:pPr>
        <w:pStyle w:val="ListParagraph"/>
        <w:spacing w:after="0" w:line="240" w:lineRule="auto"/>
        <w:ind w:left="360"/>
        <w:contextualSpacing w:val="0"/>
        <w:rPr>
          <w:sz w:val="20"/>
          <w:szCs w:val="20"/>
        </w:rPr>
      </w:pPr>
    </w:p>
    <w:p w:rsidR="00986A3D" w:rsidRPr="00782120" w:rsidRDefault="00986A3D" w:rsidP="00986A3D">
      <w:pPr>
        <w:spacing w:after="0" w:line="240" w:lineRule="auto"/>
        <w:ind w:left="360"/>
        <w:rPr>
          <w:sz w:val="20"/>
          <w:szCs w:val="20"/>
        </w:rPr>
      </w:pPr>
      <w:r w:rsidRPr="00782120">
        <w:rPr>
          <w:b/>
          <w:sz w:val="20"/>
          <w:szCs w:val="20"/>
        </w:rPr>
        <w:t>Answer</w:t>
      </w:r>
      <w:r w:rsidRPr="00782120">
        <w:rPr>
          <w:sz w:val="20"/>
          <w:szCs w:val="20"/>
        </w:rPr>
        <w:t>:  The Court Service Fee was added to this requirement to leave open the possibility of collecting court fees that are not filing fees. The</w:t>
      </w:r>
      <w:r w:rsidR="006E5C83">
        <w:rPr>
          <w:sz w:val="20"/>
          <w:szCs w:val="20"/>
        </w:rPr>
        <w:t>re are not</w:t>
      </w:r>
      <w:r w:rsidRPr="00782120">
        <w:rPr>
          <w:sz w:val="20"/>
          <w:szCs w:val="20"/>
        </w:rPr>
        <w:t xml:space="preserve"> Court Service Fees </w:t>
      </w:r>
      <w:r w:rsidR="006E5C83">
        <w:rPr>
          <w:sz w:val="20"/>
          <w:szCs w:val="20"/>
        </w:rPr>
        <w:t>currently established</w:t>
      </w:r>
      <w:r w:rsidRPr="00782120">
        <w:rPr>
          <w:sz w:val="20"/>
          <w:szCs w:val="20"/>
        </w:rPr>
        <w:t>.</w:t>
      </w:r>
    </w:p>
    <w:p w:rsidR="006D5951" w:rsidRPr="00782120" w:rsidRDefault="006D5951" w:rsidP="006D5951">
      <w:pPr>
        <w:pStyle w:val="ListParagraph"/>
        <w:spacing w:after="0" w:line="240" w:lineRule="auto"/>
        <w:ind w:left="360"/>
        <w:contextualSpacing w:val="0"/>
        <w:rPr>
          <w:b/>
          <w:sz w:val="20"/>
          <w:szCs w:val="20"/>
        </w:rPr>
      </w:pPr>
    </w:p>
    <w:p w:rsidR="00270163" w:rsidRPr="00782120" w:rsidRDefault="00270163" w:rsidP="006D5951">
      <w:pPr>
        <w:pStyle w:val="ListParagraph"/>
        <w:spacing w:after="0" w:line="240" w:lineRule="auto"/>
        <w:ind w:left="360"/>
        <w:contextualSpacing w:val="0"/>
        <w:rPr>
          <w:b/>
          <w:sz w:val="20"/>
          <w:szCs w:val="20"/>
        </w:rPr>
      </w:pPr>
    </w:p>
    <w:p w:rsidR="000A3734" w:rsidRPr="00782120" w:rsidRDefault="000A3734" w:rsidP="00843973">
      <w:pPr>
        <w:pStyle w:val="ListParagraph"/>
        <w:numPr>
          <w:ilvl w:val="0"/>
          <w:numId w:val="6"/>
        </w:numPr>
        <w:autoSpaceDE w:val="0"/>
        <w:autoSpaceDN w:val="0"/>
        <w:spacing w:after="0" w:line="240" w:lineRule="auto"/>
        <w:contextualSpacing w:val="0"/>
        <w:rPr>
          <w:sz w:val="20"/>
          <w:szCs w:val="20"/>
        </w:rPr>
      </w:pPr>
      <w:r w:rsidRPr="00782120">
        <w:rPr>
          <w:sz w:val="20"/>
          <w:szCs w:val="20"/>
        </w:rPr>
        <w:t xml:space="preserve">Will the selected vendor be able to include as part of their Cost Recovery Model the number of transactions/filings generated by Government Agencies/Justice Partners and self-represented litigants?  Or is it expected that the vendor will support them at no cost? </w:t>
      </w:r>
    </w:p>
    <w:p w:rsidR="006D5951" w:rsidRPr="00782120" w:rsidRDefault="006D5951" w:rsidP="006D5951">
      <w:pPr>
        <w:spacing w:after="0" w:line="240" w:lineRule="auto"/>
        <w:rPr>
          <w:b/>
          <w:sz w:val="20"/>
          <w:szCs w:val="20"/>
        </w:rPr>
      </w:pPr>
    </w:p>
    <w:p w:rsidR="00270163" w:rsidRDefault="006D5951" w:rsidP="00270163">
      <w:pPr>
        <w:spacing w:after="0" w:line="240" w:lineRule="auto"/>
        <w:ind w:left="360"/>
        <w:rPr>
          <w:sz w:val="20"/>
          <w:szCs w:val="20"/>
        </w:rPr>
      </w:pPr>
      <w:r w:rsidRPr="00782120">
        <w:rPr>
          <w:b/>
          <w:sz w:val="20"/>
          <w:szCs w:val="20"/>
        </w:rPr>
        <w:t xml:space="preserve">Answer: </w:t>
      </w:r>
      <w:r w:rsidR="004D1B9C" w:rsidRPr="00BA36A6">
        <w:rPr>
          <w:sz w:val="20"/>
          <w:szCs w:val="20"/>
        </w:rPr>
        <w:t>At</w:t>
      </w:r>
      <w:r w:rsidR="002809E9" w:rsidRPr="00BA36A6">
        <w:rPr>
          <w:sz w:val="20"/>
          <w:szCs w:val="20"/>
        </w:rPr>
        <w:t xml:space="preserve"> </w:t>
      </w:r>
      <w:r w:rsidR="00270163" w:rsidRPr="00BA36A6">
        <w:rPr>
          <w:sz w:val="20"/>
          <w:szCs w:val="20"/>
        </w:rPr>
        <w:t xml:space="preserve">least at the outset </w:t>
      </w:r>
      <w:r w:rsidR="004D1B9C" w:rsidRPr="00BA36A6">
        <w:rPr>
          <w:sz w:val="20"/>
          <w:szCs w:val="20"/>
        </w:rPr>
        <w:t>we do</w:t>
      </w:r>
      <w:r w:rsidR="00270163" w:rsidRPr="00BA36A6">
        <w:rPr>
          <w:sz w:val="20"/>
          <w:szCs w:val="20"/>
        </w:rPr>
        <w:t xml:space="preserve"> not expect the vendors to handle the exempt agency filers at no cos</w:t>
      </w:r>
      <w:r w:rsidR="004D1B9C" w:rsidRPr="00BA36A6">
        <w:rPr>
          <w:sz w:val="20"/>
          <w:szCs w:val="20"/>
        </w:rPr>
        <w:t>t.</w:t>
      </w:r>
      <w:r w:rsidR="00D72239" w:rsidRPr="00BA36A6">
        <w:rPr>
          <w:sz w:val="20"/>
          <w:szCs w:val="20"/>
        </w:rPr>
        <w:t xml:space="preserve"> Although w</w:t>
      </w:r>
      <w:r w:rsidR="00270163" w:rsidRPr="00BA36A6">
        <w:rPr>
          <w:sz w:val="20"/>
          <w:szCs w:val="20"/>
        </w:rPr>
        <w:t xml:space="preserve">e would like to see the vendors provide some method to accommodate the exempt filers, </w:t>
      </w:r>
      <w:r w:rsidR="00D72239" w:rsidRPr="00BA36A6">
        <w:rPr>
          <w:sz w:val="20"/>
          <w:szCs w:val="20"/>
        </w:rPr>
        <w:t>it is not initially required.</w:t>
      </w:r>
      <w:r w:rsidR="00D72239">
        <w:rPr>
          <w:sz w:val="20"/>
          <w:szCs w:val="20"/>
        </w:rPr>
        <w:t xml:space="preserve"> </w:t>
      </w:r>
      <w:r w:rsidR="004D1B9C" w:rsidRPr="00782120">
        <w:rPr>
          <w:sz w:val="20"/>
          <w:szCs w:val="20"/>
        </w:rPr>
        <w:t xml:space="preserve"> </w:t>
      </w:r>
    </w:p>
    <w:p w:rsidR="004D1B9C" w:rsidRPr="00782120" w:rsidRDefault="004D1B9C" w:rsidP="00270163">
      <w:pPr>
        <w:spacing w:after="0" w:line="240" w:lineRule="auto"/>
        <w:ind w:left="360"/>
        <w:rPr>
          <w:sz w:val="20"/>
          <w:szCs w:val="20"/>
        </w:rPr>
      </w:pPr>
    </w:p>
    <w:p w:rsidR="00351780" w:rsidRPr="00782120" w:rsidRDefault="00351780" w:rsidP="00351780">
      <w:pPr>
        <w:pStyle w:val="ListParagraph"/>
        <w:numPr>
          <w:ilvl w:val="0"/>
          <w:numId w:val="6"/>
        </w:numPr>
        <w:rPr>
          <w:sz w:val="20"/>
          <w:szCs w:val="20"/>
        </w:rPr>
      </w:pPr>
      <w:r w:rsidRPr="00782120">
        <w:rPr>
          <w:sz w:val="20"/>
          <w:szCs w:val="20"/>
        </w:rPr>
        <w:t>Just as a follow up we would like to receive a copy of the specifications for the web se</w:t>
      </w:r>
      <w:r w:rsidR="008D6702">
        <w:rPr>
          <w:sz w:val="20"/>
          <w:szCs w:val="20"/>
        </w:rPr>
        <w:t xml:space="preserve">rvice we would be connecting to </w:t>
      </w:r>
      <w:r w:rsidRPr="00782120">
        <w:rPr>
          <w:sz w:val="20"/>
          <w:szCs w:val="20"/>
        </w:rPr>
        <w:t>your CMS.</w:t>
      </w:r>
    </w:p>
    <w:p w:rsidR="00A60680" w:rsidRDefault="00A60680" w:rsidP="0044782C">
      <w:pPr>
        <w:pStyle w:val="ListParagraph"/>
        <w:spacing w:after="0" w:line="240" w:lineRule="auto"/>
        <w:ind w:left="360"/>
        <w:rPr>
          <w:b/>
          <w:sz w:val="20"/>
          <w:szCs w:val="20"/>
        </w:rPr>
      </w:pPr>
    </w:p>
    <w:p w:rsidR="004F3ADD" w:rsidRDefault="004F3ADD" w:rsidP="0044782C">
      <w:pPr>
        <w:pStyle w:val="ListParagraph"/>
        <w:spacing w:after="0" w:line="240" w:lineRule="auto"/>
        <w:ind w:left="360"/>
        <w:rPr>
          <w:sz w:val="20"/>
          <w:szCs w:val="20"/>
        </w:rPr>
      </w:pPr>
      <w:r w:rsidRPr="00782120">
        <w:rPr>
          <w:b/>
          <w:sz w:val="20"/>
          <w:szCs w:val="20"/>
        </w:rPr>
        <w:t xml:space="preserve">Answer: </w:t>
      </w:r>
      <w:r w:rsidR="004D1643" w:rsidRPr="004D1643">
        <w:rPr>
          <w:sz w:val="20"/>
          <w:szCs w:val="20"/>
        </w:rPr>
        <w:t>These web services are not yet developed</w:t>
      </w:r>
      <w:r w:rsidR="004D1643">
        <w:rPr>
          <w:sz w:val="20"/>
          <w:szCs w:val="20"/>
        </w:rPr>
        <w:t>. The</w:t>
      </w:r>
      <w:r w:rsidR="00294AD1">
        <w:rPr>
          <w:sz w:val="20"/>
          <w:szCs w:val="20"/>
        </w:rPr>
        <w:t xml:space="preserve">y will be developed once the e-filing solution is determined. </w:t>
      </w:r>
      <w:r w:rsidR="008D6702">
        <w:rPr>
          <w:sz w:val="20"/>
          <w:szCs w:val="20"/>
        </w:rPr>
        <w:t>Our intention is</w:t>
      </w:r>
      <w:r w:rsidR="00294AD1">
        <w:rPr>
          <w:sz w:val="20"/>
          <w:szCs w:val="20"/>
        </w:rPr>
        <w:t xml:space="preserve"> to follow ECF standards if possible.</w:t>
      </w:r>
      <w:r w:rsidR="00FB6402">
        <w:rPr>
          <w:sz w:val="20"/>
          <w:szCs w:val="20"/>
        </w:rPr>
        <w:t xml:space="preserve"> Here are 5 ECF messages that we intend to deploy during the pilot phase: </w:t>
      </w:r>
    </w:p>
    <w:p w:rsidR="00FB6402" w:rsidRDefault="00FB6402" w:rsidP="0044782C">
      <w:pPr>
        <w:pStyle w:val="ListParagraph"/>
        <w:spacing w:after="0" w:line="240" w:lineRule="auto"/>
        <w:ind w:left="360"/>
        <w:rPr>
          <w:sz w:val="20"/>
          <w:szCs w:val="20"/>
        </w:rPr>
      </w:pPr>
    </w:p>
    <w:p w:rsidR="00FB6402" w:rsidRDefault="00FB6402" w:rsidP="00FB6402">
      <w:pPr>
        <w:pStyle w:val="ListParagraph"/>
        <w:numPr>
          <w:ilvl w:val="0"/>
          <w:numId w:val="20"/>
        </w:numPr>
        <w:spacing w:after="0" w:line="240" w:lineRule="auto"/>
        <w:rPr>
          <w:color w:val="000000"/>
        </w:rPr>
      </w:pPr>
      <w:r>
        <w:rPr>
          <w:color w:val="000000"/>
        </w:rPr>
        <w:t>ECF-4.0-CoreFilingMessage</w:t>
      </w:r>
      <w:r w:rsidRPr="00FB6402">
        <w:rPr>
          <w:color w:val="000000"/>
        </w:rPr>
        <w:t xml:space="preserve"> </w:t>
      </w:r>
    </w:p>
    <w:p w:rsidR="00FB6402" w:rsidRDefault="00FB6402" w:rsidP="00FB6402">
      <w:pPr>
        <w:pStyle w:val="ListParagraph"/>
        <w:numPr>
          <w:ilvl w:val="0"/>
          <w:numId w:val="20"/>
        </w:numPr>
        <w:spacing w:after="0" w:line="240" w:lineRule="auto"/>
        <w:rPr>
          <w:color w:val="000000"/>
        </w:rPr>
      </w:pPr>
      <w:r>
        <w:rPr>
          <w:color w:val="000000"/>
        </w:rPr>
        <w:t>ECF-4.0-ReviewFilingCallbackMessage</w:t>
      </w:r>
      <w:r w:rsidRPr="00FB6402">
        <w:rPr>
          <w:color w:val="000000"/>
        </w:rPr>
        <w:t xml:space="preserve"> </w:t>
      </w:r>
    </w:p>
    <w:p w:rsidR="00FB6402" w:rsidRDefault="00FB6402" w:rsidP="00FB6402">
      <w:pPr>
        <w:pStyle w:val="ListParagraph"/>
        <w:numPr>
          <w:ilvl w:val="0"/>
          <w:numId w:val="20"/>
        </w:numPr>
        <w:spacing w:after="0" w:line="240" w:lineRule="auto"/>
        <w:rPr>
          <w:color w:val="000000"/>
        </w:rPr>
      </w:pPr>
      <w:r>
        <w:rPr>
          <w:color w:val="000000"/>
        </w:rPr>
        <w:t>ECF-4.0-FeesCalculationQueryMessage</w:t>
      </w:r>
    </w:p>
    <w:p w:rsidR="00FB6402" w:rsidRDefault="00FB6402" w:rsidP="00FB6402">
      <w:pPr>
        <w:pStyle w:val="ListParagraph"/>
        <w:numPr>
          <w:ilvl w:val="0"/>
          <w:numId w:val="20"/>
        </w:numPr>
        <w:spacing w:after="0" w:line="240" w:lineRule="auto"/>
        <w:rPr>
          <w:color w:val="000000"/>
        </w:rPr>
      </w:pPr>
      <w:r>
        <w:rPr>
          <w:color w:val="000000"/>
        </w:rPr>
        <w:t>ECF-4.0-FeesCalculationResponseMessage</w:t>
      </w:r>
      <w:r w:rsidRPr="00FB6402">
        <w:rPr>
          <w:color w:val="000000"/>
        </w:rPr>
        <w:t xml:space="preserve"> </w:t>
      </w:r>
    </w:p>
    <w:p w:rsidR="00FB6402" w:rsidRDefault="00FB6402" w:rsidP="00FB6402">
      <w:pPr>
        <w:pStyle w:val="ListParagraph"/>
        <w:numPr>
          <w:ilvl w:val="0"/>
          <w:numId w:val="20"/>
        </w:numPr>
        <w:spacing w:after="0" w:line="240" w:lineRule="auto"/>
        <w:rPr>
          <w:sz w:val="20"/>
          <w:szCs w:val="20"/>
        </w:rPr>
      </w:pPr>
      <w:r>
        <w:rPr>
          <w:color w:val="000000"/>
        </w:rPr>
        <w:t>ECF-4.0-MessageReceiptMessage</w:t>
      </w:r>
    </w:p>
    <w:p w:rsidR="00FB6402" w:rsidRPr="00782120" w:rsidRDefault="00FB6402" w:rsidP="0044782C">
      <w:pPr>
        <w:pStyle w:val="ListParagraph"/>
        <w:spacing w:after="0" w:line="240" w:lineRule="auto"/>
        <w:ind w:left="360"/>
        <w:rPr>
          <w:b/>
          <w:sz w:val="20"/>
          <w:szCs w:val="20"/>
        </w:rPr>
      </w:pPr>
    </w:p>
    <w:p w:rsidR="00351780" w:rsidRPr="00782120" w:rsidRDefault="00351780" w:rsidP="00843973">
      <w:pPr>
        <w:pStyle w:val="ListParagraph"/>
        <w:numPr>
          <w:ilvl w:val="0"/>
          <w:numId w:val="6"/>
        </w:numPr>
        <w:autoSpaceDE w:val="0"/>
        <w:autoSpaceDN w:val="0"/>
        <w:spacing w:after="0" w:line="240" w:lineRule="auto"/>
        <w:contextualSpacing w:val="0"/>
        <w:rPr>
          <w:sz w:val="20"/>
          <w:szCs w:val="20"/>
        </w:rPr>
      </w:pPr>
      <w:r w:rsidRPr="00782120">
        <w:rPr>
          <w:sz w:val="20"/>
          <w:szCs w:val="20"/>
        </w:rPr>
        <w:t>Requirements –</w:t>
      </w:r>
      <w:r w:rsidR="0044782C" w:rsidRPr="00782120">
        <w:rPr>
          <w:sz w:val="20"/>
          <w:szCs w:val="20"/>
        </w:rPr>
        <w:t xml:space="preserve"> Inte</w:t>
      </w:r>
      <w:r w:rsidRPr="00782120">
        <w:rPr>
          <w:sz w:val="20"/>
          <w:szCs w:val="20"/>
        </w:rPr>
        <w:t>gration. Since selected vendor will be responsible for assisting with the integration into Appellate Court Case Management System (ACCMS), can any details with respect to that system be provided, such as architecture, database, programming language, description of other existing integrations?</w:t>
      </w:r>
    </w:p>
    <w:p w:rsidR="0044782C" w:rsidRPr="00782120" w:rsidRDefault="0044782C" w:rsidP="0044782C">
      <w:pPr>
        <w:pStyle w:val="ListParagraph"/>
        <w:spacing w:after="0" w:line="240" w:lineRule="auto"/>
        <w:ind w:left="360"/>
        <w:rPr>
          <w:b/>
          <w:sz w:val="20"/>
          <w:szCs w:val="20"/>
        </w:rPr>
      </w:pPr>
    </w:p>
    <w:p w:rsidR="0044782C" w:rsidRPr="00782120" w:rsidRDefault="0044782C" w:rsidP="0044782C">
      <w:pPr>
        <w:pStyle w:val="ListParagraph"/>
        <w:spacing w:after="0" w:line="240" w:lineRule="auto"/>
        <w:ind w:left="360"/>
        <w:rPr>
          <w:b/>
          <w:sz w:val="20"/>
          <w:szCs w:val="20"/>
        </w:rPr>
      </w:pPr>
      <w:r w:rsidRPr="00782120">
        <w:rPr>
          <w:b/>
          <w:sz w:val="20"/>
          <w:szCs w:val="20"/>
        </w:rPr>
        <w:t xml:space="preserve">Answer: </w:t>
      </w:r>
      <w:r w:rsidR="00294AD1" w:rsidRPr="00294AD1">
        <w:rPr>
          <w:sz w:val="20"/>
          <w:szCs w:val="20"/>
        </w:rPr>
        <w:t xml:space="preserve">We </w:t>
      </w:r>
      <w:r w:rsidR="00FB6402">
        <w:rPr>
          <w:sz w:val="20"/>
          <w:szCs w:val="20"/>
        </w:rPr>
        <w:t>have an Integrated Service Bus (ISB)</w:t>
      </w:r>
      <w:r w:rsidR="005A37BE">
        <w:rPr>
          <w:sz w:val="20"/>
          <w:szCs w:val="20"/>
        </w:rPr>
        <w:t xml:space="preserve">, which utilizes </w:t>
      </w:r>
      <w:r w:rsidR="00226594">
        <w:rPr>
          <w:sz w:val="20"/>
          <w:szCs w:val="20"/>
        </w:rPr>
        <w:t xml:space="preserve">TIBCO </w:t>
      </w:r>
      <w:r w:rsidR="005A37BE">
        <w:rPr>
          <w:sz w:val="20"/>
          <w:szCs w:val="20"/>
        </w:rPr>
        <w:t xml:space="preserve">software, </w:t>
      </w:r>
      <w:r w:rsidR="00FB6402">
        <w:rPr>
          <w:sz w:val="20"/>
          <w:szCs w:val="20"/>
        </w:rPr>
        <w:t xml:space="preserve">where web services will be hosted. All messages received </w:t>
      </w:r>
      <w:r w:rsidR="005A37BE">
        <w:rPr>
          <w:sz w:val="20"/>
          <w:szCs w:val="20"/>
        </w:rPr>
        <w:t xml:space="preserve">by the web service </w:t>
      </w:r>
      <w:r w:rsidR="00FB6402">
        <w:rPr>
          <w:sz w:val="20"/>
          <w:szCs w:val="20"/>
        </w:rPr>
        <w:t>will be forward to ACCMS. ACCMS will not be directly exposed to the vendor system.</w:t>
      </w:r>
      <w:r w:rsidR="005A37BE">
        <w:rPr>
          <w:sz w:val="20"/>
          <w:szCs w:val="20"/>
        </w:rPr>
        <w:t xml:space="preserve"> (See also #24)</w:t>
      </w:r>
    </w:p>
    <w:p w:rsidR="0044782C" w:rsidRPr="00782120" w:rsidRDefault="0044782C" w:rsidP="0044782C">
      <w:pPr>
        <w:pStyle w:val="ListParagraph"/>
        <w:autoSpaceDE w:val="0"/>
        <w:autoSpaceDN w:val="0"/>
        <w:spacing w:after="0" w:line="240" w:lineRule="auto"/>
        <w:ind w:left="360"/>
        <w:contextualSpacing w:val="0"/>
        <w:rPr>
          <w:sz w:val="20"/>
          <w:szCs w:val="20"/>
        </w:rPr>
      </w:pPr>
    </w:p>
    <w:p w:rsidR="00351780" w:rsidRPr="00782120" w:rsidRDefault="00351780" w:rsidP="00843973">
      <w:pPr>
        <w:pStyle w:val="ListParagraph"/>
        <w:numPr>
          <w:ilvl w:val="0"/>
          <w:numId w:val="6"/>
        </w:numPr>
        <w:autoSpaceDE w:val="0"/>
        <w:autoSpaceDN w:val="0"/>
        <w:spacing w:after="0" w:line="240" w:lineRule="auto"/>
        <w:contextualSpacing w:val="0"/>
        <w:rPr>
          <w:sz w:val="20"/>
          <w:szCs w:val="20"/>
        </w:rPr>
      </w:pPr>
      <w:r w:rsidRPr="00782120">
        <w:rPr>
          <w:sz w:val="20"/>
          <w:szCs w:val="20"/>
        </w:rPr>
        <w:t>RFP has the following: “The fees charged by the Vendor for E-Filing must be reasonable”.  What are reasonable fees in this context?</w:t>
      </w:r>
    </w:p>
    <w:p w:rsidR="0044782C" w:rsidRPr="00782120" w:rsidRDefault="0044782C" w:rsidP="0044782C">
      <w:pPr>
        <w:autoSpaceDE w:val="0"/>
        <w:autoSpaceDN w:val="0"/>
        <w:spacing w:after="0" w:line="240" w:lineRule="auto"/>
        <w:rPr>
          <w:sz w:val="20"/>
          <w:szCs w:val="20"/>
        </w:rPr>
      </w:pPr>
    </w:p>
    <w:p w:rsidR="006E5C83" w:rsidRDefault="0044782C" w:rsidP="006E5C83">
      <w:pPr>
        <w:spacing w:after="0" w:line="240" w:lineRule="auto"/>
        <w:ind w:left="360"/>
        <w:rPr>
          <w:bCs/>
        </w:rPr>
      </w:pPr>
      <w:r w:rsidRPr="00782120">
        <w:rPr>
          <w:b/>
          <w:sz w:val="20"/>
          <w:szCs w:val="20"/>
        </w:rPr>
        <w:t xml:space="preserve">Answer: </w:t>
      </w:r>
      <w:r w:rsidR="003A2A85" w:rsidRPr="003A2A85">
        <w:rPr>
          <w:bCs/>
          <w:sz w:val="20"/>
          <w:szCs w:val="20"/>
        </w:rPr>
        <w:t xml:space="preserve">Rule of Court 8.75(b) states that our contract with any EFSP may allow the provider to charge a “reasonable fee.”  That term is not defined in the Rules of Court.  We expect that any cost recovery model would provide the vendor with a reasonable rate of </w:t>
      </w:r>
      <w:r w:rsidR="00226594">
        <w:rPr>
          <w:bCs/>
          <w:sz w:val="20"/>
          <w:szCs w:val="20"/>
        </w:rPr>
        <w:t>ret</w:t>
      </w:r>
      <w:r w:rsidR="003A2A85" w:rsidRPr="003A2A85">
        <w:rPr>
          <w:bCs/>
          <w:sz w:val="20"/>
          <w:szCs w:val="20"/>
        </w:rPr>
        <w:t>urn on investment</w:t>
      </w:r>
      <w:r w:rsidR="006E5C83">
        <w:rPr>
          <w:bCs/>
          <w:sz w:val="20"/>
          <w:szCs w:val="20"/>
        </w:rPr>
        <w:t>, based on the assumption of a branch-wide deployment in Phase 2</w:t>
      </w:r>
      <w:r w:rsidR="006E5C83" w:rsidRPr="003A2A85">
        <w:rPr>
          <w:bCs/>
          <w:sz w:val="20"/>
          <w:szCs w:val="20"/>
        </w:rPr>
        <w:t>.</w:t>
      </w:r>
      <w:r w:rsidR="006E5C83">
        <w:rPr>
          <w:bCs/>
        </w:rPr>
        <w:t xml:space="preserve">  </w:t>
      </w:r>
    </w:p>
    <w:p w:rsidR="0044782C" w:rsidRDefault="003A2A85" w:rsidP="003A2A85">
      <w:pPr>
        <w:spacing w:after="0" w:line="240" w:lineRule="auto"/>
        <w:ind w:left="360"/>
        <w:rPr>
          <w:bCs/>
        </w:rPr>
      </w:pPr>
      <w:r>
        <w:rPr>
          <w:bCs/>
        </w:rPr>
        <w:t xml:space="preserve">  </w:t>
      </w:r>
    </w:p>
    <w:p w:rsidR="00351780" w:rsidRPr="00782120" w:rsidRDefault="00351780" w:rsidP="00351780">
      <w:pPr>
        <w:pStyle w:val="Num-Heading3"/>
        <w:numPr>
          <w:ilvl w:val="0"/>
          <w:numId w:val="6"/>
        </w:numPr>
        <w:spacing w:before="0" w:after="0"/>
        <w:rPr>
          <w:rFonts w:asciiTheme="minorHAnsi" w:hAnsiTheme="minorHAnsi" w:cs="Calibri"/>
          <w:b w:val="0"/>
          <w:sz w:val="20"/>
          <w:szCs w:val="20"/>
        </w:rPr>
      </w:pPr>
      <w:r w:rsidRPr="003A2A85">
        <w:rPr>
          <w:rFonts w:asciiTheme="minorHAnsi" w:hAnsiTheme="minorHAnsi"/>
          <w:b w:val="0"/>
          <w:iCs/>
          <w:sz w:val="20"/>
          <w:szCs w:val="20"/>
        </w:rPr>
        <w:t>Section 4.4.8:</w:t>
      </w:r>
      <w:r w:rsidRPr="00782120">
        <w:rPr>
          <w:rFonts w:asciiTheme="minorHAnsi" w:hAnsiTheme="minorHAnsi"/>
          <w:iCs/>
          <w:sz w:val="20"/>
          <w:szCs w:val="20"/>
        </w:rPr>
        <w:t xml:space="preserve">  </w:t>
      </w:r>
      <w:r w:rsidRPr="00782120">
        <w:rPr>
          <w:rFonts w:asciiTheme="minorHAnsi" w:hAnsiTheme="minorHAnsi" w:cs="Calibri"/>
          <w:b w:val="0"/>
          <w:sz w:val="20"/>
          <w:szCs w:val="20"/>
        </w:rPr>
        <w:t>Question:  Would the court please explain what is meant by “software support for multiple tests, training and production environments managed by AOC”.</w:t>
      </w:r>
    </w:p>
    <w:p w:rsidR="0044782C" w:rsidRPr="00782120" w:rsidRDefault="0044782C" w:rsidP="0044782C">
      <w:pPr>
        <w:pStyle w:val="ListParagraph"/>
        <w:spacing w:after="0" w:line="240" w:lineRule="auto"/>
        <w:ind w:left="360"/>
        <w:rPr>
          <w:b/>
          <w:sz w:val="20"/>
          <w:szCs w:val="20"/>
        </w:rPr>
      </w:pPr>
    </w:p>
    <w:p w:rsidR="00554713" w:rsidRDefault="0044782C" w:rsidP="0044782C">
      <w:pPr>
        <w:pStyle w:val="ListParagraph"/>
        <w:spacing w:after="0" w:line="240" w:lineRule="auto"/>
        <w:ind w:left="360"/>
        <w:rPr>
          <w:b/>
          <w:sz w:val="20"/>
          <w:szCs w:val="20"/>
        </w:rPr>
      </w:pPr>
      <w:r w:rsidRPr="00554713">
        <w:rPr>
          <w:b/>
          <w:sz w:val="20"/>
          <w:szCs w:val="20"/>
        </w:rPr>
        <w:t xml:space="preserve">Answer: </w:t>
      </w:r>
      <w:r w:rsidR="00554713" w:rsidRPr="00554713">
        <w:rPr>
          <w:b/>
          <w:sz w:val="20"/>
          <w:szCs w:val="20"/>
        </w:rPr>
        <w:t xml:space="preserve"> </w:t>
      </w:r>
      <w:r w:rsidR="00554713" w:rsidRPr="00554713">
        <w:rPr>
          <w:sz w:val="20"/>
          <w:szCs w:val="20"/>
        </w:rPr>
        <w:t>We want to know if a vendor can support multiple simultaneous connections to multiple AOC /Court environments. For example test, training and production environments.</w:t>
      </w:r>
    </w:p>
    <w:p w:rsidR="00554713" w:rsidRDefault="00554713" w:rsidP="0044782C">
      <w:pPr>
        <w:pStyle w:val="ListParagraph"/>
        <w:spacing w:after="0" w:line="240" w:lineRule="auto"/>
        <w:ind w:left="360"/>
        <w:rPr>
          <w:b/>
          <w:sz w:val="20"/>
          <w:szCs w:val="20"/>
        </w:rPr>
      </w:pPr>
    </w:p>
    <w:p w:rsidR="00351780" w:rsidRPr="00782120" w:rsidRDefault="00351780" w:rsidP="00351780">
      <w:pPr>
        <w:pStyle w:val="ListParagraph"/>
        <w:numPr>
          <w:ilvl w:val="0"/>
          <w:numId w:val="6"/>
        </w:numPr>
        <w:spacing w:after="0"/>
        <w:rPr>
          <w:rFonts w:eastAsia="Calibri" w:cs="Times New Roman"/>
          <w:sz w:val="20"/>
          <w:szCs w:val="20"/>
          <w:lang w:eastAsia="ja-JP"/>
        </w:rPr>
      </w:pPr>
      <w:r w:rsidRPr="003A2A85">
        <w:rPr>
          <w:rFonts w:eastAsia="Calibri" w:cs="Times New Roman"/>
          <w:sz w:val="20"/>
          <w:szCs w:val="20"/>
          <w:lang w:eastAsia="ja-JP"/>
        </w:rPr>
        <w:lastRenderedPageBreak/>
        <w:t>Section 4.7.1:</w:t>
      </w:r>
      <w:r w:rsidRPr="00782120">
        <w:rPr>
          <w:rFonts w:eastAsia="Calibri" w:cs="Times New Roman"/>
          <w:sz w:val="20"/>
          <w:szCs w:val="20"/>
          <w:lang w:eastAsia="ja-JP"/>
        </w:rPr>
        <w:t xml:space="preserve">  Question:  Can the court please elaborate on this question?  “Describe your tools for system administration; include system in operation versus system down-time.”</w:t>
      </w:r>
    </w:p>
    <w:p w:rsidR="0044782C" w:rsidRPr="00782120" w:rsidRDefault="0044782C" w:rsidP="0044782C">
      <w:pPr>
        <w:pStyle w:val="ListParagraph"/>
        <w:spacing w:after="0" w:line="240" w:lineRule="auto"/>
        <w:ind w:left="360"/>
        <w:rPr>
          <w:b/>
          <w:sz w:val="20"/>
          <w:szCs w:val="20"/>
        </w:rPr>
      </w:pPr>
    </w:p>
    <w:p w:rsidR="0044782C" w:rsidRPr="00782120" w:rsidRDefault="0044782C" w:rsidP="0044782C">
      <w:pPr>
        <w:pStyle w:val="ListParagraph"/>
        <w:spacing w:after="0" w:line="240" w:lineRule="auto"/>
        <w:ind w:left="360"/>
        <w:rPr>
          <w:b/>
          <w:sz w:val="20"/>
          <w:szCs w:val="20"/>
        </w:rPr>
      </w:pPr>
      <w:r w:rsidRPr="00782120">
        <w:rPr>
          <w:b/>
          <w:sz w:val="20"/>
          <w:szCs w:val="20"/>
        </w:rPr>
        <w:t xml:space="preserve">Answer: </w:t>
      </w:r>
      <w:r w:rsidR="005A37BE" w:rsidRPr="005A37BE">
        <w:rPr>
          <w:sz w:val="20"/>
          <w:szCs w:val="20"/>
        </w:rPr>
        <w:t xml:space="preserve">For example, transaction logging, maintenance, </w:t>
      </w:r>
      <w:r w:rsidR="005A37BE">
        <w:rPr>
          <w:sz w:val="20"/>
          <w:szCs w:val="20"/>
        </w:rPr>
        <w:t xml:space="preserve">and </w:t>
      </w:r>
      <w:r w:rsidR="005A37BE" w:rsidRPr="005A37BE">
        <w:rPr>
          <w:sz w:val="20"/>
          <w:szCs w:val="20"/>
        </w:rPr>
        <w:t>monitoring. Are the</w:t>
      </w:r>
      <w:r w:rsidR="005A37BE">
        <w:rPr>
          <w:sz w:val="20"/>
          <w:szCs w:val="20"/>
        </w:rPr>
        <w:t>se</w:t>
      </w:r>
      <w:r w:rsidR="005A37BE" w:rsidRPr="005A37BE">
        <w:rPr>
          <w:sz w:val="20"/>
          <w:szCs w:val="20"/>
        </w:rPr>
        <w:t xml:space="preserve"> tools provided by a 3rd party or developed in</w:t>
      </w:r>
      <w:r w:rsidR="00226594">
        <w:rPr>
          <w:sz w:val="20"/>
          <w:szCs w:val="20"/>
        </w:rPr>
        <w:t>-</w:t>
      </w:r>
      <w:r w:rsidR="005A37BE" w:rsidRPr="005A37BE">
        <w:rPr>
          <w:sz w:val="20"/>
          <w:szCs w:val="20"/>
        </w:rPr>
        <w:t xml:space="preserve">house? </w:t>
      </w:r>
      <w:r w:rsidR="005A37BE">
        <w:rPr>
          <w:sz w:val="20"/>
          <w:szCs w:val="20"/>
        </w:rPr>
        <w:t>How is</w:t>
      </w:r>
      <w:r w:rsidR="005A37BE" w:rsidRPr="005A37BE">
        <w:rPr>
          <w:sz w:val="20"/>
          <w:szCs w:val="20"/>
        </w:rPr>
        <w:t xml:space="preserve"> fault tolerance </w:t>
      </w:r>
      <w:r w:rsidR="005A37BE">
        <w:rPr>
          <w:sz w:val="20"/>
          <w:szCs w:val="20"/>
        </w:rPr>
        <w:t>implemented</w:t>
      </w:r>
      <w:r w:rsidR="00554713">
        <w:rPr>
          <w:sz w:val="20"/>
          <w:szCs w:val="20"/>
        </w:rPr>
        <w:t>, etc</w:t>
      </w:r>
      <w:r w:rsidR="005A37BE" w:rsidRPr="005A37BE">
        <w:rPr>
          <w:sz w:val="20"/>
          <w:szCs w:val="20"/>
        </w:rPr>
        <w:t xml:space="preserve">?  </w:t>
      </w:r>
    </w:p>
    <w:p w:rsidR="00351780" w:rsidRPr="00782120" w:rsidRDefault="00351780" w:rsidP="00351780">
      <w:pPr>
        <w:pStyle w:val="ListParagraph"/>
        <w:spacing w:after="0"/>
        <w:ind w:left="1440"/>
        <w:rPr>
          <w:rFonts w:eastAsia="Calibri" w:cs="Times New Roman"/>
          <w:sz w:val="20"/>
          <w:szCs w:val="20"/>
          <w:lang w:eastAsia="ja-JP"/>
        </w:rPr>
      </w:pPr>
    </w:p>
    <w:p w:rsidR="00351780" w:rsidRPr="00782120" w:rsidRDefault="00351780" w:rsidP="00351780">
      <w:pPr>
        <w:pStyle w:val="ListParagraph"/>
        <w:numPr>
          <w:ilvl w:val="0"/>
          <w:numId w:val="6"/>
        </w:numPr>
        <w:spacing w:after="0"/>
        <w:rPr>
          <w:rFonts w:eastAsia="Calibri" w:cs="Times New Roman"/>
          <w:sz w:val="20"/>
          <w:szCs w:val="20"/>
        </w:rPr>
      </w:pPr>
      <w:r w:rsidRPr="00782120">
        <w:rPr>
          <w:rFonts w:eastAsia="Calibri" w:cs="Times New Roman"/>
          <w:sz w:val="20"/>
          <w:szCs w:val="20"/>
          <w:lang w:eastAsia="ja-JP"/>
        </w:rPr>
        <w:t xml:space="preserve">Rules Question:  </w:t>
      </w:r>
      <w:r w:rsidRPr="00782120">
        <w:rPr>
          <w:rFonts w:eastAsia="Calibri" w:cs="Times New Roman"/>
          <w:sz w:val="20"/>
          <w:szCs w:val="20"/>
        </w:rPr>
        <w:t>Will the vendor's system be required to display the e-mail addresses for all parties on the case distribution list (i.e., service list) for each case or can alternatives be offered that may require a modification to Rule CRC 8.71(b)?</w:t>
      </w:r>
    </w:p>
    <w:p w:rsidR="0044782C" w:rsidRPr="00782120" w:rsidRDefault="0044782C" w:rsidP="0044782C">
      <w:pPr>
        <w:pStyle w:val="ListParagraph"/>
        <w:spacing w:after="0" w:line="240" w:lineRule="auto"/>
        <w:ind w:left="360"/>
        <w:rPr>
          <w:b/>
          <w:sz w:val="20"/>
          <w:szCs w:val="20"/>
        </w:rPr>
      </w:pPr>
    </w:p>
    <w:p w:rsidR="00351780" w:rsidRDefault="0044782C" w:rsidP="0044782C">
      <w:pPr>
        <w:spacing w:after="0" w:line="240" w:lineRule="auto"/>
        <w:ind w:left="360"/>
        <w:rPr>
          <w:b/>
          <w:sz w:val="20"/>
          <w:szCs w:val="20"/>
        </w:rPr>
      </w:pPr>
      <w:r w:rsidRPr="00782120">
        <w:rPr>
          <w:b/>
          <w:sz w:val="20"/>
          <w:szCs w:val="20"/>
        </w:rPr>
        <w:t xml:space="preserve">Answer: </w:t>
      </w:r>
      <w:r w:rsidR="003A2A85" w:rsidRPr="003A2A85">
        <w:rPr>
          <w:bCs/>
          <w:sz w:val="20"/>
          <w:szCs w:val="20"/>
        </w:rPr>
        <w:t xml:space="preserve">The court will require the e-mail notification addresses for all parties </w:t>
      </w:r>
      <w:r w:rsidR="006E5C83">
        <w:rPr>
          <w:bCs/>
          <w:sz w:val="20"/>
          <w:szCs w:val="20"/>
        </w:rPr>
        <w:t>or their</w:t>
      </w:r>
      <w:r w:rsidR="006E5C83" w:rsidRPr="003A2A85">
        <w:rPr>
          <w:bCs/>
          <w:sz w:val="20"/>
          <w:szCs w:val="20"/>
        </w:rPr>
        <w:t xml:space="preserve"> </w:t>
      </w:r>
      <w:r w:rsidR="003A2A85" w:rsidRPr="003A2A85">
        <w:rPr>
          <w:bCs/>
          <w:sz w:val="20"/>
          <w:szCs w:val="20"/>
        </w:rPr>
        <w:t>attorneys.  An electronic service list is required to be maintained by the EFSP under Rule of Court 8.71(b).  Any solution requiring a change to the Rules of Court would not be preferred.</w:t>
      </w:r>
    </w:p>
    <w:p w:rsidR="002809E9" w:rsidRPr="00782120" w:rsidRDefault="002809E9" w:rsidP="0044782C">
      <w:pPr>
        <w:spacing w:after="0" w:line="240" w:lineRule="auto"/>
        <w:ind w:left="360"/>
        <w:rPr>
          <w:b/>
          <w:sz w:val="20"/>
          <w:szCs w:val="20"/>
        </w:rPr>
      </w:pPr>
    </w:p>
    <w:p w:rsidR="00351780" w:rsidRPr="00782120" w:rsidRDefault="00351780" w:rsidP="00351780">
      <w:pPr>
        <w:pStyle w:val="ListParagraph"/>
        <w:numPr>
          <w:ilvl w:val="0"/>
          <w:numId w:val="6"/>
        </w:numPr>
        <w:spacing w:after="0"/>
        <w:rPr>
          <w:rFonts w:eastAsia="Calibri" w:cs="Times New Roman"/>
          <w:sz w:val="20"/>
          <w:szCs w:val="20"/>
        </w:rPr>
      </w:pPr>
      <w:r w:rsidRPr="00782120">
        <w:rPr>
          <w:rFonts w:eastAsia="Calibri" w:cs="Times New Roman"/>
          <w:sz w:val="20"/>
          <w:szCs w:val="20"/>
        </w:rPr>
        <w:t>Could the Court provide an estimate of the number of attorneys that might be filing in the pilot program per month; and the number post-pilot program?</w:t>
      </w:r>
    </w:p>
    <w:p w:rsidR="00B66E67" w:rsidRPr="00782120" w:rsidRDefault="00B66E67" w:rsidP="00B66E67">
      <w:pPr>
        <w:pStyle w:val="ListParagraph"/>
        <w:spacing w:after="0" w:line="240" w:lineRule="auto"/>
        <w:ind w:left="360"/>
        <w:rPr>
          <w:b/>
          <w:sz w:val="20"/>
          <w:szCs w:val="20"/>
        </w:rPr>
      </w:pPr>
    </w:p>
    <w:p w:rsidR="00B66E67" w:rsidRPr="00B40AE7" w:rsidRDefault="00B66E67" w:rsidP="00B66E67">
      <w:pPr>
        <w:pStyle w:val="ListParagraph"/>
        <w:spacing w:after="0" w:line="240" w:lineRule="auto"/>
        <w:ind w:left="360"/>
        <w:rPr>
          <w:b/>
          <w:sz w:val="20"/>
          <w:szCs w:val="20"/>
        </w:rPr>
      </w:pPr>
      <w:r w:rsidRPr="00782120">
        <w:rPr>
          <w:b/>
          <w:sz w:val="20"/>
          <w:szCs w:val="20"/>
        </w:rPr>
        <w:t>Answer:</w:t>
      </w:r>
      <w:r w:rsidR="00B40AE7" w:rsidRPr="00B40AE7">
        <w:rPr>
          <w:color w:val="1F497D"/>
        </w:rPr>
        <w:t xml:space="preserve"> </w:t>
      </w:r>
      <w:r w:rsidR="00B40AE7" w:rsidRPr="00B40AE7">
        <w:rPr>
          <w:sz w:val="20"/>
          <w:szCs w:val="20"/>
        </w:rPr>
        <w:t>Any statistics which we would be able to provide from existing databases would be misleading, since several attorneys (including members of the same law firm and/or co-counsel) may be filing into a single case.</w:t>
      </w:r>
      <w:r w:rsidR="00B40AE7" w:rsidRPr="00B40AE7" w:rsidDel="00B40AE7">
        <w:rPr>
          <w:b/>
          <w:sz w:val="20"/>
          <w:szCs w:val="20"/>
        </w:rPr>
        <w:t xml:space="preserve"> </w:t>
      </w:r>
    </w:p>
    <w:p w:rsidR="00B66E67" w:rsidRPr="00782120" w:rsidRDefault="00B66E67" w:rsidP="00B40AE7">
      <w:pPr>
        <w:pStyle w:val="ListParagraph"/>
        <w:spacing w:after="0" w:line="240" w:lineRule="auto"/>
        <w:ind w:left="360"/>
        <w:rPr>
          <w:rFonts w:eastAsia="Calibri" w:cs="Times New Roman"/>
          <w:sz w:val="20"/>
          <w:szCs w:val="20"/>
        </w:rPr>
      </w:pPr>
    </w:p>
    <w:p w:rsidR="00351780" w:rsidRPr="00782120" w:rsidRDefault="00351780" w:rsidP="00351780">
      <w:pPr>
        <w:pStyle w:val="ListParagraph"/>
        <w:numPr>
          <w:ilvl w:val="0"/>
          <w:numId w:val="6"/>
        </w:numPr>
        <w:spacing w:after="0"/>
        <w:rPr>
          <w:rFonts w:eastAsia="Calibri" w:cs="Times New Roman"/>
          <w:sz w:val="20"/>
          <w:szCs w:val="20"/>
        </w:rPr>
      </w:pPr>
      <w:r w:rsidRPr="00782120">
        <w:rPr>
          <w:rFonts w:eastAsia="Calibri" w:cs="Times New Roman"/>
          <w:sz w:val="20"/>
          <w:szCs w:val="20"/>
        </w:rPr>
        <w:t>We understand that e-filing will be mandatory.  Will the court mandate e-service as well?</w:t>
      </w:r>
    </w:p>
    <w:p w:rsidR="00B66E67" w:rsidRPr="00782120" w:rsidRDefault="00B66E67" w:rsidP="00B66E67">
      <w:pPr>
        <w:pStyle w:val="ListParagraph"/>
        <w:spacing w:after="0"/>
        <w:ind w:left="360"/>
        <w:rPr>
          <w:rFonts w:eastAsia="Calibri" w:cs="Times New Roman"/>
          <w:sz w:val="20"/>
          <w:szCs w:val="20"/>
        </w:rPr>
      </w:pPr>
    </w:p>
    <w:p w:rsidR="00B66E67" w:rsidRPr="003A2A85" w:rsidRDefault="00B66E67" w:rsidP="003A2A85">
      <w:pPr>
        <w:spacing w:after="0" w:line="240" w:lineRule="auto"/>
        <w:ind w:left="360"/>
        <w:rPr>
          <w:b/>
          <w:sz w:val="20"/>
          <w:szCs w:val="20"/>
        </w:rPr>
      </w:pPr>
      <w:r w:rsidRPr="00782120">
        <w:rPr>
          <w:b/>
          <w:sz w:val="20"/>
          <w:szCs w:val="20"/>
        </w:rPr>
        <w:t xml:space="preserve">Answer: </w:t>
      </w:r>
      <w:r w:rsidR="003A2A85" w:rsidRPr="003A2A85">
        <w:rPr>
          <w:bCs/>
          <w:sz w:val="20"/>
          <w:szCs w:val="20"/>
        </w:rPr>
        <w:t>We are currently restricted from doing so under Rule of Court 8.73(a</w:t>
      </w:r>
      <w:proofErr w:type="gramStart"/>
      <w:r w:rsidR="003A2A85" w:rsidRPr="003A2A85">
        <w:rPr>
          <w:bCs/>
          <w:sz w:val="20"/>
          <w:szCs w:val="20"/>
        </w:rPr>
        <w:t>)(</w:t>
      </w:r>
      <w:proofErr w:type="gramEnd"/>
      <w:r w:rsidR="003A2A85" w:rsidRPr="003A2A85">
        <w:rPr>
          <w:bCs/>
          <w:sz w:val="20"/>
          <w:szCs w:val="20"/>
        </w:rPr>
        <w:t>(2)(B)  We will encourage e-service to the extent possible.</w:t>
      </w:r>
    </w:p>
    <w:p w:rsidR="00351780" w:rsidRPr="00782120" w:rsidRDefault="00351780" w:rsidP="00351780">
      <w:pPr>
        <w:pStyle w:val="ListParagraph"/>
        <w:spacing w:after="0"/>
        <w:ind w:left="1440"/>
        <w:rPr>
          <w:rFonts w:eastAsia="Calibri" w:cs="Times New Roman"/>
          <w:sz w:val="20"/>
          <w:szCs w:val="20"/>
        </w:rPr>
      </w:pPr>
    </w:p>
    <w:p w:rsidR="00351780" w:rsidRPr="00782120" w:rsidRDefault="00351780" w:rsidP="00351780">
      <w:pPr>
        <w:pStyle w:val="ListParagraph"/>
        <w:numPr>
          <w:ilvl w:val="0"/>
          <w:numId w:val="6"/>
        </w:numPr>
        <w:spacing w:after="0"/>
        <w:rPr>
          <w:rFonts w:eastAsia="Calibri" w:cs="Times New Roman"/>
          <w:sz w:val="20"/>
          <w:szCs w:val="20"/>
          <w:lang w:eastAsia="ja-JP"/>
        </w:rPr>
      </w:pPr>
      <w:r w:rsidRPr="00782120">
        <w:rPr>
          <w:rFonts w:eastAsia="Calibri" w:cs="Times New Roman"/>
          <w:sz w:val="20"/>
          <w:szCs w:val="20"/>
          <w:lang w:eastAsia="ja-JP"/>
        </w:rPr>
        <w:t>To evaluate the possibility of transferring case information from lower courts, can the Court provide us with a list of the CMS and DMS applications used by those lower courts by jurisdiction?</w:t>
      </w:r>
    </w:p>
    <w:p w:rsidR="00B66E67" w:rsidRPr="00782120" w:rsidRDefault="00B66E67" w:rsidP="00B66E67">
      <w:pPr>
        <w:pStyle w:val="ListParagraph"/>
        <w:spacing w:after="0"/>
        <w:ind w:left="360"/>
        <w:rPr>
          <w:rFonts w:eastAsia="Calibri" w:cs="Times New Roman"/>
          <w:sz w:val="20"/>
          <w:szCs w:val="20"/>
          <w:lang w:eastAsia="ja-JP"/>
        </w:rPr>
      </w:pPr>
    </w:p>
    <w:p w:rsidR="002F539C" w:rsidRDefault="00B66E67">
      <w:pPr>
        <w:pStyle w:val="ListParagraph"/>
        <w:spacing w:after="0"/>
        <w:ind w:left="360"/>
        <w:rPr>
          <w:rFonts w:eastAsia="Calibri" w:cs="Times New Roman"/>
          <w:sz w:val="20"/>
          <w:szCs w:val="20"/>
          <w:lang w:eastAsia="ja-JP"/>
        </w:rPr>
      </w:pPr>
      <w:r w:rsidRPr="00782120">
        <w:rPr>
          <w:rFonts w:eastAsia="Calibri" w:cs="Times New Roman"/>
          <w:b/>
          <w:sz w:val="20"/>
          <w:szCs w:val="20"/>
          <w:lang w:eastAsia="ja-JP"/>
        </w:rPr>
        <w:t>Answer</w:t>
      </w:r>
      <w:r w:rsidRPr="00782120">
        <w:rPr>
          <w:rFonts w:eastAsia="Calibri" w:cs="Times New Roman"/>
          <w:sz w:val="20"/>
          <w:szCs w:val="20"/>
          <w:lang w:eastAsia="ja-JP"/>
        </w:rPr>
        <w:t xml:space="preserve">:  </w:t>
      </w:r>
      <w:r w:rsidR="008D149C">
        <w:rPr>
          <w:rFonts w:eastAsia="Calibri" w:cs="Times New Roman"/>
          <w:sz w:val="20"/>
          <w:szCs w:val="20"/>
          <w:lang w:eastAsia="ja-JP"/>
        </w:rPr>
        <w:t>Not at this time, d</w:t>
      </w:r>
      <w:r w:rsidRPr="00554713">
        <w:rPr>
          <w:rFonts w:eastAsia="Calibri" w:cs="Times New Roman"/>
          <w:sz w:val="20"/>
          <w:szCs w:val="20"/>
          <w:lang w:eastAsia="ja-JP"/>
        </w:rPr>
        <w:t>ata and documents would be shared using a standardized data exchange</w:t>
      </w:r>
      <w:r w:rsidR="008D149C">
        <w:rPr>
          <w:rFonts w:eastAsia="Calibri" w:cs="Times New Roman"/>
          <w:sz w:val="20"/>
          <w:szCs w:val="20"/>
          <w:lang w:eastAsia="ja-JP"/>
        </w:rPr>
        <w:t>.</w:t>
      </w:r>
    </w:p>
    <w:p w:rsidR="002F539C" w:rsidRDefault="002F539C">
      <w:pPr>
        <w:pStyle w:val="ListParagraph"/>
        <w:spacing w:after="0"/>
        <w:ind w:left="360"/>
        <w:rPr>
          <w:rFonts w:eastAsia="Calibri" w:cs="Times New Roman"/>
          <w:sz w:val="20"/>
          <w:szCs w:val="20"/>
          <w:lang w:eastAsia="ja-JP"/>
        </w:rPr>
      </w:pPr>
    </w:p>
    <w:p w:rsidR="00351780" w:rsidRPr="00EC4305" w:rsidRDefault="00351780" w:rsidP="00351780">
      <w:pPr>
        <w:pStyle w:val="ListParagraph"/>
        <w:numPr>
          <w:ilvl w:val="0"/>
          <w:numId w:val="6"/>
        </w:numPr>
        <w:spacing w:after="0"/>
        <w:rPr>
          <w:rFonts w:eastAsia="Calibri" w:cs="Times New Roman"/>
          <w:sz w:val="20"/>
          <w:szCs w:val="20"/>
          <w:lang w:eastAsia="ja-JP"/>
        </w:rPr>
      </w:pPr>
      <w:r w:rsidRPr="00782120">
        <w:rPr>
          <w:sz w:val="20"/>
          <w:szCs w:val="20"/>
        </w:rPr>
        <w:t>We are also having a problem with Attachment 4 of the RFP.  The Phase I Technical Requirements tab does not allow us select a Vendor Response from the drop down menus in that column and we are unable to manually enter a response.  Please let me know if a replacement document will be provided.</w:t>
      </w:r>
    </w:p>
    <w:p w:rsidR="00EC4305" w:rsidRPr="00EC4305" w:rsidRDefault="00EC4305" w:rsidP="00EC4305">
      <w:pPr>
        <w:pStyle w:val="ListParagraph"/>
        <w:spacing w:after="0"/>
        <w:ind w:left="360"/>
        <w:rPr>
          <w:rFonts w:eastAsia="Calibri" w:cs="Times New Roman"/>
          <w:sz w:val="20"/>
          <w:szCs w:val="20"/>
          <w:lang w:eastAsia="ja-JP"/>
        </w:rPr>
      </w:pPr>
    </w:p>
    <w:p w:rsidR="00EC4305" w:rsidRPr="00EC4305" w:rsidRDefault="00EC4305" w:rsidP="00EC4305">
      <w:pPr>
        <w:spacing w:after="0"/>
        <w:ind w:left="360"/>
        <w:rPr>
          <w:rFonts w:eastAsia="Calibri" w:cs="Times New Roman"/>
          <w:sz w:val="20"/>
          <w:szCs w:val="20"/>
          <w:lang w:eastAsia="ja-JP"/>
        </w:rPr>
      </w:pPr>
      <w:r w:rsidRPr="00EC4305">
        <w:rPr>
          <w:rFonts w:eastAsia="Calibri" w:cs="Times New Roman"/>
          <w:b/>
          <w:sz w:val="20"/>
          <w:szCs w:val="20"/>
          <w:lang w:eastAsia="ja-JP"/>
        </w:rPr>
        <w:t>Answer</w:t>
      </w:r>
      <w:r w:rsidRPr="00EC4305">
        <w:rPr>
          <w:rFonts w:eastAsia="Calibri" w:cs="Times New Roman"/>
          <w:sz w:val="20"/>
          <w:szCs w:val="20"/>
          <w:lang w:eastAsia="ja-JP"/>
        </w:rPr>
        <w:t>: See Attachment 4 has been updated with this correction.</w:t>
      </w:r>
    </w:p>
    <w:p w:rsidR="00EC4305" w:rsidRPr="00EC4305" w:rsidRDefault="00EC4305" w:rsidP="00EC4305">
      <w:pPr>
        <w:pStyle w:val="ListParagraph"/>
        <w:spacing w:after="0"/>
        <w:ind w:left="360"/>
        <w:rPr>
          <w:rFonts w:eastAsia="Calibri" w:cs="Times New Roman"/>
          <w:sz w:val="20"/>
          <w:szCs w:val="20"/>
          <w:lang w:eastAsia="ja-JP"/>
        </w:rPr>
      </w:pPr>
    </w:p>
    <w:p w:rsidR="00EC4305" w:rsidRDefault="00EC4305" w:rsidP="00EC4305">
      <w:pPr>
        <w:pStyle w:val="ListParagraph"/>
        <w:numPr>
          <w:ilvl w:val="0"/>
          <w:numId w:val="6"/>
        </w:numPr>
        <w:spacing w:after="0" w:line="240" w:lineRule="auto"/>
        <w:rPr>
          <w:iCs/>
          <w:sz w:val="20"/>
          <w:szCs w:val="20"/>
        </w:rPr>
      </w:pPr>
      <w:r w:rsidRPr="00EC4305">
        <w:rPr>
          <w:iCs/>
          <w:sz w:val="20"/>
          <w:szCs w:val="20"/>
        </w:rPr>
        <w:t>Do the California Appellate Courts intend to make E-Filing mandatory throughout all districts and the Supreme Court?  If so, what is the approximate target date for making e-filing mandatory (i.e., immediately after implementation, several months after)?  If not, what is the anticipated percentage of filing volume that the Courts believe will be e-filed?</w:t>
      </w:r>
    </w:p>
    <w:p w:rsidR="00DF01CC" w:rsidRDefault="00DF01CC" w:rsidP="00DF01CC">
      <w:pPr>
        <w:pStyle w:val="ListParagraph"/>
        <w:spacing w:after="0" w:line="240" w:lineRule="auto"/>
        <w:ind w:left="360"/>
        <w:rPr>
          <w:iCs/>
          <w:sz w:val="20"/>
          <w:szCs w:val="20"/>
        </w:rPr>
      </w:pPr>
    </w:p>
    <w:p w:rsidR="00DF01CC" w:rsidRDefault="00DF01CC" w:rsidP="00DF01CC">
      <w:pPr>
        <w:pStyle w:val="ListParagraph"/>
        <w:spacing w:after="0" w:line="240" w:lineRule="auto"/>
        <w:ind w:left="360"/>
        <w:rPr>
          <w:iCs/>
          <w:sz w:val="20"/>
          <w:szCs w:val="20"/>
        </w:rPr>
      </w:pPr>
      <w:r w:rsidRPr="00DF01CC">
        <w:rPr>
          <w:b/>
          <w:iCs/>
          <w:sz w:val="20"/>
          <w:szCs w:val="20"/>
        </w:rPr>
        <w:t>Answer</w:t>
      </w:r>
      <w:r>
        <w:rPr>
          <w:iCs/>
          <w:sz w:val="20"/>
          <w:szCs w:val="20"/>
        </w:rPr>
        <w:t xml:space="preserve">: </w:t>
      </w:r>
      <w:r w:rsidR="006E5C83">
        <w:rPr>
          <w:iCs/>
          <w:sz w:val="20"/>
          <w:szCs w:val="20"/>
        </w:rPr>
        <w:t>Our goal is to develop and implement a system that will enable branch-wide e-</w:t>
      </w:r>
      <w:proofErr w:type="gramStart"/>
      <w:r w:rsidR="006E5C83">
        <w:rPr>
          <w:iCs/>
          <w:sz w:val="20"/>
          <w:szCs w:val="20"/>
        </w:rPr>
        <w:t>filing  in</w:t>
      </w:r>
      <w:proofErr w:type="gramEnd"/>
      <w:r w:rsidR="006E5C83">
        <w:rPr>
          <w:iCs/>
          <w:sz w:val="20"/>
          <w:szCs w:val="20"/>
        </w:rPr>
        <w:t xml:space="preserve"> all appellate districts and in the Supreme Court.  Each District, and the Supreme Court, must decide if e-filing will be mandated in that court.  We expect most, if not all, will chose to do so. S</w:t>
      </w:r>
      <w:r w:rsidR="006E5C83" w:rsidRPr="003A2A85">
        <w:rPr>
          <w:iCs/>
          <w:sz w:val="20"/>
          <w:szCs w:val="20"/>
        </w:rPr>
        <w:t xml:space="preserve">ee </w:t>
      </w:r>
      <w:r w:rsidR="006E5C83">
        <w:rPr>
          <w:iCs/>
          <w:sz w:val="20"/>
          <w:szCs w:val="20"/>
        </w:rPr>
        <w:t xml:space="preserve">also </w:t>
      </w:r>
      <w:r w:rsidR="006E5C83" w:rsidRPr="003A2A85">
        <w:rPr>
          <w:iCs/>
          <w:sz w:val="20"/>
          <w:szCs w:val="20"/>
        </w:rPr>
        <w:t>#39.</w:t>
      </w:r>
      <w:r w:rsidR="006E5C83">
        <w:rPr>
          <w:iCs/>
          <w:sz w:val="20"/>
          <w:szCs w:val="20"/>
        </w:rPr>
        <w:t xml:space="preserve">   </w:t>
      </w:r>
    </w:p>
    <w:p w:rsidR="00EC4305" w:rsidRDefault="00EC4305" w:rsidP="00EC4305">
      <w:pPr>
        <w:pStyle w:val="ListParagraph"/>
        <w:spacing w:after="0" w:line="240" w:lineRule="auto"/>
        <w:ind w:left="360"/>
        <w:rPr>
          <w:iCs/>
          <w:sz w:val="20"/>
          <w:szCs w:val="20"/>
        </w:rPr>
      </w:pPr>
    </w:p>
    <w:p w:rsidR="00EC4305" w:rsidRDefault="00EC4305" w:rsidP="00EC4305">
      <w:pPr>
        <w:pStyle w:val="ListParagraph"/>
        <w:numPr>
          <w:ilvl w:val="0"/>
          <w:numId w:val="6"/>
        </w:numPr>
        <w:spacing w:after="0" w:line="240" w:lineRule="auto"/>
        <w:rPr>
          <w:iCs/>
          <w:sz w:val="20"/>
          <w:szCs w:val="20"/>
        </w:rPr>
      </w:pPr>
      <w:r w:rsidRPr="00EC4305">
        <w:rPr>
          <w:iCs/>
          <w:sz w:val="20"/>
          <w:szCs w:val="20"/>
        </w:rPr>
        <w:t>Is the Court seeking a Commercial-Off-The-Shelf (COTS) E-Filing solution?</w:t>
      </w:r>
    </w:p>
    <w:p w:rsidR="00EC4305" w:rsidRPr="00EC4305" w:rsidRDefault="00EC4305" w:rsidP="00EC4305">
      <w:pPr>
        <w:pStyle w:val="ListParagraph"/>
        <w:rPr>
          <w:iCs/>
          <w:sz w:val="20"/>
          <w:szCs w:val="20"/>
        </w:rPr>
      </w:pPr>
    </w:p>
    <w:p w:rsidR="00EC4305" w:rsidRPr="00EC4305" w:rsidRDefault="00EC4305" w:rsidP="00EC4305">
      <w:pPr>
        <w:pStyle w:val="ListParagraph"/>
        <w:spacing w:after="0" w:line="240" w:lineRule="auto"/>
        <w:ind w:left="360"/>
        <w:rPr>
          <w:iCs/>
          <w:sz w:val="20"/>
          <w:szCs w:val="20"/>
        </w:rPr>
      </w:pPr>
      <w:r>
        <w:rPr>
          <w:b/>
          <w:iCs/>
          <w:sz w:val="20"/>
          <w:szCs w:val="20"/>
        </w:rPr>
        <w:t xml:space="preserve">Answer: </w:t>
      </w:r>
      <w:r>
        <w:rPr>
          <w:iCs/>
          <w:sz w:val="20"/>
          <w:szCs w:val="20"/>
        </w:rPr>
        <w:t>The Court is seeking a solution that meets its requirements.</w:t>
      </w:r>
      <w:r w:rsidR="008D149C">
        <w:rPr>
          <w:iCs/>
          <w:sz w:val="20"/>
          <w:szCs w:val="20"/>
        </w:rPr>
        <w:t xml:space="preserve">  </w:t>
      </w:r>
      <w:r>
        <w:rPr>
          <w:iCs/>
          <w:sz w:val="20"/>
          <w:szCs w:val="20"/>
        </w:rPr>
        <w:t>A COTS solution that meets the requirements will be evaluated.</w:t>
      </w:r>
    </w:p>
    <w:p w:rsidR="00EC4305" w:rsidRPr="00EC4305" w:rsidRDefault="00EC4305" w:rsidP="00EC4305">
      <w:pPr>
        <w:pStyle w:val="ListParagraph"/>
        <w:rPr>
          <w:iCs/>
          <w:sz w:val="20"/>
          <w:szCs w:val="20"/>
        </w:rPr>
      </w:pPr>
    </w:p>
    <w:p w:rsidR="00EC4305" w:rsidRDefault="00EC4305" w:rsidP="00EC4305">
      <w:pPr>
        <w:pStyle w:val="ListParagraph"/>
        <w:numPr>
          <w:ilvl w:val="0"/>
          <w:numId w:val="6"/>
        </w:numPr>
        <w:spacing w:after="0" w:line="240" w:lineRule="auto"/>
        <w:rPr>
          <w:iCs/>
          <w:sz w:val="20"/>
          <w:szCs w:val="20"/>
        </w:rPr>
      </w:pPr>
      <w:r w:rsidRPr="00EC4305">
        <w:rPr>
          <w:iCs/>
          <w:sz w:val="20"/>
          <w:szCs w:val="20"/>
        </w:rPr>
        <w:t>Was the pre-bid conference held on Feb 26 recorded?  If so, can the recording be shared?</w:t>
      </w:r>
    </w:p>
    <w:p w:rsidR="00611E8C" w:rsidRDefault="00611E8C" w:rsidP="00611E8C">
      <w:pPr>
        <w:spacing w:after="0" w:line="240" w:lineRule="auto"/>
        <w:rPr>
          <w:b/>
          <w:iCs/>
          <w:sz w:val="20"/>
          <w:szCs w:val="20"/>
        </w:rPr>
      </w:pPr>
    </w:p>
    <w:p w:rsidR="00611E8C" w:rsidRPr="00611E8C" w:rsidRDefault="00611E8C" w:rsidP="00611E8C">
      <w:pPr>
        <w:spacing w:after="0" w:line="240" w:lineRule="auto"/>
        <w:ind w:left="360"/>
        <w:rPr>
          <w:iCs/>
          <w:sz w:val="20"/>
          <w:szCs w:val="20"/>
        </w:rPr>
      </w:pPr>
      <w:r w:rsidRPr="00611E8C">
        <w:rPr>
          <w:b/>
          <w:iCs/>
          <w:sz w:val="20"/>
          <w:szCs w:val="20"/>
        </w:rPr>
        <w:t>Answer</w:t>
      </w:r>
      <w:r w:rsidRPr="00611E8C">
        <w:rPr>
          <w:iCs/>
          <w:sz w:val="20"/>
          <w:szCs w:val="20"/>
        </w:rPr>
        <w:t>: The conference was recorded for purposes of documenting the questions. All questions are answered in this document. The recording is not intended to be publically shared.</w:t>
      </w:r>
    </w:p>
    <w:p w:rsidR="00611E8C" w:rsidRPr="00611E8C" w:rsidRDefault="00611E8C" w:rsidP="00611E8C">
      <w:pPr>
        <w:pStyle w:val="ListParagraph"/>
        <w:spacing w:after="0" w:line="240" w:lineRule="auto"/>
        <w:ind w:left="360"/>
        <w:rPr>
          <w:iCs/>
          <w:sz w:val="20"/>
          <w:szCs w:val="20"/>
        </w:rPr>
      </w:pPr>
    </w:p>
    <w:p w:rsidR="00611E8C" w:rsidRPr="00611E8C" w:rsidRDefault="00611E8C" w:rsidP="00611E8C">
      <w:pPr>
        <w:pStyle w:val="ListParagraph"/>
        <w:numPr>
          <w:ilvl w:val="0"/>
          <w:numId w:val="6"/>
        </w:numPr>
        <w:spacing w:after="0" w:line="240" w:lineRule="auto"/>
        <w:rPr>
          <w:iCs/>
          <w:sz w:val="20"/>
          <w:szCs w:val="20"/>
        </w:rPr>
      </w:pPr>
      <w:r w:rsidRPr="00611E8C">
        <w:rPr>
          <w:rFonts w:cs="Arial"/>
          <w:sz w:val="20"/>
          <w:szCs w:val="20"/>
        </w:rPr>
        <w:t xml:space="preserve">Regarding </w:t>
      </w:r>
      <w:r w:rsidRPr="00611E8C">
        <w:rPr>
          <w:rFonts w:cs="Arial"/>
          <w:color w:val="222222"/>
          <w:sz w:val="20"/>
          <w:szCs w:val="20"/>
        </w:rPr>
        <w:t>e-Filing, RFP# ITSO-2013-01-DCA, will amendments and Q&amp;A documents be posted online, or will they only be sent via email</w:t>
      </w:r>
    </w:p>
    <w:p w:rsidR="00611E8C" w:rsidRPr="00611E8C" w:rsidRDefault="00611E8C" w:rsidP="00611E8C">
      <w:pPr>
        <w:pStyle w:val="ListParagraph"/>
        <w:spacing w:after="0" w:line="240" w:lineRule="auto"/>
        <w:ind w:left="360"/>
        <w:rPr>
          <w:iCs/>
          <w:sz w:val="20"/>
          <w:szCs w:val="20"/>
        </w:rPr>
      </w:pPr>
    </w:p>
    <w:p w:rsidR="00611E8C" w:rsidRPr="00611E8C" w:rsidRDefault="00611E8C" w:rsidP="00611E8C">
      <w:pPr>
        <w:spacing w:after="0" w:line="240" w:lineRule="auto"/>
        <w:ind w:left="360"/>
        <w:rPr>
          <w:iCs/>
          <w:sz w:val="20"/>
          <w:szCs w:val="20"/>
        </w:rPr>
      </w:pPr>
      <w:r w:rsidRPr="00611E8C">
        <w:rPr>
          <w:b/>
          <w:iCs/>
          <w:sz w:val="20"/>
          <w:szCs w:val="20"/>
        </w:rPr>
        <w:t>Answer</w:t>
      </w:r>
      <w:r w:rsidRPr="00611E8C">
        <w:rPr>
          <w:iCs/>
          <w:sz w:val="20"/>
          <w:szCs w:val="20"/>
        </w:rPr>
        <w:t xml:space="preserve">: </w:t>
      </w:r>
      <w:r w:rsidR="00056AE0">
        <w:rPr>
          <w:iCs/>
          <w:sz w:val="20"/>
          <w:szCs w:val="20"/>
        </w:rPr>
        <w:t>This document</w:t>
      </w:r>
      <w:r>
        <w:rPr>
          <w:iCs/>
          <w:sz w:val="20"/>
          <w:szCs w:val="20"/>
        </w:rPr>
        <w:t xml:space="preserve"> will be publically posted online.</w:t>
      </w:r>
    </w:p>
    <w:p w:rsidR="00611E8C" w:rsidRPr="00611E8C" w:rsidRDefault="00611E8C" w:rsidP="00611E8C">
      <w:pPr>
        <w:pStyle w:val="ListParagraph"/>
        <w:spacing w:after="0" w:line="240" w:lineRule="auto"/>
        <w:ind w:left="360"/>
        <w:rPr>
          <w:iCs/>
          <w:sz w:val="20"/>
          <w:szCs w:val="20"/>
        </w:rPr>
      </w:pPr>
    </w:p>
    <w:p w:rsidR="00611E8C" w:rsidRDefault="00611E8C" w:rsidP="00611E8C">
      <w:pPr>
        <w:pStyle w:val="ListParagraph"/>
        <w:spacing w:after="0" w:line="240" w:lineRule="auto"/>
        <w:ind w:left="360"/>
        <w:rPr>
          <w:iCs/>
          <w:sz w:val="20"/>
          <w:szCs w:val="20"/>
        </w:rPr>
      </w:pPr>
    </w:p>
    <w:p w:rsidR="00EC4305" w:rsidRPr="00EC4305" w:rsidRDefault="00EC4305" w:rsidP="00EC4305">
      <w:pPr>
        <w:pStyle w:val="ListParagraph"/>
        <w:rPr>
          <w:iCs/>
          <w:sz w:val="20"/>
          <w:szCs w:val="20"/>
        </w:rPr>
      </w:pPr>
    </w:p>
    <w:p w:rsidR="00611E8C" w:rsidRDefault="00611E8C" w:rsidP="00EC4305">
      <w:pPr>
        <w:pStyle w:val="ListParagraph"/>
        <w:spacing w:after="0" w:line="240" w:lineRule="auto"/>
        <w:ind w:left="360"/>
        <w:rPr>
          <w:iCs/>
          <w:sz w:val="20"/>
          <w:szCs w:val="20"/>
        </w:rPr>
      </w:pPr>
    </w:p>
    <w:p w:rsidR="00C23239" w:rsidRPr="00782120" w:rsidRDefault="00C23239" w:rsidP="00C059FC">
      <w:pPr>
        <w:pStyle w:val="ListParagraph"/>
        <w:jc w:val="center"/>
        <w:rPr>
          <w:rFonts w:cstheme="minorHAnsi"/>
          <w:b/>
          <w:sz w:val="20"/>
          <w:szCs w:val="20"/>
        </w:rPr>
      </w:pPr>
    </w:p>
    <w:p w:rsidR="00C059FC" w:rsidRPr="00792348" w:rsidRDefault="00C059FC" w:rsidP="00C059FC">
      <w:pPr>
        <w:pStyle w:val="ListParagraph"/>
        <w:jc w:val="center"/>
        <w:rPr>
          <w:rFonts w:cstheme="minorHAnsi"/>
          <w:b/>
          <w:sz w:val="28"/>
          <w:szCs w:val="28"/>
          <w:u w:val="single"/>
        </w:rPr>
      </w:pPr>
      <w:r w:rsidRPr="00782120">
        <w:rPr>
          <w:rFonts w:cstheme="minorHAnsi"/>
          <w:b/>
          <w:sz w:val="20"/>
          <w:szCs w:val="20"/>
        </w:rPr>
        <w:tab/>
      </w:r>
      <w:r w:rsidRPr="00792348">
        <w:rPr>
          <w:rFonts w:cstheme="minorHAnsi"/>
          <w:b/>
          <w:sz w:val="28"/>
          <w:szCs w:val="28"/>
          <w:u w:val="single"/>
        </w:rPr>
        <w:t>Question and Answers from Vendor Q&amp;A Teleconference</w:t>
      </w:r>
      <w:r w:rsidR="004B2CA1" w:rsidRPr="00792348">
        <w:rPr>
          <w:rFonts w:cstheme="minorHAnsi"/>
          <w:b/>
          <w:sz w:val="28"/>
          <w:szCs w:val="28"/>
          <w:u w:val="single"/>
        </w:rPr>
        <w:t xml:space="preserve"> </w:t>
      </w:r>
      <w:r w:rsidR="00612E9B" w:rsidRPr="00792348">
        <w:rPr>
          <w:rFonts w:cstheme="minorHAnsi"/>
          <w:b/>
          <w:sz w:val="28"/>
          <w:szCs w:val="28"/>
          <w:u w:val="single"/>
        </w:rPr>
        <w:t>h</w:t>
      </w:r>
      <w:r w:rsidRPr="00792348">
        <w:rPr>
          <w:rFonts w:cstheme="minorHAnsi"/>
          <w:b/>
          <w:sz w:val="28"/>
          <w:szCs w:val="28"/>
          <w:u w:val="single"/>
        </w:rPr>
        <w:t xml:space="preserve">eld on </w:t>
      </w:r>
      <w:r w:rsidR="00985832" w:rsidRPr="00792348">
        <w:rPr>
          <w:rFonts w:cstheme="minorHAnsi"/>
          <w:b/>
          <w:sz w:val="28"/>
          <w:szCs w:val="28"/>
          <w:u w:val="single"/>
        </w:rPr>
        <w:t>February 26</w:t>
      </w:r>
      <w:r w:rsidRPr="00792348">
        <w:rPr>
          <w:rFonts w:cstheme="minorHAnsi"/>
          <w:b/>
          <w:sz w:val="28"/>
          <w:szCs w:val="28"/>
          <w:u w:val="single"/>
        </w:rPr>
        <w:t>, 2012 from 2PM-5PM PDT</w:t>
      </w:r>
    </w:p>
    <w:p w:rsidR="00782120" w:rsidRDefault="00782120" w:rsidP="00C059FC">
      <w:pPr>
        <w:pStyle w:val="ListParagraph"/>
        <w:jc w:val="center"/>
        <w:rPr>
          <w:rFonts w:cstheme="minorHAnsi"/>
          <w:b/>
          <w:sz w:val="20"/>
          <w:szCs w:val="20"/>
          <w:u w:val="single"/>
        </w:rPr>
      </w:pPr>
    </w:p>
    <w:p w:rsidR="00782120" w:rsidRPr="00782120" w:rsidRDefault="00782120" w:rsidP="00C059FC">
      <w:pPr>
        <w:pStyle w:val="ListParagraph"/>
        <w:jc w:val="center"/>
        <w:rPr>
          <w:rFonts w:cstheme="minorHAnsi"/>
          <w:b/>
          <w:sz w:val="20"/>
          <w:szCs w:val="20"/>
          <w:u w:val="single"/>
        </w:rPr>
      </w:pPr>
    </w:p>
    <w:p w:rsidR="003405C6" w:rsidRPr="00782120" w:rsidRDefault="003405C6" w:rsidP="00C059FC">
      <w:pPr>
        <w:pStyle w:val="ListParagraph"/>
        <w:jc w:val="center"/>
        <w:rPr>
          <w:rFonts w:cstheme="minorHAnsi"/>
          <w:b/>
          <w:sz w:val="20"/>
          <w:szCs w:val="20"/>
          <w:u w:val="single"/>
        </w:rPr>
      </w:pPr>
    </w:p>
    <w:p w:rsidR="003405C6" w:rsidRPr="00782120" w:rsidRDefault="003405C6" w:rsidP="00D70831">
      <w:pPr>
        <w:pStyle w:val="ListParagraph"/>
        <w:numPr>
          <w:ilvl w:val="0"/>
          <w:numId w:val="6"/>
        </w:numPr>
        <w:jc w:val="both"/>
        <w:rPr>
          <w:sz w:val="20"/>
          <w:szCs w:val="20"/>
        </w:rPr>
      </w:pPr>
      <w:r w:rsidRPr="00782120">
        <w:rPr>
          <w:sz w:val="20"/>
          <w:szCs w:val="20"/>
        </w:rPr>
        <w:t xml:space="preserve">Will e-filing and e-service be mandatory?  </w:t>
      </w:r>
    </w:p>
    <w:p w:rsidR="003405C6" w:rsidRDefault="003405C6" w:rsidP="00CF478B">
      <w:pPr>
        <w:ind w:left="360"/>
        <w:rPr>
          <w:sz w:val="20"/>
          <w:szCs w:val="20"/>
        </w:rPr>
      </w:pPr>
      <w:r w:rsidRPr="003767DE">
        <w:rPr>
          <w:b/>
          <w:sz w:val="20"/>
          <w:szCs w:val="20"/>
        </w:rPr>
        <w:t>Answer:</w:t>
      </w:r>
      <w:r w:rsidRPr="003767DE">
        <w:rPr>
          <w:sz w:val="20"/>
          <w:szCs w:val="20"/>
        </w:rPr>
        <w:t xml:space="preserve"> For the pilot project </w:t>
      </w:r>
      <w:r w:rsidR="008D149C">
        <w:rPr>
          <w:sz w:val="20"/>
          <w:szCs w:val="20"/>
        </w:rPr>
        <w:t>with</w:t>
      </w:r>
      <w:r w:rsidR="008D149C" w:rsidRPr="003767DE">
        <w:rPr>
          <w:sz w:val="20"/>
          <w:szCs w:val="20"/>
        </w:rPr>
        <w:t xml:space="preserve"> </w:t>
      </w:r>
      <w:r w:rsidRPr="003767DE">
        <w:rPr>
          <w:sz w:val="20"/>
          <w:szCs w:val="20"/>
        </w:rPr>
        <w:t>the First District our intention is to mandate e-filing with the exception of the pro-se</w:t>
      </w:r>
      <w:r w:rsidR="00736D9C" w:rsidRPr="003767DE">
        <w:rPr>
          <w:sz w:val="20"/>
          <w:szCs w:val="20"/>
        </w:rPr>
        <w:t xml:space="preserve"> and fee exempt filers</w:t>
      </w:r>
      <w:r w:rsidRPr="003767DE">
        <w:rPr>
          <w:sz w:val="20"/>
          <w:szCs w:val="20"/>
        </w:rPr>
        <w:t xml:space="preserve">. </w:t>
      </w:r>
      <w:r w:rsidR="003767DE" w:rsidRPr="003767DE">
        <w:rPr>
          <w:sz w:val="20"/>
          <w:szCs w:val="20"/>
        </w:rPr>
        <w:t xml:space="preserve"> </w:t>
      </w:r>
      <w:proofErr w:type="gramStart"/>
      <w:r w:rsidR="003767DE" w:rsidRPr="003767DE">
        <w:rPr>
          <w:sz w:val="20"/>
          <w:szCs w:val="20"/>
        </w:rPr>
        <w:t xml:space="preserve">Regarding e-service, </w:t>
      </w:r>
      <w:r w:rsidR="0011744E" w:rsidRPr="003767DE">
        <w:rPr>
          <w:sz w:val="20"/>
          <w:szCs w:val="20"/>
        </w:rPr>
        <w:t xml:space="preserve">see </w:t>
      </w:r>
      <w:r w:rsidR="0011744E">
        <w:rPr>
          <w:sz w:val="20"/>
          <w:szCs w:val="20"/>
        </w:rPr>
        <w:t>#</w:t>
      </w:r>
      <w:r w:rsidR="003767DE" w:rsidRPr="003767DE">
        <w:rPr>
          <w:sz w:val="20"/>
          <w:szCs w:val="20"/>
        </w:rPr>
        <w:t>31.</w:t>
      </w:r>
      <w:proofErr w:type="gramEnd"/>
    </w:p>
    <w:p w:rsidR="003405C6" w:rsidRPr="00782120" w:rsidRDefault="003405C6" w:rsidP="00D70831">
      <w:pPr>
        <w:pStyle w:val="ListParagraph"/>
        <w:numPr>
          <w:ilvl w:val="0"/>
          <w:numId w:val="6"/>
        </w:numPr>
        <w:rPr>
          <w:sz w:val="20"/>
          <w:szCs w:val="20"/>
        </w:rPr>
      </w:pPr>
      <w:r w:rsidRPr="00782120">
        <w:rPr>
          <w:sz w:val="20"/>
          <w:szCs w:val="20"/>
        </w:rPr>
        <w:t xml:space="preserve"> Are the current California Rules and procedures going to be used or modified in any way?</w:t>
      </w:r>
    </w:p>
    <w:p w:rsidR="003405C6" w:rsidRDefault="003405C6" w:rsidP="00CF478B">
      <w:pPr>
        <w:ind w:left="360"/>
        <w:rPr>
          <w:sz w:val="20"/>
          <w:szCs w:val="20"/>
        </w:rPr>
      </w:pPr>
      <w:r w:rsidRPr="00782120">
        <w:rPr>
          <w:b/>
          <w:sz w:val="20"/>
          <w:szCs w:val="20"/>
        </w:rPr>
        <w:t>Answer:</w:t>
      </w:r>
      <w:r w:rsidRPr="00782120">
        <w:rPr>
          <w:sz w:val="20"/>
          <w:szCs w:val="20"/>
        </w:rPr>
        <w:t xml:space="preserve"> </w:t>
      </w:r>
      <w:r w:rsidR="0011744E">
        <w:rPr>
          <w:sz w:val="20"/>
          <w:szCs w:val="20"/>
        </w:rPr>
        <w:t xml:space="preserve">See #51. </w:t>
      </w:r>
    </w:p>
    <w:p w:rsidR="003405C6" w:rsidRPr="00782120" w:rsidRDefault="003405C6" w:rsidP="00D70831">
      <w:pPr>
        <w:pStyle w:val="ListParagraph"/>
        <w:numPr>
          <w:ilvl w:val="0"/>
          <w:numId w:val="6"/>
        </w:numPr>
        <w:rPr>
          <w:sz w:val="20"/>
          <w:szCs w:val="20"/>
        </w:rPr>
      </w:pPr>
      <w:r w:rsidRPr="00782120">
        <w:rPr>
          <w:sz w:val="20"/>
          <w:szCs w:val="20"/>
        </w:rPr>
        <w:t>Is there an expectation that the vendor that you choose is going be able to electronically transfer these cases from the lower court in every instance?</w:t>
      </w:r>
    </w:p>
    <w:p w:rsidR="0011744E" w:rsidRDefault="003405C6" w:rsidP="00832000">
      <w:pPr>
        <w:ind w:left="360"/>
        <w:rPr>
          <w:sz w:val="20"/>
          <w:szCs w:val="20"/>
        </w:rPr>
      </w:pPr>
      <w:r w:rsidRPr="00782120">
        <w:rPr>
          <w:b/>
          <w:sz w:val="20"/>
          <w:szCs w:val="20"/>
        </w:rPr>
        <w:t>Answer:</w:t>
      </w:r>
      <w:r w:rsidRPr="00782120">
        <w:rPr>
          <w:sz w:val="20"/>
          <w:szCs w:val="20"/>
        </w:rPr>
        <w:t xml:space="preserve"> </w:t>
      </w:r>
      <w:r w:rsidRPr="0011744E">
        <w:rPr>
          <w:sz w:val="20"/>
          <w:szCs w:val="20"/>
        </w:rPr>
        <w:t xml:space="preserve">The court to court transfers are </w:t>
      </w:r>
      <w:r w:rsidR="001A3F4A" w:rsidRPr="0011744E">
        <w:rPr>
          <w:sz w:val="20"/>
          <w:szCs w:val="20"/>
        </w:rPr>
        <w:t>an optional requirement in Phase 1 and a preferred requirement in Phase 2. These are not mandatory requirements.</w:t>
      </w:r>
    </w:p>
    <w:p w:rsidR="003405C6" w:rsidRPr="00782120" w:rsidRDefault="003405C6" w:rsidP="00832000">
      <w:pPr>
        <w:pStyle w:val="ListParagraph"/>
        <w:numPr>
          <w:ilvl w:val="0"/>
          <w:numId w:val="6"/>
        </w:numPr>
        <w:rPr>
          <w:sz w:val="20"/>
          <w:szCs w:val="20"/>
        </w:rPr>
      </w:pPr>
      <w:r w:rsidRPr="00782120">
        <w:rPr>
          <w:sz w:val="20"/>
          <w:szCs w:val="20"/>
        </w:rPr>
        <w:t xml:space="preserve"> If a vendor would be able to do that</w:t>
      </w:r>
      <w:r w:rsidR="00D72239">
        <w:rPr>
          <w:sz w:val="20"/>
          <w:szCs w:val="20"/>
        </w:rPr>
        <w:t xml:space="preserve"> [see #40</w:t>
      </w:r>
      <w:r w:rsidR="008D149C">
        <w:rPr>
          <w:sz w:val="20"/>
          <w:szCs w:val="20"/>
        </w:rPr>
        <w:t>]</w:t>
      </w:r>
      <w:r w:rsidR="00832000" w:rsidRPr="00782120">
        <w:rPr>
          <w:sz w:val="20"/>
          <w:szCs w:val="20"/>
        </w:rPr>
        <w:t>,</w:t>
      </w:r>
      <w:r w:rsidRPr="00782120">
        <w:rPr>
          <w:sz w:val="20"/>
          <w:szCs w:val="20"/>
        </w:rPr>
        <w:t xml:space="preserve"> </w:t>
      </w:r>
      <w:r w:rsidR="00832000" w:rsidRPr="00782120">
        <w:rPr>
          <w:sz w:val="20"/>
          <w:szCs w:val="20"/>
        </w:rPr>
        <w:t>do you think the court would [use this functionality]</w:t>
      </w:r>
      <w:r w:rsidRPr="00782120">
        <w:rPr>
          <w:sz w:val="20"/>
          <w:szCs w:val="20"/>
        </w:rPr>
        <w:t xml:space="preserve">? </w:t>
      </w:r>
    </w:p>
    <w:p w:rsidR="003405C6" w:rsidRPr="00782120" w:rsidRDefault="003405C6" w:rsidP="00832000">
      <w:pPr>
        <w:ind w:left="360"/>
        <w:rPr>
          <w:sz w:val="20"/>
          <w:szCs w:val="20"/>
        </w:rPr>
      </w:pPr>
      <w:r w:rsidRPr="00782120">
        <w:rPr>
          <w:b/>
          <w:sz w:val="20"/>
          <w:szCs w:val="20"/>
        </w:rPr>
        <w:t>Answer:</w:t>
      </w:r>
      <w:r w:rsidRPr="00782120">
        <w:rPr>
          <w:sz w:val="20"/>
          <w:szCs w:val="20"/>
        </w:rPr>
        <w:t xml:space="preserve"> If a vendor could facilitate those transfers certainly would be extremely helpful</w:t>
      </w:r>
      <w:r w:rsidR="008D149C">
        <w:rPr>
          <w:sz w:val="20"/>
          <w:szCs w:val="20"/>
        </w:rPr>
        <w:t xml:space="preserve"> and beneficial</w:t>
      </w:r>
      <w:r w:rsidRPr="00782120">
        <w:rPr>
          <w:sz w:val="20"/>
          <w:szCs w:val="20"/>
        </w:rPr>
        <w:t xml:space="preserve">.  </w:t>
      </w:r>
    </w:p>
    <w:p w:rsidR="003405C6" w:rsidRPr="00782120" w:rsidRDefault="003405C6" w:rsidP="00832000">
      <w:pPr>
        <w:pStyle w:val="ListParagraph"/>
        <w:numPr>
          <w:ilvl w:val="0"/>
          <w:numId w:val="6"/>
        </w:numPr>
        <w:rPr>
          <w:sz w:val="20"/>
          <w:szCs w:val="20"/>
        </w:rPr>
      </w:pPr>
      <w:r w:rsidRPr="00782120">
        <w:rPr>
          <w:sz w:val="20"/>
          <w:szCs w:val="20"/>
        </w:rPr>
        <w:t>Outside of the pilot phase, do you know which districts are going to participate after the pilot program?  Are we just looking at the First District and the Supreme Court?</w:t>
      </w:r>
    </w:p>
    <w:p w:rsidR="003405C6" w:rsidRPr="00782120" w:rsidRDefault="003405C6" w:rsidP="00832000">
      <w:pPr>
        <w:ind w:left="360"/>
        <w:rPr>
          <w:sz w:val="20"/>
          <w:szCs w:val="20"/>
        </w:rPr>
      </w:pPr>
      <w:r w:rsidRPr="00782120">
        <w:rPr>
          <w:b/>
          <w:sz w:val="20"/>
          <w:szCs w:val="20"/>
        </w:rPr>
        <w:t>Answer:</w:t>
      </w:r>
      <w:r w:rsidRPr="00782120">
        <w:rPr>
          <w:sz w:val="20"/>
          <w:szCs w:val="20"/>
        </w:rPr>
        <w:t xml:space="preserve"> If we have a successful implementation, the concept is to have the system implemented in all of the </w:t>
      </w:r>
      <w:r w:rsidR="008D149C">
        <w:rPr>
          <w:sz w:val="20"/>
          <w:szCs w:val="20"/>
        </w:rPr>
        <w:t>Appellate D</w:t>
      </w:r>
      <w:r w:rsidRPr="00782120">
        <w:rPr>
          <w:sz w:val="20"/>
          <w:szCs w:val="20"/>
        </w:rPr>
        <w:t xml:space="preserve">istricts and in the Supreme Court. </w:t>
      </w:r>
      <w:r w:rsidR="005F22D2" w:rsidRPr="00782120">
        <w:rPr>
          <w:sz w:val="20"/>
          <w:szCs w:val="20"/>
        </w:rPr>
        <w:t>We don’t believe that other</w:t>
      </w:r>
      <w:r w:rsidRPr="00782120">
        <w:rPr>
          <w:sz w:val="20"/>
          <w:szCs w:val="20"/>
        </w:rPr>
        <w:t xml:space="preserve"> district</w:t>
      </w:r>
      <w:r w:rsidR="005F22D2" w:rsidRPr="00782120">
        <w:rPr>
          <w:sz w:val="20"/>
          <w:szCs w:val="20"/>
        </w:rPr>
        <w:t>s</w:t>
      </w:r>
      <w:r w:rsidRPr="00782120">
        <w:rPr>
          <w:sz w:val="20"/>
          <w:szCs w:val="20"/>
        </w:rPr>
        <w:t xml:space="preserve"> </w:t>
      </w:r>
      <w:r w:rsidR="005F22D2" w:rsidRPr="00782120">
        <w:rPr>
          <w:sz w:val="20"/>
          <w:szCs w:val="20"/>
        </w:rPr>
        <w:t>are</w:t>
      </w:r>
      <w:r w:rsidRPr="00782120">
        <w:rPr>
          <w:sz w:val="20"/>
          <w:szCs w:val="20"/>
        </w:rPr>
        <w:t xml:space="preserve"> anticipating initiating a separate portal. </w:t>
      </w:r>
      <w:r w:rsidR="004B2F21" w:rsidRPr="00782120">
        <w:rPr>
          <w:sz w:val="20"/>
          <w:szCs w:val="20"/>
        </w:rPr>
        <w:t>The Appellate Courts and the Supreme Court all</w:t>
      </w:r>
      <w:r w:rsidRPr="00782120">
        <w:rPr>
          <w:sz w:val="20"/>
          <w:szCs w:val="20"/>
        </w:rPr>
        <w:t xml:space="preserve"> work </w:t>
      </w:r>
      <w:proofErr w:type="gramStart"/>
      <w:r w:rsidR="006E38B6">
        <w:rPr>
          <w:sz w:val="20"/>
          <w:szCs w:val="20"/>
        </w:rPr>
        <w:t>from  the</w:t>
      </w:r>
      <w:proofErr w:type="gramEnd"/>
      <w:r w:rsidR="006E38B6">
        <w:rPr>
          <w:sz w:val="20"/>
          <w:szCs w:val="20"/>
        </w:rPr>
        <w:t xml:space="preserve"> same system, ACCMS</w:t>
      </w:r>
      <w:r w:rsidRPr="00782120">
        <w:rPr>
          <w:sz w:val="20"/>
          <w:szCs w:val="20"/>
        </w:rPr>
        <w:t xml:space="preserve">. The intention is to find a solution that is portable to all the </w:t>
      </w:r>
      <w:r w:rsidR="006E38B6">
        <w:rPr>
          <w:sz w:val="20"/>
          <w:szCs w:val="20"/>
        </w:rPr>
        <w:t>A</w:t>
      </w:r>
      <w:r w:rsidRPr="00782120">
        <w:rPr>
          <w:sz w:val="20"/>
          <w:szCs w:val="20"/>
        </w:rPr>
        <w:t xml:space="preserve">ppellate </w:t>
      </w:r>
      <w:r w:rsidR="006E38B6">
        <w:rPr>
          <w:sz w:val="20"/>
          <w:szCs w:val="20"/>
        </w:rPr>
        <w:t>C</w:t>
      </w:r>
      <w:r w:rsidRPr="00782120">
        <w:rPr>
          <w:sz w:val="20"/>
          <w:szCs w:val="20"/>
        </w:rPr>
        <w:t xml:space="preserve">ourts. </w:t>
      </w:r>
    </w:p>
    <w:p w:rsidR="003405C6" w:rsidRPr="00782120" w:rsidRDefault="003405C6" w:rsidP="00832000">
      <w:pPr>
        <w:pStyle w:val="ListParagraph"/>
        <w:numPr>
          <w:ilvl w:val="0"/>
          <w:numId w:val="6"/>
        </w:numPr>
        <w:rPr>
          <w:sz w:val="20"/>
          <w:szCs w:val="20"/>
        </w:rPr>
      </w:pPr>
      <w:r w:rsidRPr="00782120">
        <w:rPr>
          <w:sz w:val="20"/>
          <w:szCs w:val="20"/>
        </w:rPr>
        <w:t xml:space="preserve">Do you plan on making this a multi-vendor project anytime in the future? </w:t>
      </w:r>
    </w:p>
    <w:p w:rsidR="003405C6" w:rsidRPr="00782120" w:rsidRDefault="003405C6" w:rsidP="004B2F21">
      <w:pPr>
        <w:ind w:left="360"/>
        <w:rPr>
          <w:sz w:val="20"/>
          <w:szCs w:val="20"/>
        </w:rPr>
      </w:pPr>
      <w:r w:rsidRPr="00782120">
        <w:rPr>
          <w:b/>
          <w:sz w:val="20"/>
          <w:szCs w:val="20"/>
        </w:rPr>
        <w:lastRenderedPageBreak/>
        <w:t>Answer</w:t>
      </w:r>
      <w:r w:rsidRPr="00782120">
        <w:rPr>
          <w:sz w:val="20"/>
          <w:szCs w:val="20"/>
        </w:rPr>
        <w:t xml:space="preserve">: For the pilot phase we don’t think the system could support more than one vendor with the filing volumes we have in the appellate courts. Whether this is a sole source solution at the end of the day is a policy consideration that we will look at if we expand this solution to the other courts. For the pilot phase this is a single vendor solution. </w:t>
      </w:r>
    </w:p>
    <w:p w:rsidR="003405C6" w:rsidRPr="00782120" w:rsidRDefault="003405C6" w:rsidP="003405C6">
      <w:pPr>
        <w:rPr>
          <w:sz w:val="20"/>
          <w:szCs w:val="20"/>
        </w:rPr>
      </w:pPr>
    </w:p>
    <w:p w:rsidR="003405C6" w:rsidRPr="00782120" w:rsidRDefault="003405C6" w:rsidP="0085748D">
      <w:pPr>
        <w:pStyle w:val="ListParagraph"/>
        <w:numPr>
          <w:ilvl w:val="0"/>
          <w:numId w:val="6"/>
        </w:numPr>
        <w:rPr>
          <w:sz w:val="20"/>
          <w:szCs w:val="20"/>
        </w:rPr>
      </w:pPr>
      <w:r w:rsidRPr="00782120">
        <w:rPr>
          <w:sz w:val="20"/>
          <w:szCs w:val="20"/>
        </w:rPr>
        <w:t xml:space="preserve">Are there any redaction requirements? </w:t>
      </w:r>
    </w:p>
    <w:p w:rsidR="003405C6" w:rsidRPr="00782120" w:rsidRDefault="003405C6" w:rsidP="00601E00">
      <w:pPr>
        <w:ind w:left="360"/>
        <w:rPr>
          <w:sz w:val="20"/>
          <w:szCs w:val="20"/>
        </w:rPr>
      </w:pPr>
      <w:r w:rsidRPr="00782120">
        <w:rPr>
          <w:b/>
          <w:sz w:val="20"/>
          <w:szCs w:val="20"/>
        </w:rPr>
        <w:t>Answer:</w:t>
      </w:r>
      <w:r w:rsidRPr="00782120">
        <w:rPr>
          <w:sz w:val="20"/>
          <w:szCs w:val="20"/>
        </w:rPr>
        <w:t xml:space="preserve"> No. In terms of what the vendor may choose to make available, certain case type</w:t>
      </w:r>
      <w:r w:rsidR="006E38B6">
        <w:rPr>
          <w:sz w:val="20"/>
          <w:szCs w:val="20"/>
        </w:rPr>
        <w:t>s</w:t>
      </w:r>
      <w:r w:rsidRPr="00782120">
        <w:rPr>
          <w:sz w:val="20"/>
          <w:szCs w:val="20"/>
        </w:rPr>
        <w:t xml:space="preserve"> are confidential</w:t>
      </w:r>
      <w:r w:rsidR="006E38B6">
        <w:rPr>
          <w:sz w:val="20"/>
          <w:szCs w:val="20"/>
        </w:rPr>
        <w:t>. W</w:t>
      </w:r>
      <w:r w:rsidRPr="00782120">
        <w:rPr>
          <w:sz w:val="20"/>
          <w:szCs w:val="20"/>
        </w:rPr>
        <w:t>e need some mechanism, not only for restricting access to confidential case types</w:t>
      </w:r>
      <w:r w:rsidR="006E38B6">
        <w:rPr>
          <w:sz w:val="20"/>
          <w:szCs w:val="20"/>
        </w:rPr>
        <w:t>,</w:t>
      </w:r>
      <w:r w:rsidRPr="00782120">
        <w:rPr>
          <w:sz w:val="20"/>
          <w:szCs w:val="20"/>
        </w:rPr>
        <w:t xml:space="preserve"> but also documents filed under seal. We need to accommodate the ability to file documents and cases confidentially.   </w:t>
      </w:r>
    </w:p>
    <w:p w:rsidR="003405C6" w:rsidRPr="00782120" w:rsidRDefault="003405C6" w:rsidP="0085748D">
      <w:pPr>
        <w:pStyle w:val="ListParagraph"/>
        <w:numPr>
          <w:ilvl w:val="0"/>
          <w:numId w:val="6"/>
        </w:numPr>
        <w:rPr>
          <w:b/>
          <w:sz w:val="20"/>
          <w:szCs w:val="20"/>
        </w:rPr>
      </w:pPr>
      <w:r w:rsidRPr="00782120">
        <w:rPr>
          <w:sz w:val="20"/>
          <w:szCs w:val="20"/>
        </w:rPr>
        <w:t>Are there additional security requirements for handling juvenile cases types and documents?</w:t>
      </w:r>
    </w:p>
    <w:p w:rsidR="003405C6" w:rsidRPr="00782120" w:rsidRDefault="003405C6" w:rsidP="0085748D">
      <w:pPr>
        <w:ind w:left="360"/>
        <w:rPr>
          <w:sz w:val="20"/>
          <w:szCs w:val="20"/>
        </w:rPr>
      </w:pPr>
      <w:r w:rsidRPr="00782120">
        <w:rPr>
          <w:b/>
          <w:sz w:val="20"/>
          <w:szCs w:val="20"/>
        </w:rPr>
        <w:t>Answer:</w:t>
      </w:r>
      <w:r w:rsidRPr="00782120">
        <w:rPr>
          <w:sz w:val="20"/>
          <w:szCs w:val="20"/>
        </w:rPr>
        <w:t xml:space="preserve"> </w:t>
      </w:r>
      <w:r w:rsidR="00601E00">
        <w:rPr>
          <w:sz w:val="20"/>
          <w:szCs w:val="20"/>
        </w:rPr>
        <w:t>Juvenile case information is</w:t>
      </w:r>
      <w:r w:rsidRPr="00782120">
        <w:rPr>
          <w:sz w:val="20"/>
          <w:szCs w:val="20"/>
        </w:rPr>
        <w:t xml:space="preserve"> not available to the public. The filers themselves would need to have access and user permissions </w:t>
      </w:r>
      <w:r w:rsidR="006E38B6">
        <w:rPr>
          <w:sz w:val="20"/>
          <w:szCs w:val="20"/>
        </w:rPr>
        <w:t>to</w:t>
      </w:r>
      <w:r w:rsidRPr="00782120">
        <w:rPr>
          <w:sz w:val="20"/>
          <w:szCs w:val="20"/>
        </w:rPr>
        <w:t xml:space="preserve"> those cases, </w:t>
      </w:r>
      <w:r w:rsidR="006E38B6">
        <w:rPr>
          <w:sz w:val="20"/>
          <w:szCs w:val="20"/>
        </w:rPr>
        <w:t>however Juvenile cases are confidential.</w:t>
      </w:r>
    </w:p>
    <w:p w:rsidR="003405C6" w:rsidRPr="00782120" w:rsidRDefault="003405C6" w:rsidP="0085748D">
      <w:pPr>
        <w:pStyle w:val="ListParagraph"/>
        <w:numPr>
          <w:ilvl w:val="0"/>
          <w:numId w:val="6"/>
        </w:numPr>
        <w:rPr>
          <w:sz w:val="20"/>
          <w:szCs w:val="20"/>
        </w:rPr>
      </w:pPr>
      <w:r w:rsidRPr="00782120">
        <w:rPr>
          <w:sz w:val="20"/>
          <w:szCs w:val="20"/>
        </w:rPr>
        <w:t xml:space="preserve"> Are we going to be able to submit additional questions after this meeting, if other questions arise?</w:t>
      </w:r>
    </w:p>
    <w:p w:rsidR="003405C6" w:rsidRPr="00782120" w:rsidRDefault="003405C6" w:rsidP="0085748D">
      <w:pPr>
        <w:ind w:firstLine="360"/>
        <w:rPr>
          <w:sz w:val="20"/>
          <w:szCs w:val="20"/>
        </w:rPr>
      </w:pPr>
      <w:r w:rsidRPr="00782120">
        <w:rPr>
          <w:sz w:val="20"/>
          <w:szCs w:val="20"/>
        </w:rPr>
        <w:t xml:space="preserve"> </w:t>
      </w:r>
      <w:r w:rsidRPr="00782120">
        <w:rPr>
          <w:b/>
          <w:sz w:val="20"/>
          <w:szCs w:val="20"/>
        </w:rPr>
        <w:t>Answer:</w:t>
      </w:r>
      <w:r w:rsidRPr="00782120">
        <w:rPr>
          <w:sz w:val="20"/>
          <w:szCs w:val="20"/>
        </w:rPr>
        <w:t xml:space="preserve"> Yes</w:t>
      </w:r>
      <w:r w:rsidR="006E38B6">
        <w:rPr>
          <w:sz w:val="20"/>
          <w:szCs w:val="20"/>
        </w:rPr>
        <w:t xml:space="preserve">. The RFP stated we would receive question </w:t>
      </w:r>
      <w:proofErr w:type="gramStart"/>
      <w:r w:rsidR="006E38B6">
        <w:rPr>
          <w:sz w:val="20"/>
          <w:szCs w:val="20"/>
        </w:rPr>
        <w:t xml:space="preserve">through </w:t>
      </w:r>
      <w:r w:rsidRPr="00782120">
        <w:rPr>
          <w:sz w:val="20"/>
          <w:szCs w:val="20"/>
        </w:rPr>
        <w:t xml:space="preserve"> </w:t>
      </w:r>
      <w:r w:rsidR="006E38B6">
        <w:rPr>
          <w:sz w:val="20"/>
          <w:szCs w:val="20"/>
        </w:rPr>
        <w:t>March</w:t>
      </w:r>
      <w:proofErr w:type="gramEnd"/>
      <w:r w:rsidR="006E38B6">
        <w:rPr>
          <w:sz w:val="20"/>
          <w:szCs w:val="20"/>
        </w:rPr>
        <w:t xml:space="preserve"> 4, 2013.</w:t>
      </w:r>
    </w:p>
    <w:p w:rsidR="003405C6" w:rsidRPr="00782120" w:rsidRDefault="003405C6" w:rsidP="0085748D">
      <w:pPr>
        <w:pStyle w:val="ListParagraph"/>
        <w:numPr>
          <w:ilvl w:val="0"/>
          <w:numId w:val="6"/>
        </w:numPr>
        <w:rPr>
          <w:sz w:val="20"/>
          <w:szCs w:val="20"/>
        </w:rPr>
      </w:pPr>
      <w:r w:rsidRPr="00782120">
        <w:rPr>
          <w:sz w:val="20"/>
          <w:szCs w:val="20"/>
        </w:rPr>
        <w:t xml:space="preserve"> Information about the existing filing system – 1. How was system built and who built it? 2. Looking at the specification it seem that it would be easier to build a new system from the ground up that supported e-filing, would that be an option or does it have to work with the existing system? </w:t>
      </w:r>
    </w:p>
    <w:p w:rsidR="003405C6" w:rsidRPr="00782120" w:rsidRDefault="003405C6" w:rsidP="0085748D">
      <w:pPr>
        <w:ind w:left="360"/>
        <w:rPr>
          <w:sz w:val="20"/>
          <w:szCs w:val="20"/>
        </w:rPr>
      </w:pPr>
      <w:r w:rsidRPr="00782120">
        <w:rPr>
          <w:b/>
          <w:sz w:val="20"/>
          <w:szCs w:val="20"/>
        </w:rPr>
        <w:t>Answer:</w:t>
      </w:r>
      <w:r w:rsidRPr="00782120">
        <w:rPr>
          <w:sz w:val="20"/>
          <w:szCs w:val="20"/>
        </w:rPr>
        <w:t xml:space="preserve"> </w:t>
      </w:r>
      <w:r w:rsidR="000879CC">
        <w:rPr>
          <w:sz w:val="20"/>
          <w:szCs w:val="20"/>
        </w:rPr>
        <w:t xml:space="preserve"> </w:t>
      </w:r>
      <w:r w:rsidRPr="00782120">
        <w:rPr>
          <w:sz w:val="20"/>
          <w:szCs w:val="20"/>
        </w:rPr>
        <w:t xml:space="preserve">ACCMS is an internally developed case management system </w:t>
      </w:r>
      <w:r w:rsidR="000879CC">
        <w:rPr>
          <w:sz w:val="20"/>
          <w:szCs w:val="20"/>
        </w:rPr>
        <w:t xml:space="preserve">(not a document management system) </w:t>
      </w:r>
      <w:r w:rsidRPr="00782120">
        <w:rPr>
          <w:sz w:val="20"/>
          <w:szCs w:val="20"/>
        </w:rPr>
        <w:t>t</w:t>
      </w:r>
      <w:r w:rsidR="00601E00">
        <w:rPr>
          <w:sz w:val="20"/>
          <w:szCs w:val="20"/>
        </w:rPr>
        <w:t xml:space="preserve">hat all of the </w:t>
      </w:r>
      <w:r w:rsidR="006E38B6">
        <w:rPr>
          <w:sz w:val="20"/>
          <w:szCs w:val="20"/>
        </w:rPr>
        <w:t>A</w:t>
      </w:r>
      <w:r w:rsidR="00601E00">
        <w:rPr>
          <w:sz w:val="20"/>
          <w:szCs w:val="20"/>
        </w:rPr>
        <w:t xml:space="preserve">ppellate </w:t>
      </w:r>
      <w:r w:rsidR="006E38B6">
        <w:rPr>
          <w:sz w:val="20"/>
          <w:szCs w:val="20"/>
        </w:rPr>
        <w:t>C</w:t>
      </w:r>
      <w:r w:rsidR="00601E00">
        <w:rPr>
          <w:sz w:val="20"/>
          <w:szCs w:val="20"/>
        </w:rPr>
        <w:t xml:space="preserve">ourts and </w:t>
      </w:r>
      <w:r w:rsidR="006E38B6">
        <w:rPr>
          <w:sz w:val="20"/>
          <w:szCs w:val="20"/>
        </w:rPr>
        <w:t xml:space="preserve">the </w:t>
      </w:r>
      <w:r w:rsidR="00601E00">
        <w:rPr>
          <w:sz w:val="20"/>
          <w:szCs w:val="20"/>
        </w:rPr>
        <w:t xml:space="preserve">Supreme Court </w:t>
      </w:r>
      <w:r w:rsidRPr="00782120">
        <w:rPr>
          <w:sz w:val="20"/>
          <w:szCs w:val="20"/>
        </w:rPr>
        <w:t xml:space="preserve">are using. </w:t>
      </w:r>
      <w:r w:rsidR="000879CC">
        <w:rPr>
          <w:sz w:val="20"/>
          <w:szCs w:val="20"/>
        </w:rPr>
        <w:t xml:space="preserve"> We</w:t>
      </w:r>
      <w:r w:rsidRPr="00782120">
        <w:rPr>
          <w:sz w:val="20"/>
          <w:szCs w:val="20"/>
        </w:rPr>
        <w:t xml:space="preserve"> don’t envision starting over from new code</w:t>
      </w:r>
      <w:r w:rsidR="000879CC">
        <w:rPr>
          <w:sz w:val="20"/>
          <w:szCs w:val="20"/>
        </w:rPr>
        <w:t xml:space="preserve">. </w:t>
      </w:r>
    </w:p>
    <w:p w:rsidR="003405C6" w:rsidRPr="00782120" w:rsidRDefault="003405C6" w:rsidP="0085748D">
      <w:pPr>
        <w:pStyle w:val="ListParagraph"/>
        <w:numPr>
          <w:ilvl w:val="0"/>
          <w:numId w:val="6"/>
        </w:numPr>
        <w:rPr>
          <w:sz w:val="20"/>
          <w:szCs w:val="20"/>
        </w:rPr>
      </w:pPr>
      <w:r w:rsidRPr="00782120">
        <w:rPr>
          <w:sz w:val="20"/>
          <w:szCs w:val="20"/>
        </w:rPr>
        <w:t>It is hard to evaluate whether the project is feasible especially with a zero dollar budget without knowing more about the technical details about how the system works now. I took a brief look on line and it looks like it (ACCMS) was based on cold fusion. Different vendor have different tools they are used to working with. It is hazy as far as, is this something our company would want to tackle right now. So to the extent that that information could be provided it would be helpful.</w:t>
      </w:r>
    </w:p>
    <w:p w:rsidR="003405C6" w:rsidRPr="00782120" w:rsidRDefault="003405C6" w:rsidP="00A60680">
      <w:pPr>
        <w:ind w:left="360"/>
        <w:rPr>
          <w:sz w:val="20"/>
          <w:szCs w:val="20"/>
        </w:rPr>
      </w:pPr>
      <w:r w:rsidRPr="00782120">
        <w:rPr>
          <w:b/>
          <w:sz w:val="20"/>
          <w:szCs w:val="20"/>
        </w:rPr>
        <w:t>Answer:</w:t>
      </w:r>
      <w:r w:rsidRPr="00782120">
        <w:rPr>
          <w:sz w:val="20"/>
          <w:szCs w:val="20"/>
        </w:rPr>
        <w:t xml:space="preserve"> </w:t>
      </w:r>
      <w:r w:rsidRPr="00294AD1">
        <w:rPr>
          <w:sz w:val="20"/>
          <w:szCs w:val="20"/>
        </w:rPr>
        <w:t>ACCMS expects to communicate via web services</w:t>
      </w:r>
      <w:r w:rsidR="00294AD1" w:rsidRPr="00294AD1">
        <w:rPr>
          <w:sz w:val="20"/>
          <w:szCs w:val="20"/>
        </w:rPr>
        <w:t xml:space="preserve"> utilizing a data exchange or set of data exchange</w:t>
      </w:r>
      <w:r w:rsidR="000879CC">
        <w:rPr>
          <w:sz w:val="20"/>
          <w:szCs w:val="20"/>
        </w:rPr>
        <w:t>s</w:t>
      </w:r>
      <w:r w:rsidR="00294AD1" w:rsidRPr="00294AD1">
        <w:rPr>
          <w:sz w:val="20"/>
          <w:szCs w:val="20"/>
        </w:rPr>
        <w:t xml:space="preserve"> to communicate</w:t>
      </w:r>
      <w:r w:rsidR="00136D1C" w:rsidRPr="00294AD1">
        <w:rPr>
          <w:sz w:val="20"/>
          <w:szCs w:val="20"/>
        </w:rPr>
        <w:t xml:space="preserve"> with the e-Filing solution.  </w:t>
      </w:r>
      <w:r w:rsidRPr="00782120">
        <w:rPr>
          <w:sz w:val="20"/>
          <w:szCs w:val="20"/>
        </w:rPr>
        <w:t xml:space="preserve">  </w:t>
      </w:r>
    </w:p>
    <w:p w:rsidR="003405C6" w:rsidRPr="00782120" w:rsidRDefault="003405C6" w:rsidP="0085748D">
      <w:pPr>
        <w:pStyle w:val="ListParagraph"/>
        <w:numPr>
          <w:ilvl w:val="0"/>
          <w:numId w:val="6"/>
        </w:numPr>
        <w:rPr>
          <w:sz w:val="20"/>
          <w:szCs w:val="20"/>
        </w:rPr>
      </w:pPr>
      <w:r w:rsidRPr="00782120">
        <w:rPr>
          <w:sz w:val="20"/>
          <w:szCs w:val="20"/>
        </w:rPr>
        <w:t>Credit Card processing – if we are collect</w:t>
      </w:r>
      <w:r w:rsidR="0085748D" w:rsidRPr="00782120">
        <w:rPr>
          <w:sz w:val="20"/>
          <w:szCs w:val="20"/>
        </w:rPr>
        <w:t>ing</w:t>
      </w:r>
      <w:r w:rsidRPr="00782120">
        <w:rPr>
          <w:sz w:val="20"/>
          <w:szCs w:val="20"/>
        </w:rPr>
        <w:t xml:space="preserve"> funds</w:t>
      </w:r>
      <w:r w:rsidR="0085748D" w:rsidRPr="00782120">
        <w:rPr>
          <w:sz w:val="20"/>
          <w:szCs w:val="20"/>
        </w:rPr>
        <w:t>,</w:t>
      </w:r>
      <w:r w:rsidRPr="00782120">
        <w:rPr>
          <w:sz w:val="20"/>
          <w:szCs w:val="20"/>
        </w:rPr>
        <w:t xml:space="preserve"> is the onus on the vendor to supply the processor or is there a state standard or state processor to integrate with?</w:t>
      </w:r>
    </w:p>
    <w:p w:rsidR="003405C6" w:rsidRPr="00782120" w:rsidRDefault="003405C6" w:rsidP="0085748D">
      <w:pPr>
        <w:ind w:left="360"/>
        <w:rPr>
          <w:sz w:val="20"/>
          <w:szCs w:val="20"/>
        </w:rPr>
      </w:pPr>
      <w:r w:rsidRPr="00782120">
        <w:rPr>
          <w:b/>
          <w:sz w:val="20"/>
          <w:szCs w:val="20"/>
        </w:rPr>
        <w:t>Answer:</w:t>
      </w:r>
      <w:r w:rsidRPr="00782120">
        <w:rPr>
          <w:sz w:val="20"/>
          <w:szCs w:val="20"/>
        </w:rPr>
        <w:t xml:space="preserve"> </w:t>
      </w:r>
      <w:r w:rsidR="000879CC">
        <w:rPr>
          <w:sz w:val="20"/>
          <w:szCs w:val="20"/>
        </w:rPr>
        <w:t>Yes</w:t>
      </w:r>
      <w:r w:rsidRPr="00782120">
        <w:rPr>
          <w:sz w:val="20"/>
          <w:szCs w:val="20"/>
        </w:rPr>
        <w:t xml:space="preserve">, </w:t>
      </w:r>
      <w:r w:rsidR="000879CC">
        <w:rPr>
          <w:sz w:val="20"/>
          <w:szCs w:val="20"/>
        </w:rPr>
        <w:t>f</w:t>
      </w:r>
      <w:r w:rsidR="000879CC" w:rsidRPr="00782120">
        <w:rPr>
          <w:sz w:val="20"/>
          <w:szCs w:val="20"/>
        </w:rPr>
        <w:t>ee collection, either via credit card or pre-paid account is the vendor’s responsibility, with the ACH reconciliation to the court on a periodic basis</w:t>
      </w:r>
      <w:r w:rsidR="000879CC">
        <w:rPr>
          <w:sz w:val="20"/>
          <w:szCs w:val="20"/>
        </w:rPr>
        <w:t>. W</w:t>
      </w:r>
      <w:r w:rsidRPr="00782120">
        <w:rPr>
          <w:sz w:val="20"/>
          <w:szCs w:val="20"/>
        </w:rPr>
        <w:t>e have no state integration for credit card processing.</w:t>
      </w:r>
    </w:p>
    <w:p w:rsidR="003405C6" w:rsidRPr="00782120" w:rsidRDefault="003405C6" w:rsidP="0085748D">
      <w:pPr>
        <w:pStyle w:val="ListParagraph"/>
        <w:numPr>
          <w:ilvl w:val="0"/>
          <w:numId w:val="6"/>
        </w:numPr>
        <w:rPr>
          <w:sz w:val="20"/>
          <w:szCs w:val="20"/>
        </w:rPr>
      </w:pPr>
      <w:r w:rsidRPr="00782120">
        <w:rPr>
          <w:sz w:val="20"/>
          <w:szCs w:val="20"/>
        </w:rPr>
        <w:t xml:space="preserve">Thinking about the funding model for this project, is the expectation on the part of the court that lawyers are going to be paying for use of the e-filing system that they are required to use? It seems like the court is expecting user payment, but I’m not clear who that user would be. Who are the users? </w:t>
      </w:r>
    </w:p>
    <w:p w:rsidR="003405C6" w:rsidRPr="00782120" w:rsidRDefault="003405C6" w:rsidP="0085748D">
      <w:pPr>
        <w:ind w:left="360"/>
        <w:rPr>
          <w:sz w:val="20"/>
          <w:szCs w:val="20"/>
        </w:rPr>
      </w:pPr>
      <w:r w:rsidRPr="00782120">
        <w:rPr>
          <w:b/>
          <w:sz w:val="20"/>
          <w:szCs w:val="20"/>
        </w:rPr>
        <w:lastRenderedPageBreak/>
        <w:t>Answer:</w:t>
      </w:r>
      <w:r w:rsidRPr="00782120">
        <w:rPr>
          <w:sz w:val="20"/>
          <w:szCs w:val="20"/>
        </w:rPr>
        <w:t xml:space="preserve"> </w:t>
      </w:r>
      <w:r w:rsidR="004E0E7A">
        <w:rPr>
          <w:sz w:val="20"/>
          <w:szCs w:val="20"/>
        </w:rPr>
        <w:t xml:space="preserve">The cost recovery model would be provided by the vendor. </w:t>
      </w:r>
      <w:r w:rsidR="004E0E7A" w:rsidRPr="00782120">
        <w:rPr>
          <w:sz w:val="20"/>
          <w:szCs w:val="20"/>
        </w:rPr>
        <w:t xml:space="preserve"> </w:t>
      </w:r>
      <w:proofErr w:type="gramStart"/>
      <w:r w:rsidR="004E0E7A" w:rsidRPr="00782120">
        <w:rPr>
          <w:sz w:val="20"/>
          <w:szCs w:val="20"/>
        </w:rPr>
        <w:t xml:space="preserve">A subscription </w:t>
      </w:r>
      <w:r w:rsidR="004E0E7A">
        <w:rPr>
          <w:sz w:val="20"/>
          <w:szCs w:val="20"/>
        </w:rPr>
        <w:t>or transaction fee based model are</w:t>
      </w:r>
      <w:proofErr w:type="gramEnd"/>
      <w:r w:rsidR="004E0E7A">
        <w:rPr>
          <w:sz w:val="20"/>
          <w:szCs w:val="20"/>
        </w:rPr>
        <w:t xml:space="preserve"> possibilities. </w:t>
      </w:r>
      <w:r w:rsidR="00A155C8">
        <w:rPr>
          <w:sz w:val="20"/>
          <w:szCs w:val="20"/>
        </w:rPr>
        <w:t xml:space="preserve">The </w:t>
      </w:r>
      <w:r w:rsidRPr="00782120">
        <w:rPr>
          <w:sz w:val="20"/>
          <w:szCs w:val="20"/>
        </w:rPr>
        <w:t>principal user would be the Bar</w:t>
      </w:r>
      <w:r w:rsidR="004E0E7A">
        <w:rPr>
          <w:sz w:val="20"/>
          <w:szCs w:val="20"/>
        </w:rPr>
        <w:t xml:space="preserve">, however other filers (see </w:t>
      </w:r>
      <w:r w:rsidR="00A60680">
        <w:rPr>
          <w:sz w:val="20"/>
          <w:szCs w:val="20"/>
        </w:rPr>
        <w:t>Attachment 4-Requirements</w:t>
      </w:r>
      <w:r w:rsidR="004E0E7A">
        <w:rPr>
          <w:sz w:val="20"/>
          <w:szCs w:val="20"/>
        </w:rPr>
        <w:t>), including self represented litigants,</w:t>
      </w:r>
      <w:r w:rsidR="00A60680">
        <w:rPr>
          <w:sz w:val="20"/>
          <w:szCs w:val="20"/>
        </w:rPr>
        <w:t xml:space="preserve"> </w:t>
      </w:r>
      <w:r w:rsidR="004E0E7A">
        <w:rPr>
          <w:sz w:val="20"/>
          <w:szCs w:val="20"/>
        </w:rPr>
        <w:t xml:space="preserve">may use the </w:t>
      </w:r>
      <w:proofErr w:type="gramStart"/>
      <w:r w:rsidR="004E0E7A">
        <w:rPr>
          <w:sz w:val="20"/>
          <w:szCs w:val="20"/>
        </w:rPr>
        <w:t>system .</w:t>
      </w:r>
      <w:proofErr w:type="gramEnd"/>
      <w:r w:rsidR="004E0E7A">
        <w:rPr>
          <w:sz w:val="20"/>
          <w:szCs w:val="20"/>
        </w:rPr>
        <w:t xml:space="preserve"> </w:t>
      </w:r>
    </w:p>
    <w:p w:rsidR="003405C6" w:rsidRPr="00782120" w:rsidRDefault="003405C6" w:rsidP="0085748D">
      <w:pPr>
        <w:pStyle w:val="ListParagraph"/>
        <w:numPr>
          <w:ilvl w:val="0"/>
          <w:numId w:val="6"/>
        </w:numPr>
        <w:rPr>
          <w:sz w:val="20"/>
          <w:szCs w:val="20"/>
        </w:rPr>
      </w:pPr>
      <w:r w:rsidRPr="00782120">
        <w:rPr>
          <w:sz w:val="20"/>
          <w:szCs w:val="20"/>
        </w:rPr>
        <w:t>Instead of a transaction fee would the court be willing to grant rights to the vendor to resell case information to other parties and o</w:t>
      </w:r>
      <w:r w:rsidR="008D0746">
        <w:rPr>
          <w:sz w:val="20"/>
          <w:szCs w:val="20"/>
        </w:rPr>
        <w:t>bvi</w:t>
      </w:r>
      <w:r w:rsidRPr="00782120">
        <w:rPr>
          <w:sz w:val="20"/>
          <w:szCs w:val="20"/>
        </w:rPr>
        <w:t>ate the need to charge per transaction fee?</w:t>
      </w:r>
    </w:p>
    <w:p w:rsidR="00F24611" w:rsidRPr="00782120" w:rsidRDefault="003405C6" w:rsidP="00F24611">
      <w:pPr>
        <w:ind w:left="360"/>
        <w:rPr>
          <w:color w:val="000000"/>
          <w:sz w:val="20"/>
          <w:szCs w:val="20"/>
        </w:rPr>
      </w:pPr>
      <w:r w:rsidRPr="00782120">
        <w:rPr>
          <w:b/>
          <w:sz w:val="20"/>
          <w:szCs w:val="20"/>
        </w:rPr>
        <w:t>Answer:</w:t>
      </w:r>
      <w:r w:rsidRPr="00782120">
        <w:rPr>
          <w:sz w:val="20"/>
          <w:szCs w:val="20"/>
        </w:rPr>
        <w:t xml:space="preserve"> </w:t>
      </w:r>
      <w:r w:rsidR="00F24611" w:rsidRPr="00782120">
        <w:rPr>
          <w:color w:val="000000"/>
          <w:sz w:val="20"/>
          <w:szCs w:val="20"/>
        </w:rPr>
        <w:t xml:space="preserve">There are trial court rules on privacy and public access to electronic court records (Rules of Court 2.500 – 2.507) that include a limitation on bulk distribution of court records (Rule 2.503(g)).  Those rules are not directly applicable to the </w:t>
      </w:r>
      <w:r w:rsidR="004E0E7A">
        <w:rPr>
          <w:color w:val="000000"/>
          <w:sz w:val="20"/>
          <w:szCs w:val="20"/>
        </w:rPr>
        <w:t>A</w:t>
      </w:r>
      <w:r w:rsidR="00F24611" w:rsidRPr="00782120">
        <w:rPr>
          <w:color w:val="000000"/>
          <w:sz w:val="20"/>
          <w:szCs w:val="20"/>
        </w:rPr>
        <w:t xml:space="preserve">ppellate </w:t>
      </w:r>
      <w:proofErr w:type="gramStart"/>
      <w:r w:rsidR="004E0E7A">
        <w:rPr>
          <w:color w:val="000000"/>
          <w:sz w:val="20"/>
          <w:szCs w:val="20"/>
        </w:rPr>
        <w:t>C</w:t>
      </w:r>
      <w:r w:rsidR="00F24611" w:rsidRPr="00782120">
        <w:rPr>
          <w:color w:val="000000"/>
          <w:sz w:val="20"/>
          <w:szCs w:val="20"/>
        </w:rPr>
        <w:t>ourts,</w:t>
      </w:r>
      <w:proofErr w:type="gramEnd"/>
      <w:r w:rsidR="00F24611" w:rsidRPr="00782120">
        <w:rPr>
          <w:color w:val="000000"/>
          <w:sz w:val="20"/>
          <w:szCs w:val="20"/>
        </w:rPr>
        <w:t xml:space="preserve"> </w:t>
      </w:r>
      <w:r w:rsidR="004E0E7A">
        <w:rPr>
          <w:color w:val="000000"/>
          <w:sz w:val="20"/>
          <w:szCs w:val="20"/>
        </w:rPr>
        <w:t>however they</w:t>
      </w:r>
      <w:r w:rsidR="004E0E7A" w:rsidRPr="00782120">
        <w:rPr>
          <w:color w:val="000000"/>
          <w:sz w:val="20"/>
          <w:szCs w:val="20"/>
        </w:rPr>
        <w:t xml:space="preserve"> </w:t>
      </w:r>
      <w:r w:rsidR="00F24611" w:rsidRPr="00782120">
        <w:rPr>
          <w:color w:val="000000"/>
          <w:sz w:val="20"/>
          <w:szCs w:val="20"/>
        </w:rPr>
        <w:t xml:space="preserve">do articulate Judicial Council policy.  These rules do not apply to the documents as received from the filer by the vendor.  Once there is a file stamp on it, the court must control it.  Rule of Court 2.505(b) [also technically limited to the trial courts, but applicable] requires that EFSP contracts for public access to trial court records provide that the court is the owner of these records and has the exclusive right to control their use. What the vendor collects, aggregates, or resells from the information provided to them by the filer, however, is a matter between the vendor and the filer.  </w:t>
      </w:r>
    </w:p>
    <w:p w:rsidR="00F24611" w:rsidRPr="00782120" w:rsidRDefault="00F24611" w:rsidP="00F24611">
      <w:pPr>
        <w:ind w:left="360"/>
        <w:rPr>
          <w:color w:val="000000"/>
          <w:sz w:val="20"/>
          <w:szCs w:val="20"/>
        </w:rPr>
      </w:pPr>
      <w:r w:rsidRPr="00782120">
        <w:rPr>
          <w:color w:val="000000"/>
          <w:sz w:val="20"/>
          <w:szCs w:val="20"/>
        </w:rPr>
        <w:t>Proposers should also review Appellate E-filing Rules of Court (Rules 8.70-8.79)</w:t>
      </w:r>
    </w:p>
    <w:p w:rsidR="003405C6" w:rsidRPr="00782120" w:rsidRDefault="003405C6" w:rsidP="0085748D">
      <w:pPr>
        <w:pStyle w:val="ListParagraph"/>
        <w:numPr>
          <w:ilvl w:val="0"/>
          <w:numId w:val="6"/>
        </w:numPr>
        <w:rPr>
          <w:sz w:val="20"/>
          <w:szCs w:val="20"/>
        </w:rPr>
      </w:pPr>
      <w:r w:rsidRPr="00782120">
        <w:rPr>
          <w:sz w:val="20"/>
          <w:szCs w:val="20"/>
        </w:rPr>
        <w:t xml:space="preserve">Section 4.4.8 in the Response Template: </w:t>
      </w:r>
      <w:r w:rsidRPr="00782120">
        <w:rPr>
          <w:iCs/>
          <w:sz w:val="20"/>
          <w:szCs w:val="20"/>
        </w:rPr>
        <w:t xml:space="preserve">Describe how </w:t>
      </w:r>
      <w:r w:rsidRPr="00782120">
        <w:rPr>
          <w:sz w:val="20"/>
          <w:szCs w:val="20"/>
        </w:rPr>
        <w:t>you will deal with software support for multiple tests, training, and production environments managed by AOC. -</w:t>
      </w:r>
      <w:r w:rsidR="009D3974" w:rsidRPr="00782120">
        <w:rPr>
          <w:sz w:val="20"/>
          <w:szCs w:val="20"/>
        </w:rPr>
        <w:t>What</w:t>
      </w:r>
      <w:r w:rsidRPr="00782120">
        <w:rPr>
          <w:sz w:val="20"/>
          <w:szCs w:val="20"/>
        </w:rPr>
        <w:t xml:space="preserve"> are you looking for - multiple testing sites?</w:t>
      </w:r>
    </w:p>
    <w:p w:rsidR="003405C6" w:rsidRPr="00782120" w:rsidRDefault="003405C6" w:rsidP="009D3974">
      <w:pPr>
        <w:ind w:left="360"/>
        <w:rPr>
          <w:sz w:val="20"/>
          <w:szCs w:val="20"/>
        </w:rPr>
      </w:pPr>
      <w:r w:rsidRPr="00417133">
        <w:rPr>
          <w:b/>
          <w:sz w:val="20"/>
          <w:szCs w:val="20"/>
        </w:rPr>
        <w:t>Answer:</w:t>
      </w:r>
      <w:r w:rsidRPr="00417133">
        <w:rPr>
          <w:sz w:val="20"/>
          <w:szCs w:val="20"/>
        </w:rPr>
        <w:t xml:space="preserve"> </w:t>
      </w:r>
      <w:r w:rsidR="009D3974" w:rsidRPr="00417133">
        <w:rPr>
          <w:sz w:val="20"/>
          <w:szCs w:val="20"/>
        </w:rPr>
        <w:t>See #27</w:t>
      </w:r>
      <w:r w:rsidRPr="00417133">
        <w:rPr>
          <w:sz w:val="20"/>
          <w:szCs w:val="20"/>
        </w:rPr>
        <w:t xml:space="preserve"> </w:t>
      </w:r>
    </w:p>
    <w:p w:rsidR="003405C6" w:rsidRPr="00782120" w:rsidRDefault="003405C6" w:rsidP="009D3974">
      <w:pPr>
        <w:pStyle w:val="ListParagraph"/>
        <w:numPr>
          <w:ilvl w:val="0"/>
          <w:numId w:val="6"/>
        </w:numPr>
        <w:rPr>
          <w:sz w:val="20"/>
          <w:szCs w:val="20"/>
        </w:rPr>
      </w:pPr>
      <w:r w:rsidRPr="00782120">
        <w:rPr>
          <w:sz w:val="20"/>
          <w:szCs w:val="20"/>
        </w:rPr>
        <w:t>Will this be hosted by the vendor or do we have requirements to host it within your data center?</w:t>
      </w:r>
    </w:p>
    <w:p w:rsidR="003405C6" w:rsidRPr="00782120" w:rsidRDefault="003405C6" w:rsidP="00C57041">
      <w:pPr>
        <w:ind w:left="360"/>
        <w:rPr>
          <w:sz w:val="20"/>
          <w:szCs w:val="20"/>
        </w:rPr>
      </w:pPr>
      <w:r w:rsidRPr="00782120">
        <w:rPr>
          <w:sz w:val="20"/>
          <w:szCs w:val="20"/>
        </w:rPr>
        <w:t xml:space="preserve"> </w:t>
      </w:r>
      <w:r w:rsidRPr="00782120">
        <w:rPr>
          <w:b/>
          <w:sz w:val="20"/>
          <w:szCs w:val="20"/>
        </w:rPr>
        <w:t>Answer:</w:t>
      </w:r>
      <w:r w:rsidRPr="00782120">
        <w:rPr>
          <w:sz w:val="20"/>
          <w:szCs w:val="20"/>
        </w:rPr>
        <w:t xml:space="preserve">  </w:t>
      </w:r>
      <w:r w:rsidRPr="00417133">
        <w:rPr>
          <w:sz w:val="20"/>
          <w:szCs w:val="20"/>
        </w:rPr>
        <w:t>The filer portal would be hosted by the vendor. The data inside our firewall we host.</w:t>
      </w:r>
      <w:r w:rsidRPr="00782120">
        <w:rPr>
          <w:sz w:val="20"/>
          <w:szCs w:val="20"/>
        </w:rPr>
        <w:t xml:space="preserve"> </w:t>
      </w:r>
    </w:p>
    <w:p w:rsidR="003405C6" w:rsidRPr="00782120" w:rsidRDefault="003405C6" w:rsidP="009D3974">
      <w:pPr>
        <w:pStyle w:val="ListParagraph"/>
        <w:numPr>
          <w:ilvl w:val="0"/>
          <w:numId w:val="6"/>
        </w:numPr>
        <w:rPr>
          <w:sz w:val="20"/>
          <w:szCs w:val="20"/>
        </w:rPr>
      </w:pPr>
      <w:r w:rsidRPr="00782120">
        <w:rPr>
          <w:sz w:val="20"/>
          <w:szCs w:val="20"/>
        </w:rPr>
        <w:t xml:space="preserve">What about retrieval? Do you envision something with the public and other filers can go in and search cases and retrieve documents? </w:t>
      </w:r>
    </w:p>
    <w:p w:rsidR="003405C6" w:rsidRDefault="003405C6" w:rsidP="009D3974">
      <w:pPr>
        <w:ind w:left="360"/>
        <w:rPr>
          <w:sz w:val="20"/>
          <w:szCs w:val="20"/>
        </w:rPr>
      </w:pPr>
      <w:r w:rsidRPr="00782120">
        <w:rPr>
          <w:b/>
          <w:sz w:val="20"/>
          <w:szCs w:val="20"/>
        </w:rPr>
        <w:t>Answer:</w:t>
      </w:r>
      <w:r w:rsidRPr="00782120">
        <w:rPr>
          <w:sz w:val="20"/>
          <w:szCs w:val="20"/>
        </w:rPr>
        <w:t xml:space="preserve"> </w:t>
      </w:r>
      <w:r w:rsidR="00FD582B">
        <w:rPr>
          <w:sz w:val="20"/>
          <w:szCs w:val="20"/>
        </w:rPr>
        <w:t>Yes, that</w:t>
      </w:r>
      <w:r w:rsidRPr="00782120">
        <w:rPr>
          <w:sz w:val="20"/>
          <w:szCs w:val="20"/>
        </w:rPr>
        <w:t xml:space="preserve"> is a value added service the vendor can offer to the filer. We have a limited access public portal (Second District just developed a mobile app that allows access to limited data), but we don’t have any significant detail that is available on a public portal. We would want to facilitate vendor access to the information so vendor can provide that service to the filer.</w:t>
      </w:r>
    </w:p>
    <w:p w:rsidR="003405C6" w:rsidRPr="00782120" w:rsidRDefault="003405C6" w:rsidP="009D3974">
      <w:pPr>
        <w:pStyle w:val="ListParagraph"/>
        <w:numPr>
          <w:ilvl w:val="0"/>
          <w:numId w:val="6"/>
        </w:numPr>
        <w:rPr>
          <w:sz w:val="20"/>
          <w:szCs w:val="20"/>
        </w:rPr>
      </w:pPr>
      <w:r w:rsidRPr="00782120">
        <w:rPr>
          <w:sz w:val="20"/>
          <w:szCs w:val="20"/>
        </w:rPr>
        <w:t xml:space="preserve"> Financial Settlements – will that be to one account or several?</w:t>
      </w:r>
    </w:p>
    <w:p w:rsidR="003405C6" w:rsidRPr="00782120" w:rsidRDefault="003405C6" w:rsidP="00C57041">
      <w:pPr>
        <w:ind w:left="360"/>
        <w:rPr>
          <w:sz w:val="20"/>
          <w:szCs w:val="20"/>
        </w:rPr>
      </w:pPr>
      <w:r w:rsidRPr="00782120">
        <w:rPr>
          <w:b/>
          <w:sz w:val="20"/>
          <w:szCs w:val="20"/>
        </w:rPr>
        <w:t>Answer:</w:t>
      </w:r>
      <w:r w:rsidRPr="00782120">
        <w:rPr>
          <w:sz w:val="20"/>
          <w:szCs w:val="20"/>
        </w:rPr>
        <w:t xml:space="preserve"> Only one account. We don’t have the fee allocation issue that the trial courts have.</w:t>
      </w:r>
    </w:p>
    <w:p w:rsidR="003405C6" w:rsidRPr="00782120" w:rsidRDefault="003405C6" w:rsidP="00C059FC">
      <w:pPr>
        <w:pStyle w:val="ListParagraph"/>
        <w:jc w:val="center"/>
        <w:rPr>
          <w:rFonts w:cstheme="minorHAnsi"/>
          <w:b/>
          <w:sz w:val="20"/>
          <w:szCs w:val="20"/>
          <w:u w:val="single"/>
        </w:rPr>
      </w:pPr>
    </w:p>
    <w:p w:rsidR="00C059FC" w:rsidRDefault="00C059FC" w:rsidP="00C059FC">
      <w:pPr>
        <w:pStyle w:val="ListParagraph"/>
        <w:jc w:val="center"/>
        <w:rPr>
          <w:rFonts w:cstheme="minorHAnsi"/>
          <w:b/>
          <w:sz w:val="28"/>
          <w:szCs w:val="28"/>
        </w:rPr>
      </w:pPr>
    </w:p>
    <w:p w:rsidR="002929AF" w:rsidRDefault="002929AF">
      <w:pPr>
        <w:autoSpaceDE w:val="0"/>
        <w:autoSpaceDN w:val="0"/>
        <w:spacing w:after="0"/>
        <w:rPr>
          <w:rFonts w:cstheme="minorHAnsi"/>
          <w:b/>
          <w:iCs/>
          <w:sz w:val="28"/>
          <w:szCs w:val="28"/>
        </w:rPr>
      </w:pPr>
    </w:p>
    <w:p w:rsidR="009F5EDC" w:rsidRPr="00D134CF" w:rsidRDefault="00E12E5B" w:rsidP="009F5EDC">
      <w:pPr>
        <w:autoSpaceDE w:val="0"/>
        <w:autoSpaceDN w:val="0"/>
        <w:spacing w:after="0"/>
        <w:jc w:val="center"/>
        <w:rPr>
          <w:rFonts w:cstheme="minorHAnsi"/>
          <w:b/>
          <w:i/>
          <w:iCs/>
          <w:sz w:val="24"/>
          <w:szCs w:val="24"/>
        </w:rPr>
      </w:pPr>
      <w:r w:rsidRPr="00D134CF">
        <w:rPr>
          <w:rFonts w:cstheme="minorHAnsi"/>
          <w:b/>
          <w:i/>
          <w:iCs/>
          <w:sz w:val="24"/>
          <w:szCs w:val="24"/>
        </w:rPr>
        <w:t>END OF DOCUMENT</w:t>
      </w:r>
    </w:p>
    <w:sectPr w:rsidR="009F5EDC" w:rsidRPr="00D134CF" w:rsidSect="00782120">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9F4" w:rsidRDefault="00A449F4" w:rsidP="00FE0549">
      <w:pPr>
        <w:spacing w:after="0" w:line="240" w:lineRule="auto"/>
      </w:pPr>
      <w:r>
        <w:separator/>
      </w:r>
    </w:p>
  </w:endnote>
  <w:endnote w:type="continuationSeparator" w:id="0">
    <w:p w:rsidR="00A449F4" w:rsidRDefault="00A449F4" w:rsidP="00FE0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35656"/>
      <w:docPartObj>
        <w:docPartGallery w:val="Page Numbers (Bottom of Page)"/>
        <w:docPartUnique/>
      </w:docPartObj>
    </w:sdtPr>
    <w:sdtContent>
      <w:p w:rsidR="00A155C8" w:rsidRDefault="002F539C">
        <w:pPr>
          <w:pStyle w:val="Footer"/>
          <w:jc w:val="center"/>
        </w:pPr>
        <w:fldSimple w:instr=" PAGE   \* MERGEFORMAT ">
          <w:r w:rsidR="00D8026E">
            <w:rPr>
              <w:noProof/>
            </w:rPr>
            <w:t>3</w:t>
          </w:r>
        </w:fldSimple>
      </w:p>
    </w:sdtContent>
  </w:sdt>
  <w:p w:rsidR="00A155C8" w:rsidRDefault="00A155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9F4" w:rsidRDefault="00A449F4" w:rsidP="00FE0549">
      <w:pPr>
        <w:spacing w:after="0" w:line="240" w:lineRule="auto"/>
      </w:pPr>
      <w:r>
        <w:separator/>
      </w:r>
    </w:p>
  </w:footnote>
  <w:footnote w:type="continuationSeparator" w:id="0">
    <w:p w:rsidR="00A449F4" w:rsidRDefault="00A449F4" w:rsidP="00FE05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DDA"/>
    <w:multiLevelType w:val="hybridMultilevel"/>
    <w:tmpl w:val="FA2874DC"/>
    <w:lvl w:ilvl="0" w:tplc="04090001">
      <w:start w:val="1"/>
      <w:numFmt w:val="bullet"/>
      <w:lvlText w:val=""/>
      <w:lvlJc w:val="left"/>
      <w:pPr>
        <w:ind w:left="720" w:hanging="360"/>
      </w:pPr>
      <w:rPr>
        <w:rFonts w:ascii="Symbol" w:hAnsi="Symbol" w:hint="default"/>
        <w:b/>
        <w:sz w:val="24"/>
        <w:szCs w:val="24"/>
      </w:rPr>
    </w:lvl>
    <w:lvl w:ilvl="1" w:tplc="148EC83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E0C0F"/>
    <w:multiLevelType w:val="hybridMultilevel"/>
    <w:tmpl w:val="88767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890BA4"/>
    <w:multiLevelType w:val="hybridMultilevel"/>
    <w:tmpl w:val="A8042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D63073B"/>
    <w:multiLevelType w:val="hybridMultilevel"/>
    <w:tmpl w:val="7F44C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5118DF"/>
    <w:multiLevelType w:val="hybridMultilevel"/>
    <w:tmpl w:val="104CB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02537B"/>
    <w:multiLevelType w:val="hybridMultilevel"/>
    <w:tmpl w:val="AD74B550"/>
    <w:lvl w:ilvl="0" w:tplc="055E2362">
      <w:start w:val="1"/>
      <w:numFmt w:val="decimal"/>
      <w:lvlText w:val="%1."/>
      <w:lvlJc w:val="left"/>
      <w:pPr>
        <w:ind w:left="720" w:hanging="360"/>
      </w:pPr>
      <w:rPr>
        <w:b/>
        <w:sz w:val="24"/>
        <w:szCs w:val="24"/>
      </w:rPr>
    </w:lvl>
    <w:lvl w:ilvl="1" w:tplc="148EC83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9438E"/>
    <w:multiLevelType w:val="hybridMultilevel"/>
    <w:tmpl w:val="2AA0ABF6"/>
    <w:lvl w:ilvl="0" w:tplc="4F5E17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011B3E"/>
    <w:multiLevelType w:val="hybridMultilevel"/>
    <w:tmpl w:val="A9360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C235C6C"/>
    <w:multiLevelType w:val="hybridMultilevel"/>
    <w:tmpl w:val="EE1064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AB7F3B"/>
    <w:multiLevelType w:val="hybridMultilevel"/>
    <w:tmpl w:val="A420F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AF0BAA"/>
    <w:multiLevelType w:val="hybridMultilevel"/>
    <w:tmpl w:val="4AB467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5A2BF6"/>
    <w:multiLevelType w:val="hybridMultilevel"/>
    <w:tmpl w:val="9214B0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B46095D"/>
    <w:multiLevelType w:val="hybridMultilevel"/>
    <w:tmpl w:val="B8647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54C84"/>
    <w:multiLevelType w:val="hybridMultilevel"/>
    <w:tmpl w:val="A420F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B565A2"/>
    <w:multiLevelType w:val="hybridMultilevel"/>
    <w:tmpl w:val="31C020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D444056"/>
    <w:multiLevelType w:val="hybridMultilevel"/>
    <w:tmpl w:val="EE889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07488D"/>
    <w:multiLevelType w:val="hybridMultilevel"/>
    <w:tmpl w:val="24F887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3F876F5"/>
    <w:multiLevelType w:val="hybridMultilevel"/>
    <w:tmpl w:val="EF761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5E2358"/>
    <w:multiLevelType w:val="multilevel"/>
    <w:tmpl w:val="02EC80AE"/>
    <w:lvl w:ilvl="0">
      <w:start w:val="3"/>
      <w:numFmt w:val="decimal"/>
      <w:pStyle w:val="Num-Heading1"/>
      <w:lvlText w:val="%1.0"/>
      <w:lvlJc w:val="left"/>
      <w:pPr>
        <w:tabs>
          <w:tab w:val="num" w:pos="720"/>
        </w:tabs>
        <w:ind w:left="720" w:hanging="720"/>
      </w:pPr>
      <w:rPr>
        <w:rFonts w:ascii="Calibri" w:hAnsi="Calibri" w:hint="default"/>
        <w:b/>
        <w:i w:val="0"/>
        <w:sz w:val="22"/>
        <w:szCs w:val="22"/>
      </w:rPr>
    </w:lvl>
    <w:lvl w:ilvl="1">
      <w:start w:val="1"/>
      <w:numFmt w:val="decimal"/>
      <w:pStyle w:val="Num-Heading2"/>
      <w:lvlText w:val="%1.%2"/>
      <w:lvlJc w:val="left"/>
      <w:pPr>
        <w:tabs>
          <w:tab w:val="num" w:pos="720"/>
        </w:tabs>
        <w:ind w:left="720" w:hanging="720"/>
      </w:pPr>
      <w:rPr>
        <w:rFonts w:ascii="Calibri" w:hAnsi="Calibri" w:hint="default"/>
        <w:b/>
        <w:i w:val="0"/>
        <w:spacing w:val="10"/>
        <w:sz w:val="22"/>
        <w:szCs w:val="22"/>
      </w:rPr>
    </w:lvl>
    <w:lvl w:ilvl="2">
      <w:start w:val="1"/>
      <w:numFmt w:val="decimal"/>
      <w:pStyle w:val="Num-Heading3"/>
      <w:lvlText w:val="%1.%2.%3"/>
      <w:lvlJc w:val="left"/>
      <w:pPr>
        <w:tabs>
          <w:tab w:val="num" w:pos="907"/>
        </w:tabs>
        <w:ind w:left="907" w:hanging="907"/>
      </w:pPr>
      <w:rPr>
        <w:rFonts w:ascii="Calibri" w:hAnsi="Calibri" w:hint="default"/>
        <w:b/>
        <w:i w:val="0"/>
        <w:sz w:val="22"/>
        <w:szCs w:val="22"/>
      </w:rPr>
    </w:lvl>
    <w:lvl w:ilvl="3">
      <w:start w:val="1"/>
      <w:numFmt w:val="decimal"/>
      <w:pStyle w:val="Num-Heading4"/>
      <w:lvlText w:val="%1.%2.%3.%4"/>
      <w:lvlJc w:val="left"/>
      <w:pPr>
        <w:tabs>
          <w:tab w:val="num" w:pos="994"/>
        </w:tabs>
        <w:ind w:left="994" w:hanging="994"/>
      </w:pPr>
      <w:rPr>
        <w:rFonts w:ascii="Arial" w:hAnsi="Arial" w:hint="default"/>
        <w:b/>
        <w:i/>
        <w:sz w:val="24"/>
      </w:rPr>
    </w:lvl>
    <w:lvl w:ilvl="4">
      <w:start w:val="1"/>
      <w:numFmt w:val="decimal"/>
      <w:pStyle w:val="Num-Heading5"/>
      <w:lvlText w:val="%1.%2.%3.%4.%5"/>
      <w:lvlJc w:val="left"/>
      <w:pPr>
        <w:tabs>
          <w:tab w:val="num" w:pos="1166"/>
        </w:tabs>
        <w:ind w:left="1166" w:hanging="1166"/>
      </w:pPr>
      <w:rPr>
        <w:rFonts w:ascii="Arial" w:hAnsi="Arial" w:hint="default"/>
        <w:b w:val="0"/>
        <w:i/>
        <w:sz w:val="24"/>
        <w:u w:val="non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num w:numId="1">
    <w:abstractNumId w:val="12"/>
  </w:num>
  <w:num w:numId="2">
    <w:abstractNumId w:val="5"/>
  </w:num>
  <w:num w:numId="3">
    <w:abstractNumId w:val="13"/>
  </w:num>
  <w:num w:numId="4">
    <w:abstractNumId w:val="9"/>
  </w:num>
  <w:num w:numId="5">
    <w:abstractNumId w:val="0"/>
  </w:num>
  <w:num w:numId="6">
    <w:abstractNumId w:val="6"/>
  </w:num>
  <w:num w:numId="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14"/>
  </w:num>
  <w:num w:numId="17">
    <w:abstractNumId w:val="8"/>
  </w:num>
  <w:num w:numId="18">
    <w:abstractNumId w:val="15"/>
  </w:num>
  <w:num w:numId="19">
    <w:abstractNumId w:val="1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53250"/>
  </w:hdrShapeDefaults>
  <w:footnotePr>
    <w:footnote w:id="-1"/>
    <w:footnote w:id="0"/>
  </w:footnotePr>
  <w:endnotePr>
    <w:endnote w:id="-1"/>
    <w:endnote w:id="0"/>
  </w:endnotePr>
  <w:compat/>
  <w:rsids>
    <w:rsidRoot w:val="00C04321"/>
    <w:rsid w:val="0000544A"/>
    <w:rsid w:val="00025705"/>
    <w:rsid w:val="00050FBB"/>
    <w:rsid w:val="00051F4F"/>
    <w:rsid w:val="00056AE0"/>
    <w:rsid w:val="00060538"/>
    <w:rsid w:val="00070238"/>
    <w:rsid w:val="00081727"/>
    <w:rsid w:val="000879CC"/>
    <w:rsid w:val="00092A57"/>
    <w:rsid w:val="000A0694"/>
    <w:rsid w:val="000A0BBA"/>
    <w:rsid w:val="000A3734"/>
    <w:rsid w:val="000E4094"/>
    <w:rsid w:val="000E4157"/>
    <w:rsid w:val="000F1663"/>
    <w:rsid w:val="00103B32"/>
    <w:rsid w:val="0011031D"/>
    <w:rsid w:val="0011744E"/>
    <w:rsid w:val="001240B7"/>
    <w:rsid w:val="00136D1C"/>
    <w:rsid w:val="001447E2"/>
    <w:rsid w:val="0015526A"/>
    <w:rsid w:val="0015592E"/>
    <w:rsid w:val="00165D52"/>
    <w:rsid w:val="00170529"/>
    <w:rsid w:val="00170C73"/>
    <w:rsid w:val="00171115"/>
    <w:rsid w:val="00172E85"/>
    <w:rsid w:val="00182599"/>
    <w:rsid w:val="00191BF0"/>
    <w:rsid w:val="001A3F4A"/>
    <w:rsid w:val="001A5DE3"/>
    <w:rsid w:val="001A6664"/>
    <w:rsid w:val="001D5699"/>
    <w:rsid w:val="001E0711"/>
    <w:rsid w:val="001F16E0"/>
    <w:rsid w:val="001F5996"/>
    <w:rsid w:val="0020208C"/>
    <w:rsid w:val="00205BCD"/>
    <w:rsid w:val="00222215"/>
    <w:rsid w:val="00226594"/>
    <w:rsid w:val="00226F9D"/>
    <w:rsid w:val="00240EAB"/>
    <w:rsid w:val="0025492B"/>
    <w:rsid w:val="00270163"/>
    <w:rsid w:val="00271FAC"/>
    <w:rsid w:val="002809E9"/>
    <w:rsid w:val="00282AA2"/>
    <w:rsid w:val="002929AF"/>
    <w:rsid w:val="002931C4"/>
    <w:rsid w:val="00294496"/>
    <w:rsid w:val="002946E4"/>
    <w:rsid w:val="00294AD1"/>
    <w:rsid w:val="002A6D36"/>
    <w:rsid w:val="002A75B8"/>
    <w:rsid w:val="002C3BA5"/>
    <w:rsid w:val="002F4B0F"/>
    <w:rsid w:val="002F539C"/>
    <w:rsid w:val="003116BC"/>
    <w:rsid w:val="003405C6"/>
    <w:rsid w:val="0034089A"/>
    <w:rsid w:val="00347721"/>
    <w:rsid w:val="00350445"/>
    <w:rsid w:val="00351780"/>
    <w:rsid w:val="00353829"/>
    <w:rsid w:val="00361AEC"/>
    <w:rsid w:val="0036279C"/>
    <w:rsid w:val="003648EE"/>
    <w:rsid w:val="003672CE"/>
    <w:rsid w:val="003767DE"/>
    <w:rsid w:val="00387214"/>
    <w:rsid w:val="00397B99"/>
    <w:rsid w:val="003A0DEE"/>
    <w:rsid w:val="003A2A85"/>
    <w:rsid w:val="003A7F27"/>
    <w:rsid w:val="003B4270"/>
    <w:rsid w:val="003C7262"/>
    <w:rsid w:val="003D37B0"/>
    <w:rsid w:val="003E11F0"/>
    <w:rsid w:val="003E456A"/>
    <w:rsid w:val="00410B70"/>
    <w:rsid w:val="00417133"/>
    <w:rsid w:val="00421D82"/>
    <w:rsid w:val="0044782C"/>
    <w:rsid w:val="00454893"/>
    <w:rsid w:val="00472D92"/>
    <w:rsid w:val="00490A1E"/>
    <w:rsid w:val="00497B6A"/>
    <w:rsid w:val="004A2514"/>
    <w:rsid w:val="004B2CA1"/>
    <w:rsid w:val="004B2F07"/>
    <w:rsid w:val="004B2F21"/>
    <w:rsid w:val="004B4474"/>
    <w:rsid w:val="004D1643"/>
    <w:rsid w:val="004D1B9C"/>
    <w:rsid w:val="004E0E7A"/>
    <w:rsid w:val="004F3ADD"/>
    <w:rsid w:val="00502FD5"/>
    <w:rsid w:val="00507CBF"/>
    <w:rsid w:val="00521A3B"/>
    <w:rsid w:val="005300C2"/>
    <w:rsid w:val="005312C7"/>
    <w:rsid w:val="005418DB"/>
    <w:rsid w:val="00544F51"/>
    <w:rsid w:val="00546E29"/>
    <w:rsid w:val="00554713"/>
    <w:rsid w:val="00590C1A"/>
    <w:rsid w:val="00596A45"/>
    <w:rsid w:val="005A00A6"/>
    <w:rsid w:val="005A2863"/>
    <w:rsid w:val="005A37BE"/>
    <w:rsid w:val="005D3B09"/>
    <w:rsid w:val="005D4BF0"/>
    <w:rsid w:val="005E2593"/>
    <w:rsid w:val="005F22D2"/>
    <w:rsid w:val="005F5D6D"/>
    <w:rsid w:val="00600249"/>
    <w:rsid w:val="00601E00"/>
    <w:rsid w:val="00601EDF"/>
    <w:rsid w:val="00611E8C"/>
    <w:rsid w:val="00612E9B"/>
    <w:rsid w:val="006172BE"/>
    <w:rsid w:val="00631994"/>
    <w:rsid w:val="00633B56"/>
    <w:rsid w:val="00637CCD"/>
    <w:rsid w:val="00643FC4"/>
    <w:rsid w:val="00647E79"/>
    <w:rsid w:val="006625BD"/>
    <w:rsid w:val="006625D8"/>
    <w:rsid w:val="006632F5"/>
    <w:rsid w:val="00665C10"/>
    <w:rsid w:val="00667232"/>
    <w:rsid w:val="00687F17"/>
    <w:rsid w:val="006C070B"/>
    <w:rsid w:val="006C447A"/>
    <w:rsid w:val="006D5951"/>
    <w:rsid w:val="006E2CE2"/>
    <w:rsid w:val="006E38B6"/>
    <w:rsid w:val="006E5C83"/>
    <w:rsid w:val="006E74B7"/>
    <w:rsid w:val="006F31E9"/>
    <w:rsid w:val="006F37CE"/>
    <w:rsid w:val="006F6D59"/>
    <w:rsid w:val="00717562"/>
    <w:rsid w:val="007206C9"/>
    <w:rsid w:val="00725B92"/>
    <w:rsid w:val="00726BFF"/>
    <w:rsid w:val="00736D9C"/>
    <w:rsid w:val="00737518"/>
    <w:rsid w:val="0074218D"/>
    <w:rsid w:val="007526A4"/>
    <w:rsid w:val="00773822"/>
    <w:rsid w:val="00782120"/>
    <w:rsid w:val="007857DF"/>
    <w:rsid w:val="00785C7B"/>
    <w:rsid w:val="00792227"/>
    <w:rsid w:val="00792348"/>
    <w:rsid w:val="007A07DF"/>
    <w:rsid w:val="007A69FA"/>
    <w:rsid w:val="007B6949"/>
    <w:rsid w:val="007C5988"/>
    <w:rsid w:val="007E10E1"/>
    <w:rsid w:val="007E3012"/>
    <w:rsid w:val="008025AA"/>
    <w:rsid w:val="00811D30"/>
    <w:rsid w:val="00826A7A"/>
    <w:rsid w:val="00826AD4"/>
    <w:rsid w:val="00832000"/>
    <w:rsid w:val="00843973"/>
    <w:rsid w:val="008503AA"/>
    <w:rsid w:val="008513C8"/>
    <w:rsid w:val="00854852"/>
    <w:rsid w:val="0085748D"/>
    <w:rsid w:val="0086045A"/>
    <w:rsid w:val="00863C14"/>
    <w:rsid w:val="008906B1"/>
    <w:rsid w:val="00892FF4"/>
    <w:rsid w:val="0089692C"/>
    <w:rsid w:val="008A5FE3"/>
    <w:rsid w:val="008B4682"/>
    <w:rsid w:val="008C1750"/>
    <w:rsid w:val="008D021F"/>
    <w:rsid w:val="008D0746"/>
    <w:rsid w:val="008D149C"/>
    <w:rsid w:val="008D3345"/>
    <w:rsid w:val="008D4F5B"/>
    <w:rsid w:val="008D6702"/>
    <w:rsid w:val="008D7D19"/>
    <w:rsid w:val="008F28B9"/>
    <w:rsid w:val="008F3E54"/>
    <w:rsid w:val="009007C2"/>
    <w:rsid w:val="009112E6"/>
    <w:rsid w:val="009123D0"/>
    <w:rsid w:val="009208AC"/>
    <w:rsid w:val="0095066D"/>
    <w:rsid w:val="00954E16"/>
    <w:rsid w:val="00956376"/>
    <w:rsid w:val="009566F5"/>
    <w:rsid w:val="0096084D"/>
    <w:rsid w:val="0097714F"/>
    <w:rsid w:val="00985832"/>
    <w:rsid w:val="009861CC"/>
    <w:rsid w:val="00986A3D"/>
    <w:rsid w:val="009928BD"/>
    <w:rsid w:val="0099634E"/>
    <w:rsid w:val="009A3634"/>
    <w:rsid w:val="009B5F57"/>
    <w:rsid w:val="009D3974"/>
    <w:rsid w:val="009D4D2A"/>
    <w:rsid w:val="009D74FF"/>
    <w:rsid w:val="009E1ABB"/>
    <w:rsid w:val="009E61B2"/>
    <w:rsid w:val="009F5EDC"/>
    <w:rsid w:val="00A10A3E"/>
    <w:rsid w:val="00A155C8"/>
    <w:rsid w:val="00A15ADC"/>
    <w:rsid w:val="00A449F4"/>
    <w:rsid w:val="00A53E26"/>
    <w:rsid w:val="00A60680"/>
    <w:rsid w:val="00A67AEF"/>
    <w:rsid w:val="00A77CC8"/>
    <w:rsid w:val="00A80806"/>
    <w:rsid w:val="00A813F2"/>
    <w:rsid w:val="00AC1CE0"/>
    <w:rsid w:val="00AC6E48"/>
    <w:rsid w:val="00AD07B5"/>
    <w:rsid w:val="00AD0B58"/>
    <w:rsid w:val="00AD660F"/>
    <w:rsid w:val="00AE2379"/>
    <w:rsid w:val="00B04471"/>
    <w:rsid w:val="00B22647"/>
    <w:rsid w:val="00B319F2"/>
    <w:rsid w:val="00B35DAE"/>
    <w:rsid w:val="00B37F4B"/>
    <w:rsid w:val="00B40AE7"/>
    <w:rsid w:val="00B43752"/>
    <w:rsid w:val="00B57F8D"/>
    <w:rsid w:val="00B63A88"/>
    <w:rsid w:val="00B66E67"/>
    <w:rsid w:val="00B7793F"/>
    <w:rsid w:val="00B91BD9"/>
    <w:rsid w:val="00BA36A6"/>
    <w:rsid w:val="00BC67A0"/>
    <w:rsid w:val="00BD1B85"/>
    <w:rsid w:val="00BE5524"/>
    <w:rsid w:val="00C04321"/>
    <w:rsid w:val="00C0591C"/>
    <w:rsid w:val="00C059FC"/>
    <w:rsid w:val="00C0698D"/>
    <w:rsid w:val="00C23239"/>
    <w:rsid w:val="00C37974"/>
    <w:rsid w:val="00C40C49"/>
    <w:rsid w:val="00C471AB"/>
    <w:rsid w:val="00C51197"/>
    <w:rsid w:val="00C57041"/>
    <w:rsid w:val="00C74F39"/>
    <w:rsid w:val="00C97DF1"/>
    <w:rsid w:val="00CA5070"/>
    <w:rsid w:val="00CB59BF"/>
    <w:rsid w:val="00CD337E"/>
    <w:rsid w:val="00CE3ECE"/>
    <w:rsid w:val="00CF1C52"/>
    <w:rsid w:val="00CF478B"/>
    <w:rsid w:val="00CF5505"/>
    <w:rsid w:val="00CF7D19"/>
    <w:rsid w:val="00D134CF"/>
    <w:rsid w:val="00D2144F"/>
    <w:rsid w:val="00D2408B"/>
    <w:rsid w:val="00D26FEE"/>
    <w:rsid w:val="00D32989"/>
    <w:rsid w:val="00D56685"/>
    <w:rsid w:val="00D6122E"/>
    <w:rsid w:val="00D67340"/>
    <w:rsid w:val="00D70831"/>
    <w:rsid w:val="00D72239"/>
    <w:rsid w:val="00D75E45"/>
    <w:rsid w:val="00D77431"/>
    <w:rsid w:val="00D8026E"/>
    <w:rsid w:val="00DA1040"/>
    <w:rsid w:val="00DB1BDF"/>
    <w:rsid w:val="00DB215F"/>
    <w:rsid w:val="00DB5F78"/>
    <w:rsid w:val="00DC6CCB"/>
    <w:rsid w:val="00DD34CF"/>
    <w:rsid w:val="00DE4572"/>
    <w:rsid w:val="00DE66A8"/>
    <w:rsid w:val="00DE7A4B"/>
    <w:rsid w:val="00DF01CC"/>
    <w:rsid w:val="00DF79C8"/>
    <w:rsid w:val="00E100F7"/>
    <w:rsid w:val="00E12E5B"/>
    <w:rsid w:val="00E30F11"/>
    <w:rsid w:val="00E32984"/>
    <w:rsid w:val="00E537B0"/>
    <w:rsid w:val="00E61D9B"/>
    <w:rsid w:val="00EB2316"/>
    <w:rsid w:val="00EB3E17"/>
    <w:rsid w:val="00EC4305"/>
    <w:rsid w:val="00ED0260"/>
    <w:rsid w:val="00EE3E67"/>
    <w:rsid w:val="00EF5F8E"/>
    <w:rsid w:val="00F15D84"/>
    <w:rsid w:val="00F1729E"/>
    <w:rsid w:val="00F21001"/>
    <w:rsid w:val="00F24611"/>
    <w:rsid w:val="00F36809"/>
    <w:rsid w:val="00F36F69"/>
    <w:rsid w:val="00F71172"/>
    <w:rsid w:val="00F81F94"/>
    <w:rsid w:val="00F930C5"/>
    <w:rsid w:val="00FB4F38"/>
    <w:rsid w:val="00FB6402"/>
    <w:rsid w:val="00FC5B55"/>
    <w:rsid w:val="00FD582B"/>
    <w:rsid w:val="00FE0549"/>
    <w:rsid w:val="00FE1BF0"/>
    <w:rsid w:val="00FE306C"/>
    <w:rsid w:val="00FE4308"/>
    <w:rsid w:val="00FE4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26"/>
  </w:style>
  <w:style w:type="paragraph" w:styleId="Heading1">
    <w:name w:val="heading 1"/>
    <w:basedOn w:val="Normal"/>
    <w:next w:val="Normal"/>
    <w:link w:val="Heading1Char"/>
    <w:uiPriority w:val="9"/>
    <w:qFormat/>
    <w:rsid w:val="006F6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08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08A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F6D5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F6D59"/>
    <w:pPr>
      <w:ind w:left="720"/>
      <w:contextualSpacing/>
    </w:pPr>
  </w:style>
  <w:style w:type="table" w:styleId="TableGrid">
    <w:name w:val="Table Grid"/>
    <w:basedOn w:val="TableNormal"/>
    <w:uiPriority w:val="59"/>
    <w:rsid w:val="00170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F31E9"/>
    <w:rPr>
      <w:sz w:val="18"/>
      <w:szCs w:val="18"/>
    </w:rPr>
  </w:style>
  <w:style w:type="paragraph" w:styleId="CommentText">
    <w:name w:val="annotation text"/>
    <w:basedOn w:val="Normal"/>
    <w:link w:val="CommentTextChar"/>
    <w:uiPriority w:val="99"/>
    <w:semiHidden/>
    <w:unhideWhenUsed/>
    <w:rsid w:val="006F31E9"/>
    <w:pPr>
      <w:spacing w:line="240" w:lineRule="auto"/>
    </w:pPr>
    <w:rPr>
      <w:sz w:val="24"/>
      <w:szCs w:val="24"/>
    </w:rPr>
  </w:style>
  <w:style w:type="character" w:customStyle="1" w:styleId="CommentTextChar">
    <w:name w:val="Comment Text Char"/>
    <w:basedOn w:val="DefaultParagraphFont"/>
    <w:link w:val="CommentText"/>
    <w:uiPriority w:val="99"/>
    <w:semiHidden/>
    <w:rsid w:val="006F31E9"/>
    <w:rPr>
      <w:sz w:val="24"/>
      <w:szCs w:val="24"/>
    </w:rPr>
  </w:style>
  <w:style w:type="paragraph" w:styleId="CommentSubject">
    <w:name w:val="annotation subject"/>
    <w:basedOn w:val="CommentText"/>
    <w:next w:val="CommentText"/>
    <w:link w:val="CommentSubjectChar"/>
    <w:uiPriority w:val="99"/>
    <w:semiHidden/>
    <w:unhideWhenUsed/>
    <w:rsid w:val="006F31E9"/>
    <w:rPr>
      <w:b/>
      <w:bCs/>
      <w:sz w:val="20"/>
      <w:szCs w:val="20"/>
    </w:rPr>
  </w:style>
  <w:style w:type="character" w:customStyle="1" w:styleId="CommentSubjectChar">
    <w:name w:val="Comment Subject Char"/>
    <w:basedOn w:val="CommentTextChar"/>
    <w:link w:val="CommentSubject"/>
    <w:uiPriority w:val="99"/>
    <w:semiHidden/>
    <w:rsid w:val="006F31E9"/>
    <w:rPr>
      <w:b/>
      <w:bCs/>
      <w:sz w:val="20"/>
      <w:szCs w:val="20"/>
    </w:rPr>
  </w:style>
  <w:style w:type="paragraph" w:styleId="BalloonText">
    <w:name w:val="Balloon Text"/>
    <w:basedOn w:val="Normal"/>
    <w:link w:val="BalloonTextChar"/>
    <w:uiPriority w:val="99"/>
    <w:semiHidden/>
    <w:unhideWhenUsed/>
    <w:rsid w:val="006F31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1E9"/>
    <w:rPr>
      <w:rFonts w:ascii="Lucida Grande" w:hAnsi="Lucida Grande" w:cs="Lucida Grande"/>
      <w:sz w:val="18"/>
      <w:szCs w:val="18"/>
    </w:rPr>
  </w:style>
  <w:style w:type="paragraph" w:customStyle="1" w:styleId="Default">
    <w:name w:val="Default"/>
    <w:rsid w:val="007E301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60538"/>
    <w:rPr>
      <w:color w:val="0000FF"/>
      <w:u w:val="single"/>
    </w:rPr>
  </w:style>
  <w:style w:type="paragraph" w:styleId="PlainText">
    <w:name w:val="Plain Text"/>
    <w:basedOn w:val="Normal"/>
    <w:link w:val="PlainTextChar"/>
    <w:uiPriority w:val="99"/>
    <w:semiHidden/>
    <w:unhideWhenUsed/>
    <w:rsid w:val="008025A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025AA"/>
    <w:rPr>
      <w:rFonts w:ascii="Consolas" w:hAnsi="Consolas" w:cs="Consolas"/>
      <w:sz w:val="21"/>
      <w:szCs w:val="21"/>
    </w:rPr>
  </w:style>
  <w:style w:type="paragraph" w:styleId="Header">
    <w:name w:val="header"/>
    <w:basedOn w:val="Normal"/>
    <w:link w:val="HeaderChar"/>
    <w:uiPriority w:val="99"/>
    <w:semiHidden/>
    <w:unhideWhenUsed/>
    <w:rsid w:val="00FE05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0549"/>
  </w:style>
  <w:style w:type="paragraph" w:styleId="Footer">
    <w:name w:val="footer"/>
    <w:basedOn w:val="Normal"/>
    <w:link w:val="FooterChar"/>
    <w:uiPriority w:val="99"/>
    <w:unhideWhenUsed/>
    <w:rsid w:val="00FE0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549"/>
  </w:style>
  <w:style w:type="character" w:styleId="Strong">
    <w:name w:val="Strong"/>
    <w:basedOn w:val="DefaultParagraphFont"/>
    <w:uiPriority w:val="22"/>
    <w:qFormat/>
    <w:rsid w:val="00271FAC"/>
    <w:rPr>
      <w:b/>
      <w:bCs/>
    </w:rPr>
  </w:style>
  <w:style w:type="paragraph" w:customStyle="1" w:styleId="JCCReportCoverSubhead">
    <w:name w:val="JCC Report Cover Subhead"/>
    <w:basedOn w:val="Normal"/>
    <w:rsid w:val="000A0BBA"/>
    <w:pPr>
      <w:spacing w:after="0" w:line="400" w:lineRule="atLeast"/>
    </w:pPr>
    <w:rPr>
      <w:rFonts w:ascii="Goudy Old Style" w:eastAsia="Times New Roman" w:hAnsi="Goudy Old Style" w:cs="Times New Roman"/>
      <w:caps/>
      <w:spacing w:val="20"/>
      <w:sz w:val="28"/>
      <w:szCs w:val="24"/>
    </w:rPr>
  </w:style>
  <w:style w:type="paragraph" w:customStyle="1" w:styleId="Num-Heading1">
    <w:name w:val="Num-Heading 1"/>
    <w:basedOn w:val="Normal"/>
    <w:next w:val="Normal"/>
    <w:rsid w:val="00351780"/>
    <w:pPr>
      <w:keepNext/>
      <w:pageBreakBefore/>
      <w:numPr>
        <w:numId w:val="11"/>
      </w:numPr>
      <w:spacing w:before="240" w:after="120" w:line="240" w:lineRule="auto"/>
      <w:outlineLvl w:val="0"/>
    </w:pPr>
    <w:rPr>
      <w:rFonts w:ascii="Arial" w:eastAsia="MS Mincho" w:hAnsi="Arial" w:cs="Times New Roman"/>
      <w:b/>
      <w:sz w:val="32"/>
      <w:szCs w:val="24"/>
      <w:lang w:eastAsia="ja-JP"/>
    </w:rPr>
  </w:style>
  <w:style w:type="paragraph" w:customStyle="1" w:styleId="Num-Heading2">
    <w:name w:val="Num-Heading 2"/>
    <w:basedOn w:val="Normal"/>
    <w:next w:val="Normal"/>
    <w:rsid w:val="00351780"/>
    <w:pPr>
      <w:keepNext/>
      <w:numPr>
        <w:ilvl w:val="1"/>
        <w:numId w:val="11"/>
      </w:numPr>
      <w:spacing w:before="240" w:after="120" w:line="240" w:lineRule="auto"/>
      <w:outlineLvl w:val="1"/>
    </w:pPr>
    <w:rPr>
      <w:rFonts w:ascii="Arial" w:eastAsia="MS Mincho" w:hAnsi="Arial" w:cs="Times New Roman"/>
      <w:b/>
      <w:spacing w:val="10"/>
      <w:sz w:val="28"/>
      <w:szCs w:val="24"/>
      <w:lang w:eastAsia="ja-JP"/>
    </w:rPr>
  </w:style>
  <w:style w:type="paragraph" w:customStyle="1" w:styleId="Num-Heading3">
    <w:name w:val="Num-Heading 3"/>
    <w:basedOn w:val="Normal"/>
    <w:next w:val="Normal"/>
    <w:rsid w:val="00351780"/>
    <w:pPr>
      <w:keepNext/>
      <w:numPr>
        <w:ilvl w:val="2"/>
        <w:numId w:val="11"/>
      </w:numPr>
      <w:spacing w:before="240" w:after="120" w:line="240" w:lineRule="auto"/>
      <w:outlineLvl w:val="2"/>
    </w:pPr>
    <w:rPr>
      <w:rFonts w:ascii="Arial" w:eastAsia="MS Mincho" w:hAnsi="Arial" w:cs="Times New Roman"/>
      <w:b/>
      <w:sz w:val="24"/>
      <w:szCs w:val="24"/>
      <w:lang w:eastAsia="ja-JP"/>
    </w:rPr>
  </w:style>
  <w:style w:type="paragraph" w:customStyle="1" w:styleId="Num-Heading4">
    <w:name w:val="Num-Heading 4"/>
    <w:basedOn w:val="Normal"/>
    <w:next w:val="Normal"/>
    <w:rsid w:val="00351780"/>
    <w:pPr>
      <w:keepNext/>
      <w:numPr>
        <w:ilvl w:val="3"/>
        <w:numId w:val="11"/>
      </w:numPr>
      <w:spacing w:before="240" w:after="120" w:line="240" w:lineRule="auto"/>
      <w:outlineLvl w:val="3"/>
    </w:pPr>
    <w:rPr>
      <w:rFonts w:ascii="Arial" w:eastAsia="MS Mincho" w:hAnsi="Arial" w:cs="Times New Roman"/>
      <w:b/>
      <w:i/>
      <w:sz w:val="24"/>
      <w:szCs w:val="24"/>
      <w:lang w:eastAsia="ja-JP"/>
    </w:rPr>
  </w:style>
  <w:style w:type="paragraph" w:customStyle="1" w:styleId="Num-Heading5">
    <w:name w:val="Num-Heading 5"/>
    <w:basedOn w:val="Normal"/>
    <w:next w:val="Normal"/>
    <w:rsid w:val="00351780"/>
    <w:pPr>
      <w:keepNext/>
      <w:numPr>
        <w:ilvl w:val="4"/>
        <w:numId w:val="11"/>
      </w:numPr>
      <w:spacing w:before="240" w:after="120" w:line="240" w:lineRule="auto"/>
      <w:outlineLvl w:val="4"/>
    </w:pPr>
    <w:rPr>
      <w:rFonts w:ascii="Arial" w:eastAsia="MS Mincho" w:hAnsi="Arial" w:cs="Times New Roman"/>
      <w:i/>
      <w:sz w:val="24"/>
      <w:szCs w:val="24"/>
      <w:lang w:eastAsia="ja-JP"/>
    </w:rPr>
  </w:style>
  <w:style w:type="paragraph" w:customStyle="1" w:styleId="Num-Heading6">
    <w:name w:val="Num-Heading 6"/>
    <w:basedOn w:val="Normal"/>
    <w:next w:val="Normal"/>
    <w:rsid w:val="00351780"/>
    <w:pPr>
      <w:keepNext/>
      <w:numPr>
        <w:ilvl w:val="5"/>
        <w:numId w:val="11"/>
      </w:numPr>
      <w:spacing w:before="240" w:after="120" w:line="240" w:lineRule="auto"/>
      <w:outlineLvl w:val="5"/>
    </w:pPr>
    <w:rPr>
      <w:rFonts w:ascii="Arial" w:eastAsia="MS Mincho" w:hAnsi="Arial" w:cs="Times New Roman"/>
      <w:sz w:val="24"/>
      <w:szCs w:val="24"/>
      <w:lang w:eastAsia="ja-JP"/>
    </w:rPr>
  </w:style>
  <w:style w:type="paragraph" w:customStyle="1" w:styleId="Num-Heading7">
    <w:name w:val="Num-Heading 7"/>
    <w:basedOn w:val="Normal"/>
    <w:next w:val="Normal"/>
    <w:rsid w:val="00351780"/>
    <w:pPr>
      <w:keepNext/>
      <w:numPr>
        <w:ilvl w:val="6"/>
        <w:numId w:val="11"/>
      </w:numPr>
      <w:spacing w:before="240" w:after="120" w:line="240" w:lineRule="auto"/>
      <w:outlineLvl w:val="6"/>
    </w:pPr>
    <w:rPr>
      <w:rFonts w:ascii="Arial" w:eastAsia="MS Mincho" w:hAnsi="Arial" w:cs="Times New Roman"/>
      <w:i/>
      <w:sz w:val="24"/>
      <w:szCs w:val="24"/>
      <w:lang w:eastAsia="ja-JP"/>
    </w:rPr>
  </w:style>
  <w:style w:type="paragraph" w:customStyle="1" w:styleId="Num-Heading8">
    <w:name w:val="Num-Heading 8"/>
    <w:basedOn w:val="Normal"/>
    <w:next w:val="Normal"/>
    <w:rsid w:val="00351780"/>
    <w:pPr>
      <w:keepNext/>
      <w:numPr>
        <w:ilvl w:val="7"/>
        <w:numId w:val="11"/>
      </w:numPr>
      <w:spacing w:before="240" w:after="120" w:line="240" w:lineRule="auto"/>
      <w:outlineLvl w:val="7"/>
    </w:pPr>
    <w:rPr>
      <w:rFonts w:ascii="Arial" w:eastAsia="MS Mincho" w:hAnsi="Arial" w:cs="Times New Roman"/>
      <w:i/>
      <w:sz w:val="24"/>
      <w:szCs w:val="24"/>
      <w:u w:val="single"/>
      <w:lang w:eastAsia="ja-JP"/>
    </w:rPr>
  </w:style>
  <w:style w:type="paragraph" w:customStyle="1" w:styleId="Num-Heading9">
    <w:name w:val="Num-Heading 9"/>
    <w:basedOn w:val="Normal"/>
    <w:next w:val="Normal"/>
    <w:rsid w:val="00351780"/>
    <w:pPr>
      <w:keepNext/>
      <w:numPr>
        <w:ilvl w:val="8"/>
        <w:numId w:val="11"/>
      </w:numPr>
      <w:spacing w:before="240" w:after="120" w:line="240" w:lineRule="auto"/>
      <w:outlineLvl w:val="8"/>
    </w:pPr>
    <w:rPr>
      <w:rFonts w:ascii="Arial" w:eastAsia="MS Mincho" w:hAnsi="Arial" w:cs="Times New Roman"/>
      <w:b/>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6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08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08A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F6D5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F6D59"/>
    <w:pPr>
      <w:ind w:left="720"/>
      <w:contextualSpacing/>
    </w:pPr>
  </w:style>
  <w:style w:type="table" w:styleId="TableGrid">
    <w:name w:val="Table Grid"/>
    <w:basedOn w:val="TableNormal"/>
    <w:uiPriority w:val="59"/>
    <w:rsid w:val="00170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F31E9"/>
    <w:rPr>
      <w:sz w:val="18"/>
      <w:szCs w:val="18"/>
    </w:rPr>
  </w:style>
  <w:style w:type="paragraph" w:styleId="CommentText">
    <w:name w:val="annotation text"/>
    <w:basedOn w:val="Normal"/>
    <w:link w:val="CommentTextChar"/>
    <w:uiPriority w:val="99"/>
    <w:semiHidden/>
    <w:unhideWhenUsed/>
    <w:rsid w:val="006F31E9"/>
    <w:pPr>
      <w:spacing w:line="240" w:lineRule="auto"/>
    </w:pPr>
    <w:rPr>
      <w:sz w:val="24"/>
      <w:szCs w:val="24"/>
    </w:rPr>
  </w:style>
  <w:style w:type="character" w:customStyle="1" w:styleId="CommentTextChar">
    <w:name w:val="Comment Text Char"/>
    <w:basedOn w:val="DefaultParagraphFont"/>
    <w:link w:val="CommentText"/>
    <w:uiPriority w:val="99"/>
    <w:semiHidden/>
    <w:rsid w:val="006F31E9"/>
    <w:rPr>
      <w:sz w:val="24"/>
      <w:szCs w:val="24"/>
    </w:rPr>
  </w:style>
  <w:style w:type="paragraph" w:styleId="CommentSubject">
    <w:name w:val="annotation subject"/>
    <w:basedOn w:val="CommentText"/>
    <w:next w:val="CommentText"/>
    <w:link w:val="CommentSubjectChar"/>
    <w:uiPriority w:val="99"/>
    <w:semiHidden/>
    <w:unhideWhenUsed/>
    <w:rsid w:val="006F31E9"/>
    <w:rPr>
      <w:b/>
      <w:bCs/>
      <w:sz w:val="20"/>
      <w:szCs w:val="20"/>
    </w:rPr>
  </w:style>
  <w:style w:type="character" w:customStyle="1" w:styleId="CommentSubjectChar">
    <w:name w:val="Comment Subject Char"/>
    <w:basedOn w:val="CommentTextChar"/>
    <w:link w:val="CommentSubject"/>
    <w:uiPriority w:val="99"/>
    <w:semiHidden/>
    <w:rsid w:val="006F31E9"/>
    <w:rPr>
      <w:b/>
      <w:bCs/>
      <w:sz w:val="20"/>
      <w:szCs w:val="20"/>
    </w:rPr>
  </w:style>
  <w:style w:type="paragraph" w:styleId="BalloonText">
    <w:name w:val="Balloon Text"/>
    <w:basedOn w:val="Normal"/>
    <w:link w:val="BalloonTextChar"/>
    <w:uiPriority w:val="99"/>
    <w:semiHidden/>
    <w:unhideWhenUsed/>
    <w:rsid w:val="006F31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1E9"/>
    <w:rPr>
      <w:rFonts w:ascii="Lucida Grande" w:hAnsi="Lucida Grande" w:cs="Lucida Grande"/>
      <w:sz w:val="18"/>
      <w:szCs w:val="18"/>
    </w:rPr>
  </w:style>
  <w:style w:type="paragraph" w:customStyle="1" w:styleId="Default">
    <w:name w:val="Default"/>
    <w:rsid w:val="007E301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60538"/>
    <w:rPr>
      <w:color w:val="0000FF"/>
      <w:u w:val="single"/>
    </w:rPr>
  </w:style>
  <w:style w:type="paragraph" w:styleId="PlainText">
    <w:name w:val="Plain Text"/>
    <w:basedOn w:val="Normal"/>
    <w:link w:val="PlainTextChar"/>
    <w:uiPriority w:val="99"/>
    <w:semiHidden/>
    <w:unhideWhenUsed/>
    <w:rsid w:val="008025A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025A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67191325">
      <w:bodyDiv w:val="1"/>
      <w:marLeft w:val="0"/>
      <w:marRight w:val="0"/>
      <w:marTop w:val="0"/>
      <w:marBottom w:val="0"/>
      <w:divBdr>
        <w:top w:val="none" w:sz="0" w:space="0" w:color="auto"/>
        <w:left w:val="none" w:sz="0" w:space="0" w:color="auto"/>
        <w:bottom w:val="none" w:sz="0" w:space="0" w:color="auto"/>
        <w:right w:val="none" w:sz="0" w:space="0" w:color="auto"/>
      </w:divBdr>
    </w:div>
    <w:div w:id="147787508">
      <w:bodyDiv w:val="1"/>
      <w:marLeft w:val="0"/>
      <w:marRight w:val="0"/>
      <w:marTop w:val="0"/>
      <w:marBottom w:val="0"/>
      <w:divBdr>
        <w:top w:val="none" w:sz="0" w:space="0" w:color="auto"/>
        <w:left w:val="none" w:sz="0" w:space="0" w:color="auto"/>
        <w:bottom w:val="none" w:sz="0" w:space="0" w:color="auto"/>
        <w:right w:val="none" w:sz="0" w:space="0" w:color="auto"/>
      </w:divBdr>
    </w:div>
    <w:div w:id="169370660">
      <w:bodyDiv w:val="1"/>
      <w:marLeft w:val="0"/>
      <w:marRight w:val="0"/>
      <w:marTop w:val="0"/>
      <w:marBottom w:val="0"/>
      <w:divBdr>
        <w:top w:val="none" w:sz="0" w:space="0" w:color="auto"/>
        <w:left w:val="none" w:sz="0" w:space="0" w:color="auto"/>
        <w:bottom w:val="none" w:sz="0" w:space="0" w:color="auto"/>
        <w:right w:val="none" w:sz="0" w:space="0" w:color="auto"/>
      </w:divBdr>
    </w:div>
    <w:div w:id="179592117">
      <w:bodyDiv w:val="1"/>
      <w:marLeft w:val="0"/>
      <w:marRight w:val="0"/>
      <w:marTop w:val="0"/>
      <w:marBottom w:val="0"/>
      <w:divBdr>
        <w:top w:val="none" w:sz="0" w:space="0" w:color="auto"/>
        <w:left w:val="none" w:sz="0" w:space="0" w:color="auto"/>
        <w:bottom w:val="none" w:sz="0" w:space="0" w:color="auto"/>
        <w:right w:val="none" w:sz="0" w:space="0" w:color="auto"/>
      </w:divBdr>
    </w:div>
    <w:div w:id="348606770">
      <w:bodyDiv w:val="1"/>
      <w:marLeft w:val="0"/>
      <w:marRight w:val="0"/>
      <w:marTop w:val="0"/>
      <w:marBottom w:val="0"/>
      <w:divBdr>
        <w:top w:val="none" w:sz="0" w:space="0" w:color="auto"/>
        <w:left w:val="none" w:sz="0" w:space="0" w:color="auto"/>
        <w:bottom w:val="none" w:sz="0" w:space="0" w:color="auto"/>
        <w:right w:val="none" w:sz="0" w:space="0" w:color="auto"/>
      </w:divBdr>
    </w:div>
    <w:div w:id="348725459">
      <w:bodyDiv w:val="1"/>
      <w:marLeft w:val="0"/>
      <w:marRight w:val="0"/>
      <w:marTop w:val="0"/>
      <w:marBottom w:val="0"/>
      <w:divBdr>
        <w:top w:val="none" w:sz="0" w:space="0" w:color="auto"/>
        <w:left w:val="none" w:sz="0" w:space="0" w:color="auto"/>
        <w:bottom w:val="none" w:sz="0" w:space="0" w:color="auto"/>
        <w:right w:val="none" w:sz="0" w:space="0" w:color="auto"/>
      </w:divBdr>
    </w:div>
    <w:div w:id="457380211">
      <w:bodyDiv w:val="1"/>
      <w:marLeft w:val="0"/>
      <w:marRight w:val="0"/>
      <w:marTop w:val="0"/>
      <w:marBottom w:val="0"/>
      <w:divBdr>
        <w:top w:val="none" w:sz="0" w:space="0" w:color="auto"/>
        <w:left w:val="none" w:sz="0" w:space="0" w:color="auto"/>
        <w:bottom w:val="none" w:sz="0" w:space="0" w:color="auto"/>
        <w:right w:val="none" w:sz="0" w:space="0" w:color="auto"/>
      </w:divBdr>
    </w:div>
    <w:div w:id="608857844">
      <w:bodyDiv w:val="1"/>
      <w:marLeft w:val="0"/>
      <w:marRight w:val="0"/>
      <w:marTop w:val="0"/>
      <w:marBottom w:val="0"/>
      <w:divBdr>
        <w:top w:val="none" w:sz="0" w:space="0" w:color="auto"/>
        <w:left w:val="none" w:sz="0" w:space="0" w:color="auto"/>
        <w:bottom w:val="none" w:sz="0" w:space="0" w:color="auto"/>
        <w:right w:val="none" w:sz="0" w:space="0" w:color="auto"/>
      </w:divBdr>
    </w:div>
    <w:div w:id="678510845">
      <w:bodyDiv w:val="1"/>
      <w:marLeft w:val="0"/>
      <w:marRight w:val="0"/>
      <w:marTop w:val="0"/>
      <w:marBottom w:val="0"/>
      <w:divBdr>
        <w:top w:val="none" w:sz="0" w:space="0" w:color="auto"/>
        <w:left w:val="none" w:sz="0" w:space="0" w:color="auto"/>
        <w:bottom w:val="none" w:sz="0" w:space="0" w:color="auto"/>
        <w:right w:val="none" w:sz="0" w:space="0" w:color="auto"/>
      </w:divBdr>
    </w:div>
    <w:div w:id="744841771">
      <w:bodyDiv w:val="1"/>
      <w:marLeft w:val="0"/>
      <w:marRight w:val="0"/>
      <w:marTop w:val="0"/>
      <w:marBottom w:val="0"/>
      <w:divBdr>
        <w:top w:val="none" w:sz="0" w:space="0" w:color="auto"/>
        <w:left w:val="none" w:sz="0" w:space="0" w:color="auto"/>
        <w:bottom w:val="none" w:sz="0" w:space="0" w:color="auto"/>
        <w:right w:val="none" w:sz="0" w:space="0" w:color="auto"/>
      </w:divBdr>
    </w:div>
    <w:div w:id="835539908">
      <w:bodyDiv w:val="1"/>
      <w:marLeft w:val="0"/>
      <w:marRight w:val="0"/>
      <w:marTop w:val="0"/>
      <w:marBottom w:val="0"/>
      <w:divBdr>
        <w:top w:val="none" w:sz="0" w:space="0" w:color="auto"/>
        <w:left w:val="none" w:sz="0" w:space="0" w:color="auto"/>
        <w:bottom w:val="none" w:sz="0" w:space="0" w:color="auto"/>
        <w:right w:val="none" w:sz="0" w:space="0" w:color="auto"/>
      </w:divBdr>
    </w:div>
    <w:div w:id="889262683">
      <w:bodyDiv w:val="1"/>
      <w:marLeft w:val="0"/>
      <w:marRight w:val="0"/>
      <w:marTop w:val="0"/>
      <w:marBottom w:val="0"/>
      <w:divBdr>
        <w:top w:val="none" w:sz="0" w:space="0" w:color="auto"/>
        <w:left w:val="none" w:sz="0" w:space="0" w:color="auto"/>
        <w:bottom w:val="none" w:sz="0" w:space="0" w:color="auto"/>
        <w:right w:val="none" w:sz="0" w:space="0" w:color="auto"/>
      </w:divBdr>
    </w:div>
    <w:div w:id="1014381629">
      <w:bodyDiv w:val="1"/>
      <w:marLeft w:val="0"/>
      <w:marRight w:val="0"/>
      <w:marTop w:val="0"/>
      <w:marBottom w:val="0"/>
      <w:divBdr>
        <w:top w:val="none" w:sz="0" w:space="0" w:color="auto"/>
        <w:left w:val="none" w:sz="0" w:space="0" w:color="auto"/>
        <w:bottom w:val="none" w:sz="0" w:space="0" w:color="auto"/>
        <w:right w:val="none" w:sz="0" w:space="0" w:color="auto"/>
      </w:divBdr>
    </w:div>
    <w:div w:id="1145048308">
      <w:bodyDiv w:val="1"/>
      <w:marLeft w:val="0"/>
      <w:marRight w:val="0"/>
      <w:marTop w:val="0"/>
      <w:marBottom w:val="0"/>
      <w:divBdr>
        <w:top w:val="none" w:sz="0" w:space="0" w:color="auto"/>
        <w:left w:val="none" w:sz="0" w:space="0" w:color="auto"/>
        <w:bottom w:val="none" w:sz="0" w:space="0" w:color="auto"/>
        <w:right w:val="none" w:sz="0" w:space="0" w:color="auto"/>
      </w:divBdr>
      <w:divsChild>
        <w:div w:id="88699800">
          <w:marLeft w:val="0"/>
          <w:marRight w:val="0"/>
          <w:marTop w:val="0"/>
          <w:marBottom w:val="0"/>
          <w:divBdr>
            <w:top w:val="none" w:sz="0" w:space="0" w:color="auto"/>
            <w:left w:val="none" w:sz="0" w:space="0" w:color="auto"/>
            <w:bottom w:val="none" w:sz="0" w:space="0" w:color="auto"/>
            <w:right w:val="none" w:sz="0" w:space="0" w:color="auto"/>
          </w:divBdr>
        </w:div>
      </w:divsChild>
    </w:div>
    <w:div w:id="1381590128">
      <w:bodyDiv w:val="1"/>
      <w:marLeft w:val="0"/>
      <w:marRight w:val="0"/>
      <w:marTop w:val="0"/>
      <w:marBottom w:val="0"/>
      <w:divBdr>
        <w:top w:val="none" w:sz="0" w:space="0" w:color="auto"/>
        <w:left w:val="none" w:sz="0" w:space="0" w:color="auto"/>
        <w:bottom w:val="none" w:sz="0" w:space="0" w:color="auto"/>
        <w:right w:val="none" w:sz="0" w:space="0" w:color="auto"/>
      </w:divBdr>
    </w:div>
    <w:div w:id="1429541620">
      <w:bodyDiv w:val="1"/>
      <w:marLeft w:val="0"/>
      <w:marRight w:val="0"/>
      <w:marTop w:val="0"/>
      <w:marBottom w:val="0"/>
      <w:divBdr>
        <w:top w:val="none" w:sz="0" w:space="0" w:color="auto"/>
        <w:left w:val="none" w:sz="0" w:space="0" w:color="auto"/>
        <w:bottom w:val="none" w:sz="0" w:space="0" w:color="auto"/>
        <w:right w:val="none" w:sz="0" w:space="0" w:color="auto"/>
      </w:divBdr>
    </w:div>
    <w:div w:id="1489395858">
      <w:bodyDiv w:val="1"/>
      <w:marLeft w:val="0"/>
      <w:marRight w:val="0"/>
      <w:marTop w:val="0"/>
      <w:marBottom w:val="0"/>
      <w:divBdr>
        <w:top w:val="none" w:sz="0" w:space="0" w:color="auto"/>
        <w:left w:val="none" w:sz="0" w:space="0" w:color="auto"/>
        <w:bottom w:val="none" w:sz="0" w:space="0" w:color="auto"/>
        <w:right w:val="none" w:sz="0" w:space="0" w:color="auto"/>
      </w:divBdr>
    </w:div>
    <w:div w:id="1499155195">
      <w:bodyDiv w:val="1"/>
      <w:marLeft w:val="0"/>
      <w:marRight w:val="0"/>
      <w:marTop w:val="0"/>
      <w:marBottom w:val="0"/>
      <w:divBdr>
        <w:top w:val="none" w:sz="0" w:space="0" w:color="auto"/>
        <w:left w:val="none" w:sz="0" w:space="0" w:color="auto"/>
        <w:bottom w:val="none" w:sz="0" w:space="0" w:color="auto"/>
        <w:right w:val="none" w:sz="0" w:space="0" w:color="auto"/>
      </w:divBdr>
    </w:div>
    <w:div w:id="1513179506">
      <w:bodyDiv w:val="1"/>
      <w:marLeft w:val="0"/>
      <w:marRight w:val="0"/>
      <w:marTop w:val="0"/>
      <w:marBottom w:val="0"/>
      <w:divBdr>
        <w:top w:val="none" w:sz="0" w:space="0" w:color="auto"/>
        <w:left w:val="none" w:sz="0" w:space="0" w:color="auto"/>
        <w:bottom w:val="none" w:sz="0" w:space="0" w:color="auto"/>
        <w:right w:val="none" w:sz="0" w:space="0" w:color="auto"/>
      </w:divBdr>
    </w:div>
    <w:div w:id="1607955831">
      <w:bodyDiv w:val="1"/>
      <w:marLeft w:val="0"/>
      <w:marRight w:val="0"/>
      <w:marTop w:val="0"/>
      <w:marBottom w:val="0"/>
      <w:divBdr>
        <w:top w:val="none" w:sz="0" w:space="0" w:color="auto"/>
        <w:left w:val="none" w:sz="0" w:space="0" w:color="auto"/>
        <w:bottom w:val="none" w:sz="0" w:space="0" w:color="auto"/>
        <w:right w:val="none" w:sz="0" w:space="0" w:color="auto"/>
      </w:divBdr>
    </w:div>
    <w:div w:id="1827359955">
      <w:bodyDiv w:val="1"/>
      <w:marLeft w:val="0"/>
      <w:marRight w:val="0"/>
      <w:marTop w:val="0"/>
      <w:marBottom w:val="0"/>
      <w:divBdr>
        <w:top w:val="none" w:sz="0" w:space="0" w:color="auto"/>
        <w:left w:val="none" w:sz="0" w:space="0" w:color="auto"/>
        <w:bottom w:val="none" w:sz="0" w:space="0" w:color="auto"/>
        <w:right w:val="none" w:sz="0" w:space="0" w:color="auto"/>
      </w:divBdr>
      <w:divsChild>
        <w:div w:id="786123604">
          <w:marLeft w:val="0"/>
          <w:marRight w:val="0"/>
          <w:marTop w:val="100"/>
          <w:marBottom w:val="100"/>
          <w:divBdr>
            <w:top w:val="none" w:sz="0" w:space="0" w:color="auto"/>
            <w:left w:val="none" w:sz="0" w:space="0" w:color="auto"/>
            <w:bottom w:val="none" w:sz="0" w:space="0" w:color="auto"/>
            <w:right w:val="none" w:sz="0" w:space="0" w:color="auto"/>
          </w:divBdr>
          <w:divsChild>
            <w:div w:id="687755254">
              <w:marLeft w:val="0"/>
              <w:marRight w:val="0"/>
              <w:marTop w:val="0"/>
              <w:marBottom w:val="0"/>
              <w:divBdr>
                <w:top w:val="none" w:sz="0" w:space="0" w:color="auto"/>
                <w:left w:val="none" w:sz="0" w:space="0" w:color="auto"/>
                <w:bottom w:val="none" w:sz="0" w:space="0" w:color="auto"/>
                <w:right w:val="none" w:sz="0" w:space="0" w:color="auto"/>
              </w:divBdr>
              <w:divsChild>
                <w:div w:id="1185947501">
                  <w:marLeft w:val="0"/>
                  <w:marRight w:val="0"/>
                  <w:marTop w:val="0"/>
                  <w:marBottom w:val="0"/>
                  <w:divBdr>
                    <w:top w:val="none" w:sz="0" w:space="0" w:color="auto"/>
                    <w:left w:val="none" w:sz="0" w:space="0" w:color="auto"/>
                    <w:bottom w:val="none" w:sz="0" w:space="0" w:color="auto"/>
                    <w:right w:val="none" w:sz="0" w:space="0" w:color="auto"/>
                  </w:divBdr>
                  <w:divsChild>
                    <w:div w:id="1898008927">
                      <w:marLeft w:val="225"/>
                      <w:marRight w:val="0"/>
                      <w:marTop w:val="0"/>
                      <w:marBottom w:val="0"/>
                      <w:divBdr>
                        <w:top w:val="none" w:sz="0" w:space="0" w:color="auto"/>
                        <w:left w:val="none" w:sz="0" w:space="0" w:color="auto"/>
                        <w:bottom w:val="none" w:sz="0" w:space="0" w:color="auto"/>
                        <w:right w:val="none" w:sz="0" w:space="0" w:color="auto"/>
                      </w:divBdr>
                      <w:divsChild>
                        <w:div w:id="18222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129910">
      <w:bodyDiv w:val="1"/>
      <w:marLeft w:val="0"/>
      <w:marRight w:val="0"/>
      <w:marTop w:val="0"/>
      <w:marBottom w:val="0"/>
      <w:divBdr>
        <w:top w:val="none" w:sz="0" w:space="0" w:color="auto"/>
        <w:left w:val="none" w:sz="0" w:space="0" w:color="auto"/>
        <w:bottom w:val="none" w:sz="0" w:space="0" w:color="auto"/>
        <w:right w:val="none" w:sz="0" w:space="0" w:color="auto"/>
      </w:divBdr>
    </w:div>
    <w:div w:id="1939752630">
      <w:bodyDiv w:val="1"/>
      <w:marLeft w:val="0"/>
      <w:marRight w:val="0"/>
      <w:marTop w:val="0"/>
      <w:marBottom w:val="0"/>
      <w:divBdr>
        <w:top w:val="none" w:sz="0" w:space="0" w:color="auto"/>
        <w:left w:val="none" w:sz="0" w:space="0" w:color="auto"/>
        <w:bottom w:val="none" w:sz="0" w:space="0" w:color="auto"/>
        <w:right w:val="none" w:sz="0" w:space="0" w:color="auto"/>
      </w:divBdr>
    </w:div>
    <w:div w:id="2054651543">
      <w:bodyDiv w:val="1"/>
      <w:marLeft w:val="0"/>
      <w:marRight w:val="0"/>
      <w:marTop w:val="0"/>
      <w:marBottom w:val="0"/>
      <w:divBdr>
        <w:top w:val="none" w:sz="0" w:space="0" w:color="auto"/>
        <w:left w:val="none" w:sz="0" w:space="0" w:color="auto"/>
        <w:bottom w:val="none" w:sz="0" w:space="0" w:color="auto"/>
        <w:right w:val="none" w:sz="0" w:space="0" w:color="auto"/>
      </w:divBdr>
    </w:div>
    <w:div w:id="212245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7B69E-111F-477D-A669-44540200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3737</Words>
  <Characters>21306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Tyler Technologies, Inc.</Company>
  <LinksUpToDate>false</LinksUpToDate>
  <CharactersWithSpaces>24994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dc:creator>
  <cp:lastModifiedBy>mhunter</cp:lastModifiedBy>
  <cp:revision>3</cp:revision>
  <cp:lastPrinted>2012-07-11T16:25:00Z</cp:lastPrinted>
  <dcterms:created xsi:type="dcterms:W3CDTF">2013-03-19T17:28:00Z</dcterms:created>
  <dcterms:modified xsi:type="dcterms:W3CDTF">2013-03-19T17:31:00Z</dcterms:modified>
</cp:coreProperties>
</file>