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02CA67DF"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w:t>
      </w:r>
      <w:r w:rsidR="00057E25">
        <w:rPr>
          <w:rFonts w:ascii="Times New Roman" w:hAnsi="Times New Roman"/>
          <w:sz w:val="20"/>
        </w:rPr>
        <w:t xml:space="preserve"> or “JCC”</w:t>
      </w:r>
      <w:r w:rsidRPr="006679D3">
        <w:rPr>
          <w:rFonts w:ascii="Times New Roman" w:hAnsi="Times New Roman"/>
          <w:sz w:val="20"/>
        </w:rPr>
        <w:t xml:space="preserve"> refers to the </w:t>
      </w:r>
      <w:r w:rsidR="009133CD" w:rsidRPr="00057E25">
        <w:rPr>
          <w:rFonts w:ascii="Times New Roman" w:hAnsi="Times New Roman"/>
          <w:b/>
          <w:sz w:val="20"/>
        </w:rPr>
        <w:t>Judicial Council of California</w:t>
      </w:r>
      <w:r w:rsidRPr="00057E25">
        <w:rPr>
          <w:rFonts w:ascii="Times New Roman" w:hAnsi="Times New Roman"/>
          <w:sz w:val="20"/>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59F5A043"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057E25">
        <w:rPr>
          <w:rFonts w:ascii="Times New Roman" w:hAnsi="Times New Roman"/>
          <w:b/>
          <w:sz w:val="20"/>
        </w:rPr>
        <w:t>Power BI Training</w:t>
      </w:r>
      <w:r w:rsidR="00407A01">
        <w:rPr>
          <w:rFonts w:ascii="Times New Roman" w:hAnsi="Times New Roman"/>
          <w:b/>
          <w:sz w:val="20"/>
        </w:rPr>
        <w:t>,</w:t>
      </w:r>
      <w:r w:rsidR="00407A01">
        <w:rPr>
          <w:rFonts w:ascii="Times New Roman" w:hAnsi="Times New Roman"/>
          <w:sz w:val="20"/>
        </w:rPr>
        <w:t xml:space="preserve"> </w:t>
      </w:r>
      <w:r w:rsidR="00407A01" w:rsidRPr="00407A01">
        <w:rPr>
          <w:rFonts w:ascii="Times New Roman" w:hAnsi="Times New Roman"/>
          <w:sz w:val="20"/>
        </w:rPr>
        <w:t xml:space="preserve">pursuant to RFP No. </w:t>
      </w:r>
      <w:r w:rsidR="00407A01">
        <w:rPr>
          <w:rFonts w:ascii="Times New Roman" w:hAnsi="Times New Roman"/>
          <w:sz w:val="20"/>
        </w:rPr>
        <w:t>IT</w:t>
      </w:r>
      <w:r w:rsidR="00407A01" w:rsidRPr="00407A01">
        <w:rPr>
          <w:rFonts w:ascii="Times New Roman" w:hAnsi="Times New Roman"/>
          <w:sz w:val="20"/>
        </w:rPr>
        <w:t>-202</w:t>
      </w:r>
      <w:r w:rsidR="00407A01">
        <w:rPr>
          <w:rFonts w:ascii="Times New Roman" w:hAnsi="Times New Roman"/>
          <w:sz w:val="20"/>
        </w:rPr>
        <w:t>1</w:t>
      </w:r>
      <w:r w:rsidR="00407A01" w:rsidRPr="00407A01">
        <w:rPr>
          <w:rFonts w:ascii="Times New Roman" w:hAnsi="Times New Roman"/>
          <w:sz w:val="20"/>
        </w:rPr>
        <w:t>-1</w:t>
      </w:r>
      <w:r w:rsidR="00407A01">
        <w:rPr>
          <w:rFonts w:ascii="Times New Roman" w:hAnsi="Times New Roman"/>
          <w:sz w:val="20"/>
        </w:rPr>
        <w:t>7</w:t>
      </w:r>
      <w:r w:rsidR="00407A01" w:rsidRPr="00407A01">
        <w:rPr>
          <w:rFonts w:ascii="Times New Roman" w:hAnsi="Times New Roman"/>
          <w:sz w:val="20"/>
        </w:rPr>
        <w:t>-DM.</w:t>
      </w:r>
    </w:p>
    <w:p w14:paraId="6D744B2F" w14:textId="77777777" w:rsidR="003A03B3" w:rsidRPr="006679D3" w:rsidRDefault="003A03B3" w:rsidP="003A03B3">
      <w:pPr>
        <w:ind w:left="-450" w:hanging="270"/>
        <w:rPr>
          <w:rFonts w:ascii="Times New Roman" w:hAnsi="Times New Roman"/>
          <w:sz w:val="20"/>
        </w:rPr>
      </w:pP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3BCAE9E" w14:textId="77777777" w:rsidR="00407A01" w:rsidRDefault="003A03B3" w:rsidP="0065272C">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w:t>
      </w:r>
      <w:r w:rsidR="009133CD" w:rsidRPr="009133CD">
        <w:rPr>
          <w:rFonts w:ascii="Times New Roman" w:hAnsi="Times New Roman"/>
          <w:sz w:val="20"/>
        </w:rPr>
        <w:t xml:space="preserve">parties agree that this Agreement, made up of this coversheet, </w:t>
      </w:r>
      <w:r w:rsidR="00407A01" w:rsidRPr="00407A01">
        <w:rPr>
          <w:rFonts w:ascii="Times New Roman" w:hAnsi="Times New Roman"/>
          <w:sz w:val="20"/>
        </w:rPr>
        <w:t>the appendixes listed below, and any attachments, contains the parties’ entire understanding related to the subject matter of this Agreement and is mutually binding on the parties in accordance with its terms.</w:t>
      </w:r>
      <w:r w:rsidR="00407A01" w:rsidRPr="00407A01">
        <w:rPr>
          <w:rFonts w:ascii="Times New Roman" w:hAnsi="Times New Roman"/>
          <w:sz w:val="20"/>
        </w:rPr>
        <w:tab/>
      </w:r>
      <w:r w:rsidRPr="006679D3">
        <w:rPr>
          <w:rFonts w:ascii="Times New Roman" w:hAnsi="Times New Roman"/>
          <w:sz w:val="20"/>
        </w:rPr>
        <w:tab/>
      </w:r>
    </w:p>
    <w:p w14:paraId="0B795E77" w14:textId="77777777" w:rsidR="00407A01" w:rsidRDefault="00407A01" w:rsidP="0065272C">
      <w:pPr>
        <w:ind w:left="-450" w:hanging="270"/>
        <w:rPr>
          <w:rFonts w:ascii="Times New Roman" w:hAnsi="Times New Roman"/>
          <w:sz w:val="20"/>
        </w:rPr>
      </w:pPr>
    </w:p>
    <w:p w14:paraId="09833949" w14:textId="4A29A890" w:rsidR="003A03B3" w:rsidRPr="006679D3" w:rsidRDefault="00407A01" w:rsidP="0065272C">
      <w:pPr>
        <w:ind w:left="-450" w:hanging="270"/>
        <w:rPr>
          <w:rFonts w:ascii="Times New Roman" w:hAnsi="Times New Roman"/>
          <w:sz w:val="20"/>
        </w:rPr>
      </w:pPr>
      <w:r>
        <w:rPr>
          <w:rFonts w:ascii="Times New Roman" w:hAnsi="Times New Roman"/>
          <w:sz w:val="20"/>
        </w:rPr>
        <w:tab/>
      </w:r>
      <w:r w:rsidR="003A03B3" w:rsidRPr="006679D3">
        <w:rPr>
          <w:rFonts w:ascii="Times New Roman" w:hAnsi="Times New Roman"/>
          <w:sz w:val="20"/>
        </w:rPr>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1E09F39A" w:rsidR="003A03B3" w:rsidRPr="006679D3" w:rsidRDefault="00C17A4F"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76A6C093" wp14:editId="56A35105">
                      <wp:simplePos x="0" y="0"/>
                      <wp:positionH relativeFrom="column">
                        <wp:posOffset>1174750</wp:posOffset>
                      </wp:positionH>
                      <wp:positionV relativeFrom="paragraph">
                        <wp:posOffset>355600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928D110" w14:textId="77777777" w:rsidR="00057E25" w:rsidRPr="00FB4888" w:rsidRDefault="00057E25" w:rsidP="00E90095">
                                  <w:pPr>
                                    <w:spacing w:before="360"/>
                                    <w:jc w:val="center"/>
                                    <w:rPr>
                                      <w:b/>
                                      <w:smallCaps/>
                                      <w:sz w:val="48"/>
                                    </w:rPr>
                                  </w:pPr>
                                  <w:permStart w:id="901851336" w:edGrp="everyone"/>
                                  <w:r w:rsidRPr="00631BBB">
                                    <w:rPr>
                                      <w:b/>
                                      <w:smallCaps/>
                                      <w:sz w:val="48"/>
                                    </w:rPr>
                                    <w:t>Sample Only – Do Not Sign</w:t>
                                  </w:r>
                                  <w:permEnd w:id="9018513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C093" id="Rectangle 2" o:spid="_x0000_s1026" style="position:absolute;margin-left:92.5pt;margin-top:28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" strokecolor="#fabf8f" strokeweight="1pt">
                      <v:fill color2="#fbd4b4" focus="100%" type="gradient"/>
                      <v:shadow on="t" color="#974706" opacity=".5" offset="1pt"/>
                      <v:textbox>
                        <w:txbxContent>
                          <w:p w14:paraId="6928D110" w14:textId="77777777" w:rsidR="00057E25" w:rsidRPr="00FB4888" w:rsidRDefault="00057E25" w:rsidP="00E90095">
                            <w:pPr>
                              <w:spacing w:before="360"/>
                              <w:jc w:val="center"/>
                              <w:rPr>
                                <w:b/>
                                <w:smallCaps/>
                                <w:sz w:val="48"/>
                              </w:rPr>
                            </w:pPr>
                            <w:permStart w:id="901851336" w:edGrp="everyone"/>
                            <w:r w:rsidRPr="00631BBB">
                              <w:rPr>
                                <w:b/>
                                <w:smallCaps/>
                                <w:sz w:val="48"/>
                              </w:rPr>
                              <w:t>Sample Only – Do Not Sign</w:t>
                            </w:r>
                            <w:permEnd w:id="901851336"/>
                          </w:p>
                        </w:txbxContent>
                      </v:textbox>
                    </v:rect>
                  </w:pict>
                </mc:Fallback>
              </mc:AlternateContent>
            </w:r>
            <w:r w:rsidR="003A03B3" w:rsidRPr="006679D3">
              <w:rPr>
                <w:rFonts w:ascii="Times New Roman" w:hAnsi="Times New Roman"/>
                <w:b/>
                <w:sz w:val="20"/>
              </w:rPr>
              <w:t xml:space="preserve"> </w:t>
            </w:r>
            <w:r w:rsidR="009133CD">
              <w:rPr>
                <w:rFonts w:ascii="Times New Roman" w:hAnsi="Times New Roman"/>
                <w:b/>
                <w:sz w:val="20"/>
              </w:rPr>
              <w:t>The Judicial Council of California</w:t>
            </w:r>
          </w:p>
        </w:tc>
        <w:tc>
          <w:tcPr>
            <w:tcW w:w="4950" w:type="dxa"/>
            <w:tcBorders>
              <w:top w:val="nil"/>
              <w:left w:val="single" w:sz="8" w:space="0" w:color="auto"/>
              <w:bottom w:val="single" w:sz="8" w:space="0" w:color="auto"/>
              <w:right w:val="single" w:sz="8" w:space="0" w:color="auto"/>
            </w:tcBorders>
          </w:tcPr>
          <w:p w14:paraId="19FBAAB4" w14:textId="77777777" w:rsidR="009133CD" w:rsidRPr="00D82370" w:rsidRDefault="009133CD" w:rsidP="009133CD">
            <w:pPr>
              <w:spacing w:before="20" w:line="240" w:lineRule="auto"/>
              <w:jc w:val="both"/>
              <w:rPr>
                <w:rFonts w:ascii="Times New Roman" w:eastAsia="Times" w:hAnsi="Times New Roman"/>
                <w:i/>
                <w:sz w:val="14"/>
                <w:szCs w:val="20"/>
              </w:rPr>
            </w:pPr>
            <w:r w:rsidRPr="00D82370">
              <w:rPr>
                <w:rFonts w:ascii="Times New Roman" w:eastAsia="Times" w:hAnsi="Times New Roman"/>
                <w:sz w:val="14"/>
                <w:szCs w:val="20"/>
              </w:rPr>
              <w:t>CONTRACTOR’S NAME</w:t>
            </w:r>
            <w:r w:rsidRPr="00D82370">
              <w:rPr>
                <w:rFonts w:ascii="Times New Roman" w:eastAsia="Times" w:hAnsi="Times New Roman"/>
                <w:sz w:val="13"/>
                <w:szCs w:val="20"/>
              </w:rPr>
              <w:t xml:space="preserve"> </w:t>
            </w:r>
            <w:r w:rsidRPr="00D82370">
              <w:rPr>
                <w:rFonts w:ascii="Times New Roman" w:eastAsia="Times" w:hAnsi="Times New Roman"/>
                <w:i/>
                <w:sz w:val="14"/>
                <w:szCs w:val="20"/>
              </w:rPr>
              <w:t>(if Contractor is not an individual person, state whether Contractor is a corporation, partnership, etc., and the state or territory where Contractor is organized)</w:t>
            </w:r>
          </w:p>
          <w:p w14:paraId="66D0692B" w14:textId="77777777" w:rsidR="009133CD" w:rsidRPr="006679D3" w:rsidRDefault="009133CD" w:rsidP="009133CD">
            <w:pPr>
              <w:tabs>
                <w:tab w:val="left" w:pos="3600"/>
              </w:tabs>
              <w:rPr>
                <w:rFonts w:ascii="Times New Roman" w:hAnsi="Times New Roman"/>
                <w:sz w:val="20"/>
              </w:rPr>
            </w:pPr>
            <w:r w:rsidRPr="006679D3">
              <w:rPr>
                <w:rFonts w:ascii="Times New Roman" w:hAnsi="Times New Roman"/>
                <w:b/>
                <w:sz w:val="20"/>
                <w:highlight w:val="yellow"/>
              </w:rPr>
              <w:t xml:space="preserve"> [Contractor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3A67F0EA"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2964E09F"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E90095" w:rsidRPr="00E219B4">
              <w:rPr>
                <w:rFonts w:eastAsia="Times New Roman"/>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1"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AE64AD8" w14:textId="77777777" w:rsidR="009133CD" w:rsidRDefault="009133CD" w:rsidP="002432A3">
      <w:pPr>
        <w:spacing w:after="120" w:line="240" w:lineRule="auto"/>
        <w:rPr>
          <w:rFonts w:ascii="Times New Roman" w:hAnsi="Times New Roman"/>
          <w:b/>
          <w:i/>
          <w:sz w:val="18"/>
          <w:szCs w:val="18"/>
        </w:rPr>
      </w:pPr>
    </w:p>
    <w:p w14:paraId="666D7887" w14:textId="5DAC6D34"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3360D48D" w14:textId="77777777" w:rsidR="00CC7B06" w:rsidRDefault="00CC7B06" w:rsidP="002D1988">
      <w:pPr>
        <w:pStyle w:val="ListParagraph"/>
        <w:tabs>
          <w:tab w:val="left" w:pos="360"/>
        </w:tabs>
        <w:spacing w:after="120" w:line="240" w:lineRule="auto"/>
        <w:rPr>
          <w:rFonts w:ascii="Times New Roman" w:hAnsi="Times New Roman"/>
          <w:b/>
          <w:i/>
          <w:color w:val="000000"/>
          <w:sz w:val="18"/>
          <w:szCs w:val="18"/>
          <w:lang w:val="en-CA"/>
        </w:rPr>
      </w:pPr>
    </w:p>
    <w:p w14:paraId="6FAA35AB" w14:textId="5B3B9B41" w:rsidR="00CC7B06" w:rsidRDefault="00407A01" w:rsidP="000D463A">
      <w:pPr>
        <w:spacing w:before="60" w:after="60" w:line="240" w:lineRule="auto"/>
        <w:ind w:right="-720"/>
        <w:rPr>
          <w:rFonts w:ascii="Times New Roman" w:hAnsi="Times New Roman"/>
          <w:b/>
          <w:i/>
          <w:color w:val="000000"/>
          <w:sz w:val="18"/>
          <w:szCs w:val="18"/>
          <w:highlight w:val="yellow"/>
          <w:lang w:val="en-CA"/>
        </w:rPr>
      </w:pPr>
      <w:r>
        <w:rPr>
          <w:rFonts w:ascii="Times New Roman" w:hAnsi="Times New Roman"/>
          <w:b/>
          <w:i/>
          <w:color w:val="000000"/>
          <w:sz w:val="18"/>
          <w:szCs w:val="18"/>
          <w:highlight w:val="yellow"/>
          <w:lang w:val="en-CA"/>
        </w:rPr>
        <w:t>[TBD]</w:t>
      </w:r>
    </w:p>
    <w:p w14:paraId="18BFF990" w14:textId="77777777" w:rsidR="00407A01" w:rsidRDefault="00407A01" w:rsidP="000D463A">
      <w:pPr>
        <w:spacing w:before="60" w:after="60" w:line="240" w:lineRule="auto"/>
        <w:ind w:right="-720"/>
        <w:rPr>
          <w:rFonts w:ascii="Times New Roman" w:hAnsi="Times New Roman"/>
          <w:b/>
          <w:i/>
          <w:color w:val="000000"/>
          <w:sz w:val="18"/>
          <w:szCs w:val="18"/>
          <w:highlight w:val="yellow"/>
          <w:lang w:val="en-CA"/>
        </w:rPr>
      </w:pPr>
    </w:p>
    <w:p w14:paraId="79AA198E" w14:textId="66D0B485" w:rsidR="00AC28B1" w:rsidRPr="000E3303"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Licensed Software,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 xml:space="preserve">E. 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0DA359B8" w14:textId="77777777" w:rsidR="00454025" w:rsidRPr="000E3303" w:rsidRDefault="00454025" w:rsidP="00454025">
      <w:p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As </w:t>
      </w:r>
      <w:r w:rsidR="005B757A" w:rsidRPr="000E3303">
        <w:rPr>
          <w:rFonts w:ascii="Times New Roman" w:hAnsi="Times New Roman"/>
          <w:b/>
          <w:i/>
          <w:color w:val="000000"/>
          <w:sz w:val="18"/>
          <w:szCs w:val="18"/>
          <w:highlight w:val="yellow"/>
          <w:lang w:val="en-CA"/>
        </w:rPr>
        <w:t>appropriate</w:t>
      </w:r>
      <w:r w:rsidRPr="000E3303">
        <w:rPr>
          <w:rFonts w:ascii="Times New Roman" w:hAnsi="Times New Roman"/>
          <w:b/>
          <w:i/>
          <w:color w:val="000000"/>
          <w:sz w:val="18"/>
          <w:szCs w:val="18"/>
          <w:highlight w:val="yellow"/>
          <w:lang w:val="en-CA"/>
        </w:rPr>
        <w:t>, add clear and concise description of Contractor’s additional responsibilities that are necessary for Contractor to provide the Work</w:t>
      </w:r>
      <w:r w:rsidRPr="000E3303">
        <w:rPr>
          <w:rFonts w:ascii="Times New Roman" w:hAnsi="Times New Roman"/>
          <w:b/>
          <w:i/>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77777777"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[SECTION INSTRUCTIONS: insert chart with dates for completion of tasks relating to </w:t>
      </w:r>
      <w:r w:rsidR="00904E5C" w:rsidRPr="000E3303">
        <w:rPr>
          <w:rFonts w:ascii="Times New Roman" w:hAnsi="Times New Roman"/>
          <w:b/>
          <w:i/>
          <w:color w:val="000000"/>
          <w:sz w:val="18"/>
          <w:szCs w:val="18"/>
          <w:highlight w:val="yellow"/>
          <w:lang w:val="en-CA"/>
        </w:rPr>
        <w:t xml:space="preserve">goods, services </w:t>
      </w:r>
      <w:r w:rsidRPr="000E3303">
        <w:rPr>
          <w:rFonts w:ascii="Times New Roman" w:hAnsi="Times New Roman"/>
          <w:b/>
          <w:i/>
          <w:color w:val="000000"/>
          <w:sz w:val="18"/>
          <w:szCs w:val="18"/>
          <w:highlight w:val="yellow"/>
          <w:lang w:val="en-CA"/>
        </w:rPr>
        <w:t>and delivery dates/milestones for Deliverables</w:t>
      </w:r>
      <w:r w:rsidRPr="000E3303">
        <w:rPr>
          <w:rFonts w:ascii="Times New Roman" w:hAnsi="Times New Roman"/>
          <w:b/>
          <w:i/>
          <w:color w:val="000000"/>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6CF11EED" w:rsidR="00B01C86" w:rsidRPr="000E3303" w:rsidRDefault="00C95E33" w:rsidP="000114CB">
      <w:pPr>
        <w:tabs>
          <w:tab w:val="left" w:pos="5040"/>
        </w:tabs>
        <w:spacing w:line="240" w:lineRule="auto"/>
        <w:ind w:right="-720"/>
        <w:rPr>
          <w:rFonts w:ascii="Times New Roman" w:hAnsi="Times New Roman"/>
          <w:b/>
          <w:sz w:val="18"/>
          <w:szCs w:val="18"/>
          <w:lang w:val="en-CA"/>
        </w:rPr>
      </w:pPr>
      <w:r>
        <w:rPr>
          <w:rFonts w:ascii="Times New Roman" w:hAnsi="Times New Roman"/>
          <w:b/>
          <w:sz w:val="18"/>
          <w:szCs w:val="18"/>
          <w:lang w:val="en-CA"/>
        </w:rPr>
        <w:t>The Judicial Council of California</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footerReference w:type="default" r:id="rId1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2FD209FA" w:rsidR="00CC3AFF" w:rsidRDefault="008F19C0" w:rsidP="000114CB">
      <w:pPr>
        <w:spacing w:line="240" w:lineRule="auto"/>
        <w:jc w:val="center"/>
        <w:rPr>
          <w:rFonts w:ascii="Times New Roman" w:hAnsi="Times New Roman"/>
          <w:b/>
          <w:sz w:val="18"/>
          <w:szCs w:val="18"/>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27D57691" w14:textId="77777777" w:rsidR="009133CD" w:rsidRPr="00B93DEF" w:rsidRDefault="009133CD" w:rsidP="000114CB">
      <w:pPr>
        <w:spacing w:line="240" w:lineRule="auto"/>
        <w:jc w:val="center"/>
        <w:rPr>
          <w:rFonts w:ascii="Times New Roman" w:hAnsi="Times New Roman"/>
          <w:b/>
          <w:sz w:val="18"/>
          <w:szCs w:val="18"/>
          <w:u w:val="single"/>
        </w:rPr>
      </w:pP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36FCBBC4" w14:textId="77777777" w:rsidR="0093381C" w:rsidRPr="0093381C" w:rsidRDefault="00490B1A" w:rsidP="0093381C">
      <w:pPr>
        <w:pStyle w:val="ListParagraph"/>
        <w:numPr>
          <w:ilvl w:val="0"/>
          <w:numId w:val="43"/>
        </w:numPr>
        <w:spacing w:before="120" w:line="240" w:lineRule="auto"/>
        <w:ind w:left="0" w:firstLine="0"/>
        <w:contextualSpacing w:val="0"/>
        <w:rPr>
          <w:rFonts w:ascii="Times New Roman" w:hAnsi="Times New Roman"/>
          <w:i/>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p>
    <w:p w14:paraId="6A95869F" w14:textId="2688EBCC" w:rsidR="00490B1A" w:rsidRPr="00B93DEF" w:rsidRDefault="00490B1A" w:rsidP="0093381C">
      <w:pPr>
        <w:pStyle w:val="ListParagraph"/>
        <w:spacing w:before="120" w:line="240" w:lineRule="auto"/>
        <w:ind w:left="0"/>
        <w:contextualSpacing w:val="0"/>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Contractor may submit for reimbursement, without mark-up, only the following categories of expense:</w:t>
      </w:r>
      <w:r w:rsidRPr="00B93DEF">
        <w:rPr>
          <w:rFonts w:ascii="Times New Roman" w:hAnsi="Times New Roman"/>
          <w:b/>
          <w:bCs/>
          <w:i/>
          <w:sz w:val="18"/>
          <w:szCs w:val="18"/>
          <w:highlight w:val="yellow"/>
        </w:rPr>
        <w:t>:</w:t>
      </w:r>
      <w:r w:rsidRPr="00B93DEF">
        <w:rPr>
          <w:rFonts w:ascii="Times New Roman" w:hAnsi="Times New Roman"/>
          <w:b/>
          <w:bCs/>
          <w:i/>
          <w:sz w:val="18"/>
          <w:szCs w:val="18"/>
        </w:rPr>
        <w:t xml:space="preserve"> </w:t>
      </w:r>
      <w:r w:rsidRPr="00B93DEF">
        <w:rPr>
          <w:rFonts w:ascii="Times New Roman" w:hAnsi="Times New Roman"/>
          <w:b/>
          <w:bCs/>
          <w:i/>
          <w:sz w:val="18"/>
          <w:szCs w:val="18"/>
          <w:highlight w:val="yellow"/>
        </w:rPr>
        <w:t>List</w:t>
      </w:r>
      <w:r w:rsidR="004B7961" w:rsidRPr="00B93DEF">
        <w:rPr>
          <w:rFonts w:ascii="Times New Roman" w:hAnsi="Times New Roman"/>
          <w:b/>
          <w:bCs/>
          <w:i/>
          <w:sz w:val="18"/>
          <w:szCs w:val="18"/>
          <w:highlight w:val="yellow"/>
        </w:rPr>
        <w:t>, as applicable</w:t>
      </w:r>
      <w:r w:rsidRPr="00B93DEF">
        <w:rPr>
          <w:rFonts w:ascii="Times New Roman" w:hAnsi="Times New Roman"/>
          <w:b/>
          <w:bCs/>
          <w:i/>
          <w:sz w:val="18"/>
          <w:szCs w:val="18"/>
          <w:highlight w:val="yellow"/>
        </w:rPr>
        <w:t>.</w:t>
      </w:r>
      <w:r w:rsidRPr="00B93DEF">
        <w:rPr>
          <w:rFonts w:ascii="Times New Roman" w:hAnsi="Times New Roman"/>
          <w:b/>
          <w:i/>
          <w:sz w:val="18"/>
          <w:szCs w:val="18"/>
          <w:highlight w:val="yellow"/>
        </w:rPr>
        <w:t>]</w:t>
      </w:r>
    </w:p>
    <w:p w14:paraId="055A6499" w14:textId="7D0DB643"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xml:space="preserve">. </w:t>
      </w:r>
      <w:r w:rsidR="000B7CEE" w:rsidRPr="000B7CEE">
        <w:rPr>
          <w:rFonts w:ascii="Times New Roman" w:hAnsi="Times New Roman"/>
          <w:b/>
          <w:bCs/>
          <w:i/>
          <w:sz w:val="18"/>
          <w:szCs w:val="18"/>
          <w:highlight w:val="yellow"/>
        </w:rPr>
        <w:t>(if applicable</w:t>
      </w:r>
      <w:r w:rsidR="000B7CEE">
        <w:rPr>
          <w:rFonts w:ascii="Times New Roman" w:hAnsi="Times New Roman"/>
          <w:b/>
          <w:bCs/>
          <w:i/>
          <w:sz w:val="18"/>
          <w:szCs w:val="18"/>
        </w:rPr>
        <w:t>)</w:t>
      </w:r>
      <w:r w:rsidRPr="00B93DEF">
        <w:rPr>
          <w:rFonts w:ascii="Times New Roman" w:hAnsi="Times New Roman"/>
          <w:bCs/>
          <w:i/>
          <w:sz w:val="18"/>
          <w:szCs w:val="18"/>
        </w:rPr>
        <w:t xml:space="preserve"> </w:t>
      </w:r>
      <w:r w:rsidRPr="00B93DEF">
        <w:rPr>
          <w:rFonts w:ascii="Times New Roman" w:hAnsi="Times New Roman"/>
          <w:bCs/>
          <w:sz w:val="18"/>
          <w:szCs w:val="18"/>
        </w:rPr>
        <w:t>All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1216362F"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964DC9" w:rsidRPr="00B93DEF">
        <w:rPr>
          <w:rFonts w:ascii="Times New Roman" w:hAnsi="Times New Roman"/>
          <w:b/>
          <w:i/>
          <w:sz w:val="18"/>
          <w:szCs w:val="18"/>
          <w:highlight w:val="yellow"/>
        </w:rPr>
        <w:t>[modify invoicing frequency as applicable]</w:t>
      </w:r>
      <w:r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5"/>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6"/>
          <w:pgSz w:w="12240" w:h="15840"/>
          <w:pgMar w:top="1152" w:right="1152" w:bottom="1152" w:left="1152" w:header="720" w:footer="720" w:gutter="0"/>
          <w:pgNumType w:start="1"/>
          <w:cols w:space="720"/>
          <w:docGrid w:linePitch="360"/>
        </w:sectPr>
      </w:pPr>
    </w:p>
    <w:p w14:paraId="28DB1814" w14:textId="1790193A" w:rsidR="008F19C0" w:rsidRDefault="005D24D3" w:rsidP="00121B49">
      <w:pPr>
        <w:pStyle w:val="Heading3"/>
        <w:keepNext w:val="0"/>
        <w:widowControl w:val="0"/>
        <w:spacing w:before="120" w:after="120" w:line="240" w:lineRule="auto"/>
        <w:jc w:val="center"/>
        <w:rPr>
          <w:rFonts w:ascii="Times New Roman" w:hAnsi="Times New Roman"/>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E248C35" w14:textId="77777777" w:rsidR="009133CD" w:rsidRPr="009133CD" w:rsidRDefault="009133CD" w:rsidP="009133CD"/>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2" w:name="_Ref66686748"/>
      <w:bookmarkStart w:id="3" w:name="_Ref65984472"/>
      <w:bookmarkEnd w:id="1"/>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2"/>
      <w:bookmarkEnd w:id="3"/>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4"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4"/>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5"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5"/>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6"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6"/>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7"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7"/>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8"/>
      <w:bookmarkEnd w:id="9"/>
      <w:bookmarkEnd w:id="10"/>
      <w:bookmarkEnd w:id="11"/>
      <w:bookmarkEnd w:id="12"/>
      <w:bookmarkEnd w:id="13"/>
      <w:bookmarkEnd w:id="14"/>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7777777"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5"/>
      <w:r w:rsidR="00B96F68" w:rsidRPr="008D36CD">
        <w:rPr>
          <w:rFonts w:ascii="Times New Roman" w:hAnsi="Times New Roman"/>
          <w:b/>
          <w:i/>
          <w:sz w:val="20"/>
          <w:szCs w:val="20"/>
        </w:rPr>
        <w:t xml:space="preserve">        [</w:t>
      </w:r>
      <w:r w:rsidR="00A30ED8" w:rsidRPr="008D36CD">
        <w:rPr>
          <w:rFonts w:ascii="Times New Roman" w:hAnsi="Times New Roman"/>
          <w:b/>
          <w:i/>
          <w:sz w:val="20"/>
          <w:szCs w:val="20"/>
        </w:rPr>
        <w:t>SECTION I</w:t>
      </w:r>
      <w:r w:rsidR="00B96F68" w:rsidRPr="008D36CD">
        <w:rPr>
          <w:rFonts w:ascii="Times New Roman" w:hAnsi="Times New Roman"/>
          <w:b/>
          <w:i/>
          <w:sz w:val="20"/>
          <w:szCs w:val="20"/>
        </w:rPr>
        <w:t>NSTRUCTIONS</w:t>
      </w:r>
      <w:r w:rsidR="00B96F68" w:rsidRPr="008D36CD">
        <w:rPr>
          <w:rFonts w:ascii="Times New Roman" w:hAnsi="Times New Roman"/>
          <w:sz w:val="20"/>
          <w:szCs w:val="20"/>
        </w:rPr>
        <w:t xml:space="preserve">: </w:t>
      </w:r>
      <w:r w:rsidR="00B96F68" w:rsidRPr="008D36CD">
        <w:rPr>
          <w:rFonts w:ascii="Times New Roman" w:hAnsi="Times New Roman"/>
          <w:b/>
          <w:i/>
          <w:sz w:val="20"/>
          <w:szCs w:val="20"/>
        </w:rPr>
        <w:t>the JBE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6" w:name="_Ref15656287"/>
      <w:bookmarkStart w:id="17" w:name="_Toc18745195"/>
      <w:bookmarkStart w:id="18" w:name="_Toc32404058"/>
      <w:bookmarkStart w:id="19"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6"/>
      <w:bookmarkEnd w:id="17"/>
      <w:bookmarkEnd w:id="18"/>
      <w:bookmarkEnd w:id="19"/>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0" w:name="_Toc18745197"/>
      <w:bookmarkStart w:id="21" w:name="_Ref22615125"/>
      <w:bookmarkStart w:id="22" w:name="_Toc32404060"/>
      <w:bookmarkStart w:id="23"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extent that California Rule of Court 2.505 applies to this Agreement, Contractor shall provide </w:t>
      </w:r>
      <w:r w:rsidR="00C37895" w:rsidRPr="008D36CD">
        <w:rPr>
          <w:rFonts w:ascii="Times New Roman" w:hAnsi="Times New Roman"/>
          <w:b w:val="0"/>
          <w:sz w:val="20"/>
          <w:szCs w:val="20"/>
        </w:rPr>
        <w:lastRenderedPageBreak/>
        <w:t>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t>
      </w:r>
      <w:r w:rsidRPr="008D36CD">
        <w:rPr>
          <w:rFonts w:ascii="Times New Roman" w:hAnsi="Times New Roman"/>
          <w:b w:val="0"/>
          <w:sz w:val="20"/>
          <w:szCs w:val="20"/>
        </w:rPr>
        <w:lastRenderedPageBreak/>
        <w:t>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20"/>
      <w:bookmarkEnd w:id="21"/>
      <w:bookmarkEnd w:id="22"/>
      <w:bookmarkEnd w:id="23"/>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w:t>
      </w:r>
      <w:r w:rsidR="0082352E" w:rsidRPr="009424EC">
        <w:rPr>
          <w:rFonts w:ascii="Times New Roman" w:hAnsi="Times New Roman"/>
          <w:b w:val="0"/>
          <w:sz w:val="20"/>
        </w:rPr>
        <w:lastRenderedPageBreak/>
        <w:t xml:space="preserve">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w:t>
      </w:r>
      <w:r w:rsidR="00F86950">
        <w:rPr>
          <w:rFonts w:ascii="Times New Roman" w:hAnsi="Times New Roman"/>
          <w:sz w:val="20"/>
        </w:rPr>
        <w:lastRenderedPageBreak/>
        <w:t>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0" w:name="_Ref55636385"/>
      <w:bookmarkStart w:id="31" w:name="_Ref65945493"/>
      <w:bookmarkEnd w:id="28"/>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1"/>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lastRenderedPageBreak/>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w:t>
      </w:r>
      <w:r w:rsidRPr="00AC2205">
        <w:rPr>
          <w:rFonts w:ascii="Times New Roman" w:hAnsi="Times New Roman"/>
          <w:b w:val="0"/>
          <w:sz w:val="20"/>
        </w:rPr>
        <w:lastRenderedPageBreak/>
        <w:t xml:space="preserve">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lastRenderedPageBreak/>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6BB6F724"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2649AB1C" w14:textId="77777777" w:rsidR="00EB0C86"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p>
    <w:p w14:paraId="3CC1CEEE" w14:textId="5ACDDAA4" w:rsidR="00AC28B1" w:rsidRPr="00AC28B1" w:rsidRDefault="005C10F9" w:rsidP="00442C4E">
      <w:pPr>
        <w:pStyle w:val="Heading3"/>
        <w:keepNext w:val="0"/>
        <w:widowControl w:val="0"/>
        <w:numPr>
          <w:ilvl w:val="3"/>
          <w:numId w:val="37"/>
        </w:numPr>
        <w:spacing w:before="0" w:after="120" w:line="240" w:lineRule="auto"/>
        <w:ind w:left="0" w:firstLine="1440"/>
        <w:rPr>
          <w:rFonts w:ascii="Times New Roman" w:hAnsi="Times New Roman"/>
          <w:sz w:val="20"/>
        </w:rPr>
      </w:pPr>
      <w:r>
        <w:rPr>
          <w:rFonts w:ascii="Times New Roman" w:hAnsi="Times New Roman"/>
          <w:b w:val="0"/>
          <w:sz w:val="20"/>
        </w:rPr>
        <w:t>The policy must</w:t>
      </w:r>
      <w:r w:rsidR="00A92476">
        <w:rPr>
          <w:rFonts w:ascii="Times New Roman" w:hAnsi="Times New Roman"/>
          <w:b w:val="0"/>
          <w:sz w:val="20"/>
        </w:rPr>
        <w:t xml:space="preserve"> </w:t>
      </w:r>
      <w:r>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792956B4"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Pr="00303BCF">
        <w:rPr>
          <w:rFonts w:ascii="Times New Roman" w:hAnsi="Times New Roman"/>
          <w:i/>
          <w:sz w:val="20"/>
          <w:highlight w:val="yellow"/>
        </w:rPr>
        <w:t>[Insert here an amount related to th</w:t>
      </w:r>
      <w:r w:rsidR="003E044F" w:rsidRPr="00303BCF">
        <w:rPr>
          <w:rFonts w:ascii="Times New Roman" w:hAnsi="Times New Roman"/>
          <w:i/>
          <w:sz w:val="20"/>
          <w:highlight w:val="yellow"/>
        </w:rPr>
        <w:t>e value of property at risk]</w:t>
      </w:r>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41F028FB"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r w:rsidR="00D529F6" w:rsidRPr="00A40F30">
        <w:rPr>
          <w:rFonts w:ascii="Times New Roman" w:hAnsi="Times New Roman"/>
          <w:b w:val="0"/>
          <w:sz w:val="20"/>
        </w:rPr>
        <w:t>[</w:t>
      </w:r>
      <w:r w:rsidR="00D529F6" w:rsidRPr="00A40F30">
        <w:rPr>
          <w:rFonts w:ascii="Times New Roman" w:hAnsi="Times New Roman"/>
          <w:sz w:val="20"/>
          <w:highlight w:val="yellow"/>
        </w:rPr>
        <w:t>as applicable, replace the foregoing with provision for fix</w:t>
      </w:r>
      <w:r w:rsidR="00A40F30" w:rsidRPr="00A40F30">
        <w:rPr>
          <w:rFonts w:ascii="Times New Roman" w:hAnsi="Times New Roman"/>
          <w:sz w:val="20"/>
          <w:highlight w:val="yellow"/>
        </w:rPr>
        <w:t xml:space="preserve">ed term – for example: </w:t>
      </w:r>
      <w:r w:rsidR="001F330F">
        <w:rPr>
          <w:rFonts w:ascii="Times New Roman" w:hAnsi="Times New Roman"/>
          <w:sz w:val="20"/>
          <w:highlight w:val="yellow"/>
        </w:rPr>
        <w:t>“</w:t>
      </w:r>
      <w:r w:rsidR="00A40F30" w:rsidRPr="00A40F30">
        <w:rPr>
          <w:rFonts w:ascii="Times New Roman" w:hAnsi="Times New Roman"/>
          <w:sz w:val="20"/>
          <w:highlight w:val="yellow"/>
        </w:rPr>
        <w:t>This Agreement shall commence on the Effective Date and have an initial term of ________ year(s).  The JBE may, at its sole option, extend the Term for up to ___ consecutive one-year periods, at the end of which this Agreement shall expire. In order to extend the Term, the JBE must notify Contractor prior to the end of the initial term (or the then-current one-year extension period)</w:t>
      </w:r>
      <w:r w:rsidR="00974684">
        <w:rPr>
          <w:rFonts w:ascii="Times New Roman" w:hAnsi="Times New Roman"/>
          <w:sz w:val="20"/>
          <w:highlight w:val="yellow"/>
        </w:rPr>
        <w:t>”</w:t>
      </w:r>
      <w:r w:rsidR="00A40F30" w:rsidRPr="00A40F30">
        <w:rPr>
          <w:rFonts w:ascii="Times New Roman" w:hAnsi="Times New Roman"/>
          <w:sz w:val="20"/>
          <w:highlight w:val="yellow"/>
        </w:rPr>
        <w:t>.]</w:t>
      </w:r>
      <w:r w:rsidR="00A40F30">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6"/>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w:t>
      </w:r>
      <w:r w:rsidRPr="00303BCF">
        <w:rPr>
          <w:rFonts w:ascii="Times New Roman" w:hAnsi="Times New Roman"/>
          <w:sz w:val="20"/>
        </w:rPr>
        <w:lastRenderedPageBreak/>
        <w:t>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1"/>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579F25E1" w14:textId="77777777"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2"/>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5672BB9E" w:rsidR="00E573E1" w:rsidRPr="00B733A9" w:rsidRDefault="004866E1"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w:t>
      </w:r>
      <w:r w:rsidR="00064F4A" w:rsidRPr="00B733A9">
        <w:rPr>
          <w:rFonts w:ascii="Times New Roman" w:hAnsi="Times New Roman"/>
          <w:b w:val="0"/>
          <w:sz w:val="20"/>
        </w:rPr>
        <w:t>and percentage of work Contractor committed to provide to each DVBE subcontractor and the amount each DVBE</w:t>
      </w:r>
      <w:r w:rsidR="00064F4A" w:rsidRPr="00A2251F">
        <w:t xml:space="preserve"> </w:t>
      </w:r>
      <w:r w:rsidR="00627D5C">
        <w:rPr>
          <w:rFonts w:ascii="Times New Roman" w:hAnsi="Times New Roman"/>
          <w:b w:val="0"/>
          <w:sz w:val="20"/>
        </w:rPr>
        <w:t>subc</w:t>
      </w:r>
      <w:r w:rsidR="00882369" w:rsidRPr="00882369">
        <w:rPr>
          <w:rFonts w:ascii="Times New Roman" w:hAnsi="Times New Roman"/>
          <w:b w:val="0"/>
          <w:sz w:val="20"/>
        </w:rPr>
        <w:t xml:space="preserve">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064F4A" w:rsidRPr="00B733A9">
        <w:rPr>
          <w:b w:val="0"/>
          <w:sz w:val="20"/>
        </w:rPr>
        <w:t xml:space="preserve">Upon request by the JBE, </w:t>
      </w:r>
      <w:r w:rsidR="00B733A9" w:rsidRPr="00B733A9">
        <w:rPr>
          <w:b w:val="0"/>
          <w:sz w:val="20"/>
        </w:rPr>
        <w:t>C</w:t>
      </w:r>
      <w:r w:rsidR="00064F4A" w:rsidRPr="00B733A9">
        <w:rPr>
          <w:b w:val="0"/>
          <w:sz w:val="20"/>
        </w:rPr>
        <w:t>ontractor shall provide proof of payment for the work.</w:t>
      </w:r>
      <w:r w:rsidR="00064F4A" w:rsidRPr="00A2251F">
        <w:t xml:space="preserve"> </w:t>
      </w:r>
      <w:r w:rsidR="00064F4A" w:rsidRPr="00174CAF">
        <w:rPr>
          <w:rFonts w:asciiTheme="minorHAnsi" w:hAnsiTheme="minorHAnsi" w:cstheme="minorHAnsi"/>
          <w:sz w:val="20"/>
        </w:rPr>
        <w:t xml:space="preserve"> </w:t>
      </w:r>
      <w:r w:rsidR="00882369" w:rsidRPr="00882369">
        <w:rPr>
          <w:rFonts w:ascii="Times New Roman" w:hAnsi="Times New Roman"/>
          <w:b w:val="0"/>
          <w:sz w:val="20"/>
        </w:rPr>
        <w:t xml:space="preserve"> A person or entity that knowingly provides false information shall be subject to a civil penalty for each </w:t>
      </w:r>
      <w:r w:rsidR="00882369" w:rsidRPr="00882369">
        <w:rPr>
          <w:rFonts w:ascii="Times New Roman" w:hAnsi="Times New Roman"/>
          <w:b w:val="0"/>
          <w:sz w:val="20"/>
        </w:rPr>
        <w:lastRenderedPageBreak/>
        <w:t>violation.</w:t>
      </w:r>
      <w:r w:rsidR="00064F4A">
        <w:rPr>
          <w:rFonts w:ascii="Times New Roman" w:hAnsi="Times New Roman"/>
          <w:b w:val="0"/>
          <w:sz w:val="20"/>
        </w:rPr>
        <w:t xml:space="preserve"> </w:t>
      </w:r>
      <w:r w:rsidR="00064F4A" w:rsidRPr="00B733A9">
        <w:rPr>
          <w:rFonts w:cstheme="minorHAnsi"/>
          <w:b w:val="0"/>
          <w:sz w:val="20"/>
        </w:rPr>
        <w:t xml:space="preserve">Contractor will comply with all rules, regulations, ordinances and statutes that govern the DVBE </w:t>
      </w:r>
      <w:r w:rsidR="00B733A9" w:rsidRPr="00B733A9">
        <w:rPr>
          <w:rFonts w:cstheme="minorHAnsi"/>
          <w:b w:val="0"/>
          <w:sz w:val="20"/>
        </w:rPr>
        <w:t>p</w:t>
      </w:r>
      <w:r w:rsidR="00064F4A" w:rsidRPr="00B733A9">
        <w:rPr>
          <w:rFonts w:cstheme="minorHAnsi"/>
          <w:b w:val="0"/>
          <w:sz w:val="20"/>
        </w:rPr>
        <w:t xml:space="preserve">rogram, including, without limitation, </w:t>
      </w:r>
      <w:r w:rsidR="00B733A9" w:rsidRPr="00B733A9">
        <w:rPr>
          <w:rFonts w:cstheme="minorHAnsi"/>
          <w:b w:val="0"/>
          <w:sz w:val="20"/>
        </w:rPr>
        <w:t>Military and Veterans Code s</w:t>
      </w:r>
      <w:r w:rsidR="00064F4A" w:rsidRPr="00B733A9">
        <w:rPr>
          <w:rFonts w:cstheme="minorHAnsi"/>
          <w:b w:val="0"/>
          <w:sz w:val="20"/>
        </w:rPr>
        <w:t>ection 999.5.</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lastRenderedPageBreak/>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336095E"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venturer, or legal representative of the other, and the relationship of the </w:t>
      </w:r>
      <w:r w:rsidR="00873C10" w:rsidRPr="00594F71">
        <w:rPr>
          <w:rFonts w:ascii="Times New Roman" w:hAnsi="Times New Roman"/>
          <w:sz w:val="20"/>
        </w:rPr>
        <w:lastRenderedPageBreak/>
        <w:t>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740C289"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0E4BCCD7"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w:t>
      </w:r>
      <w:r w:rsidRPr="001A5D61">
        <w:rPr>
          <w:rFonts w:ascii="Times New Roman" w:hAnsi="Times New Roman"/>
          <w:b w:val="0"/>
          <w:sz w:val="19"/>
          <w:szCs w:val="19"/>
        </w:rPr>
        <w:lastRenderedPageBreak/>
        <w:t>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all inventions (whether patentable or not), discoveries, literary works and other works of authorship </w:t>
      </w:r>
      <w:r w:rsidRPr="001A5D61">
        <w:rPr>
          <w:rFonts w:ascii="Times New Roman" w:hAnsi="Times New Roman"/>
          <w:b w:val="0"/>
          <w:sz w:val="19"/>
          <w:szCs w:val="19"/>
        </w:rPr>
        <w:lastRenderedPageBreak/>
        <w:t>(including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7"/>
          <w:headerReference w:type="first" r:id="rId18"/>
          <w:footerReference w:type="first" r:id="rId19"/>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5ADBECDE"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w:t>
      </w:r>
      <w:r w:rsidR="00904E5C">
        <w:rPr>
          <w:rFonts w:ascii="Times New Roman" w:hAnsi="Times New Roman"/>
          <w:b/>
          <w:i/>
          <w:sz w:val="20"/>
          <w:szCs w:val="20"/>
          <w:highlight w:val="yellow"/>
        </w:rPr>
        <w:t>if the JBE will be licensing Licensed Software from Contractor</w:t>
      </w:r>
      <w:r w:rsidR="00BA2F3F">
        <w:rPr>
          <w:rFonts w:ascii="Times New Roman" w:hAnsi="Times New Roman"/>
          <w:b/>
          <w:i/>
          <w:sz w:val="20"/>
          <w:szCs w:val="20"/>
          <w:highlight w:val="yellow"/>
        </w:rPr>
        <w:t xml:space="preserve"> (usually, commercially available software)</w:t>
      </w:r>
      <w:r w:rsidR="00904E5C">
        <w:rPr>
          <w:rFonts w:ascii="Times New Roman" w:hAnsi="Times New Roman"/>
          <w:b/>
          <w:i/>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 As necessary, identify Documentation for the Licensed Software.</w:t>
      </w:r>
      <w:r w:rsidR="00604E71">
        <w:rPr>
          <w:rFonts w:ascii="Times New Roman" w:hAnsi="Times New Roman"/>
          <w:b/>
          <w:i/>
          <w:sz w:val="20"/>
          <w:szCs w:val="20"/>
        </w:rPr>
        <w:t xml:space="preserve"> </w:t>
      </w:r>
      <w:r w:rsidR="00D55F4F">
        <w:rPr>
          <w:rFonts w:ascii="Times New Roman" w:hAnsi="Times New Roman"/>
          <w:b/>
          <w:i/>
          <w:sz w:val="20"/>
          <w:szCs w:val="20"/>
          <w:highlight w:val="yellow"/>
        </w:rPr>
        <w:t>If the JBE will NOT</w:t>
      </w:r>
      <w:r w:rsidR="00604E71"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D55F4F">
        <w:rPr>
          <w:rFonts w:ascii="Times New Roman" w:hAnsi="Times New Roman"/>
          <w:b/>
          <w:i/>
          <w:sz w:val="20"/>
          <w:szCs w:val="20"/>
          <w:highlight w:val="yellow"/>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631DB8">
        <w:rPr>
          <w:rFonts w:ascii="Times New Roman" w:hAnsi="Times New Roman"/>
          <w:b/>
          <w:i/>
          <w:sz w:val="20"/>
          <w:szCs w:val="20"/>
          <w:highlight w:val="yellow"/>
        </w:rPr>
        <w:t>[: 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0A9D97F9"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b/>
          <w:i/>
          <w:sz w:val="20"/>
          <w:highlight w:val="yellow"/>
        </w:rPr>
        <w:t>[: Modify license grant terms below as appropriate to meet the JBE’</w:t>
      </w:r>
      <w:r w:rsidR="00D24BD0">
        <w:rPr>
          <w:rFonts w:ascii="Times New Roman" w:hAnsi="Times New Roman"/>
          <w:b/>
          <w:i/>
          <w:sz w:val="20"/>
          <w:highlight w:val="yellow"/>
        </w:rPr>
        <w:t>s business</w:t>
      </w:r>
      <w:r w:rsidR="00D5365D" w:rsidRPr="00146EFB">
        <w:rPr>
          <w:rFonts w:ascii="Times New Roman" w:hAnsi="Times New Roman"/>
          <w:b/>
          <w:i/>
          <w:sz w:val="20"/>
          <w:highlight w:val="yellow"/>
        </w:rPr>
        <w:t xml:space="preserve"> </w:t>
      </w:r>
      <w:r w:rsidR="00D24BD0">
        <w:rPr>
          <w:rFonts w:ascii="Times New Roman" w:hAnsi="Times New Roman"/>
          <w:b/>
          <w:i/>
          <w:sz w:val="20"/>
          <w:highlight w:val="yellow"/>
        </w:rPr>
        <w:t xml:space="preserve">and </w:t>
      </w:r>
      <w:r w:rsidR="00D5365D" w:rsidRPr="00146EFB">
        <w:rPr>
          <w:rFonts w:ascii="Times New Roman" w:hAnsi="Times New Roman"/>
          <w:b/>
          <w:i/>
          <w:sz w:val="20"/>
          <w:highlight w:val="yellow"/>
        </w:rPr>
        <w:t>IT</w:t>
      </w:r>
      <w:r w:rsidR="00D24BD0">
        <w:rPr>
          <w:rFonts w:ascii="Times New Roman" w:hAnsi="Times New Roman"/>
          <w:b/>
          <w:i/>
          <w:sz w:val="20"/>
          <w:highlight w:val="yellow"/>
        </w:rPr>
        <w:t xml:space="preserve"> </w:t>
      </w:r>
      <w:r w:rsidR="00D5365D" w:rsidRPr="00146EFB">
        <w:rPr>
          <w:rFonts w:ascii="Times New Roman" w:hAnsi="Times New Roman"/>
          <w:b/>
          <w:i/>
          <w:sz w:val="20"/>
          <w:highlight w:val="yellow"/>
        </w:rPr>
        <w:t>requirements</w:t>
      </w:r>
      <w:r w:rsidR="00D5365D" w:rsidRPr="00146EFB">
        <w:rPr>
          <w:rFonts w:ascii="Times New Roman" w:hAnsi="Times New Roman"/>
          <w:b/>
          <w:bCs/>
          <w:i/>
          <w:sz w:val="20"/>
          <w:highlight w:val="yellow"/>
        </w:rPr>
        <w:t>]</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421AF071"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r w:rsidR="004C178B" w:rsidRPr="004C178B">
        <w:rPr>
          <w:rFonts w:ascii="Times New Roman" w:hAnsi="Times New Roman"/>
          <w:b/>
          <w:i/>
          <w:sz w:val="20"/>
          <w:szCs w:val="20"/>
          <w:highlight w:val="yellow"/>
          <w:u w:val="single"/>
        </w:rPr>
        <w:t>[: software escrow is optional]</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20"/>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1E86F931" w:rsidR="00471742" w:rsidRPr="00471742" w:rsidRDefault="00471742" w:rsidP="00B61602">
      <w:pPr>
        <w:spacing w:line="240" w:lineRule="auto"/>
        <w:rPr>
          <w:rFonts w:ascii="Times New Roman" w:hAnsi="Times New Roman"/>
          <w:b/>
          <w:i/>
          <w:sz w:val="20"/>
          <w:szCs w:val="20"/>
        </w:rPr>
      </w:pPr>
      <w:r w:rsidRPr="00471742">
        <w:rPr>
          <w:rFonts w:ascii="Times New Roman" w:hAnsi="Times New Roman"/>
          <w:b/>
          <w:i/>
          <w:sz w:val="20"/>
          <w:szCs w:val="20"/>
          <w:highlight w:val="yellow"/>
        </w:rPr>
        <w:t>[: edit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If the JBE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52C3F374" w:rsidR="00D62E45" w:rsidRDefault="00D62E45" w:rsidP="00B61602">
      <w:pPr>
        <w:spacing w:line="240" w:lineRule="auto"/>
        <w:rPr>
          <w:rFonts w:ascii="Times New Roman" w:hAnsi="Times New Roman"/>
          <w:sz w:val="20"/>
          <w:szCs w:val="20"/>
        </w:rPr>
      </w:pPr>
      <w:r w:rsidRPr="00D62E45">
        <w:rPr>
          <w:rFonts w:ascii="Times New Roman" w:hAnsi="Times New Roman"/>
          <w:b/>
          <w:i/>
          <w:sz w:val="20"/>
          <w:szCs w:val="20"/>
          <w:highlight w:val="yellow"/>
        </w:rPr>
        <w:t>[</w:t>
      </w:r>
      <w:r>
        <w:rPr>
          <w:rFonts w:ascii="Times New Roman" w:hAnsi="Times New Roman"/>
          <w:b/>
          <w:i/>
          <w:sz w:val="20"/>
          <w:szCs w:val="20"/>
          <w:highlight w:val="yellow"/>
        </w:rPr>
        <w:t xml:space="preserve"> edit</w:t>
      </w:r>
      <w:r w:rsidR="00650C87">
        <w:rPr>
          <w:rFonts w:ascii="Times New Roman" w:hAnsi="Times New Roman"/>
          <w:b/>
          <w:i/>
          <w:sz w:val="20"/>
          <w:szCs w:val="20"/>
          <w:highlight w:val="yellow"/>
        </w:rPr>
        <w:t>, as necessary,</w:t>
      </w:r>
      <w:r>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Pr="00D62E45">
        <w:rPr>
          <w:rFonts w:ascii="Times New Roman" w:hAnsi="Times New Roman"/>
          <w:b/>
          <w:i/>
          <w:sz w:val="20"/>
          <w:szCs w:val="20"/>
          <w:highlight w:val="yellow"/>
        </w:rPr>
        <w:t>]</w:t>
      </w:r>
      <w:r>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425F78DD"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FA10B6" w:rsidRPr="00FA10B6">
        <w:rPr>
          <w:rFonts w:ascii="Times New Roman" w:hAnsi="Times New Roman"/>
          <w:b/>
          <w:i/>
          <w:sz w:val="20"/>
          <w:szCs w:val="20"/>
          <w:highlight w:val="yellow"/>
        </w:rPr>
        <w:t xml:space="preserve">[adjust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below to meet the JBE’s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JBE.</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6FA8DBB5"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w:t>
      </w:r>
      <w:r w:rsidRPr="00C94DCC">
        <w:rPr>
          <w:rFonts w:ascii="Times New Roman" w:hAnsi="Times New Roman"/>
          <w:sz w:val="20"/>
          <w:szCs w:val="20"/>
        </w:rPr>
        <w:lastRenderedPageBreak/>
        <w:t>each Defect and the table set forth below</w:t>
      </w:r>
      <w:r w:rsidR="006A331C">
        <w:rPr>
          <w:rFonts w:ascii="Times New Roman" w:hAnsi="Times New Roman"/>
          <w:sz w:val="20"/>
          <w:szCs w:val="20"/>
        </w:rPr>
        <w:t xml:space="preserve"> </w:t>
      </w:r>
      <w:r w:rsidR="006A331C" w:rsidRPr="006A331C">
        <w:rPr>
          <w:rFonts w:ascii="Times New Roman" w:hAnsi="Times New Roman"/>
          <w:b/>
          <w:i/>
          <w:sz w:val="20"/>
          <w:szCs w:val="20"/>
          <w:highlight w:val="yellow"/>
        </w:rPr>
        <w:t>[ modify provisions below as appropriate to meet JBE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21"/>
          <w:footerReference w:type="first" r:id="rId22"/>
          <w:pgSz w:w="12240" w:h="15840" w:code="1"/>
          <w:pgMar w:top="1080" w:right="1296" w:bottom="1080" w:left="1296" w:header="288" w:footer="576" w:gutter="0"/>
          <w:pgNumType w:start="1"/>
          <w:cols w:space="720"/>
          <w:titlePg/>
          <w:docGrid w:linePitch="326"/>
        </w:sectPr>
      </w:pPr>
    </w:p>
    <w:p w14:paraId="05DAD066" w14:textId="72EB2E3A" w:rsidR="001951C6" w:rsidRDefault="001951C6" w:rsidP="00EB0C86">
      <w:pPr>
        <w:spacing w:line="240" w:lineRule="auto"/>
        <w:jc w:val="center"/>
        <w:rPr>
          <w:rFonts w:ascii="Times New Roman" w:hAnsi="Times New Roman"/>
          <w:sz w:val="20"/>
          <w:szCs w:val="20"/>
        </w:rPr>
      </w:pPr>
    </w:p>
    <w:p w14:paraId="43595BE2" w14:textId="5626CDD5" w:rsidR="00EB0C86" w:rsidRDefault="00EB0C86" w:rsidP="00EB0C86">
      <w:pPr>
        <w:spacing w:line="240" w:lineRule="auto"/>
        <w:jc w:val="center"/>
        <w:rPr>
          <w:rFonts w:ascii="Times New Roman" w:hAnsi="Times New Roman"/>
          <w:sz w:val="20"/>
          <w:szCs w:val="20"/>
        </w:rPr>
      </w:pPr>
    </w:p>
    <w:p w14:paraId="29B35154" w14:textId="5F43BB09" w:rsidR="00EB0C86" w:rsidRDefault="00EB0C86" w:rsidP="00EB0C86">
      <w:pPr>
        <w:spacing w:line="240" w:lineRule="auto"/>
        <w:jc w:val="center"/>
        <w:rPr>
          <w:rFonts w:ascii="Times New Roman" w:hAnsi="Times New Roman"/>
          <w:sz w:val="20"/>
          <w:szCs w:val="20"/>
        </w:rPr>
      </w:pPr>
    </w:p>
    <w:p w14:paraId="446B38F6" w14:textId="60751666" w:rsidR="00EB0C86" w:rsidRDefault="00EB0C86" w:rsidP="00EB0C86">
      <w:pPr>
        <w:spacing w:line="240" w:lineRule="auto"/>
        <w:jc w:val="center"/>
        <w:rPr>
          <w:rFonts w:ascii="Times New Roman" w:hAnsi="Times New Roman"/>
          <w:sz w:val="20"/>
          <w:szCs w:val="20"/>
        </w:rPr>
      </w:pPr>
    </w:p>
    <w:p w14:paraId="06E92984" w14:textId="39EA53FE" w:rsidR="00EB0C86" w:rsidRDefault="00EB0C86" w:rsidP="00EB0C86">
      <w:pPr>
        <w:spacing w:line="240" w:lineRule="auto"/>
        <w:jc w:val="center"/>
        <w:rPr>
          <w:rFonts w:ascii="Times New Roman" w:hAnsi="Times New Roman"/>
          <w:sz w:val="20"/>
          <w:szCs w:val="20"/>
        </w:rPr>
      </w:pPr>
    </w:p>
    <w:p w14:paraId="6DA50319" w14:textId="6E74CF63" w:rsidR="00EB0C86" w:rsidRDefault="00EB0C86" w:rsidP="00EB0C86">
      <w:pPr>
        <w:spacing w:line="240" w:lineRule="auto"/>
        <w:jc w:val="center"/>
        <w:rPr>
          <w:rFonts w:ascii="Times New Roman" w:hAnsi="Times New Roman"/>
          <w:sz w:val="20"/>
          <w:szCs w:val="20"/>
        </w:rPr>
      </w:pPr>
    </w:p>
    <w:p w14:paraId="12450C2B" w14:textId="7DF08331" w:rsidR="00EB0C86" w:rsidRDefault="00EB0C86" w:rsidP="00EB0C86">
      <w:pPr>
        <w:spacing w:line="240" w:lineRule="auto"/>
        <w:jc w:val="center"/>
        <w:rPr>
          <w:rFonts w:ascii="Times New Roman" w:hAnsi="Times New Roman"/>
          <w:sz w:val="20"/>
          <w:szCs w:val="20"/>
        </w:rPr>
      </w:pPr>
    </w:p>
    <w:p w14:paraId="0EE5EA23" w14:textId="2553F398" w:rsidR="00EB0C86" w:rsidRDefault="00EB0C86" w:rsidP="00EB0C86">
      <w:pPr>
        <w:spacing w:line="240" w:lineRule="auto"/>
        <w:jc w:val="center"/>
        <w:rPr>
          <w:rFonts w:ascii="Times New Roman" w:hAnsi="Times New Roman"/>
          <w:sz w:val="20"/>
          <w:szCs w:val="20"/>
        </w:rPr>
      </w:pPr>
    </w:p>
    <w:p w14:paraId="20B4CE82" w14:textId="53632538" w:rsidR="00EB0C86" w:rsidRDefault="00EB0C86" w:rsidP="00EB0C86">
      <w:pPr>
        <w:spacing w:line="240" w:lineRule="auto"/>
        <w:jc w:val="center"/>
        <w:rPr>
          <w:rFonts w:ascii="Times New Roman" w:hAnsi="Times New Roman"/>
          <w:sz w:val="20"/>
          <w:szCs w:val="20"/>
        </w:rPr>
      </w:pPr>
    </w:p>
    <w:p w14:paraId="1D97C6F0" w14:textId="77777777" w:rsidR="00EB0C86" w:rsidRDefault="00EB0C86" w:rsidP="00EB0C86">
      <w:pPr>
        <w:spacing w:line="240" w:lineRule="auto"/>
        <w:jc w:val="center"/>
        <w:rPr>
          <w:rFonts w:ascii="Times New Roman" w:hAnsi="Times New Roman"/>
          <w:sz w:val="20"/>
          <w:szCs w:val="20"/>
        </w:rPr>
      </w:pPr>
    </w:p>
    <w:p w14:paraId="34E26EB4" w14:textId="36799F90" w:rsidR="00EB0C86" w:rsidRPr="00EB0C86" w:rsidRDefault="00EB0C86" w:rsidP="00EB0C86">
      <w:pPr>
        <w:tabs>
          <w:tab w:val="center" w:pos="4824"/>
        </w:tabs>
        <w:rPr>
          <w:rFonts w:ascii="Times New Roman" w:hAnsi="Times New Roman"/>
          <w:sz w:val="20"/>
          <w:szCs w:val="20"/>
        </w:rPr>
        <w:sectPr w:rsidR="00EB0C86" w:rsidRPr="00EB0C86" w:rsidSect="001951C6">
          <w:footerReference w:type="default" r:id="rId23"/>
          <w:type w:val="continuous"/>
          <w:pgSz w:w="12240" w:h="15840" w:code="1"/>
          <w:pgMar w:top="1080" w:right="1296" w:bottom="1080" w:left="1296" w:header="288" w:footer="576" w:gutter="0"/>
          <w:pgNumType w:start="1"/>
          <w:cols w:space="720"/>
          <w:titlePg/>
          <w:docGrid w:linePitch="326"/>
        </w:sectPr>
      </w:pPr>
      <w:r>
        <w:rPr>
          <w:rFonts w:ascii="Times New Roman" w:hAnsi="Times New Roman"/>
          <w:sz w:val="20"/>
          <w:szCs w:val="20"/>
        </w:rPr>
        <w:tab/>
      </w:r>
    </w:p>
    <w:p w14:paraId="6B67D024" w14:textId="3C019721" w:rsidR="00930C41" w:rsidRDefault="00930C41" w:rsidP="00B61602">
      <w:pPr>
        <w:spacing w:line="240" w:lineRule="auto"/>
        <w:rPr>
          <w:rFonts w:ascii="Times New Roman" w:hAnsi="Times New Roman"/>
          <w:sz w:val="20"/>
          <w:szCs w:val="20"/>
        </w:rPr>
      </w:pPr>
    </w:p>
    <w:p w14:paraId="240FA7E1" w14:textId="77777777" w:rsidR="000B7CEE" w:rsidRPr="005F2B3A" w:rsidRDefault="000B7CEE"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lastRenderedPageBreak/>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F6B1B" w14:textId="77777777" w:rsidR="00321355" w:rsidRDefault="00321355" w:rsidP="00C658E5">
      <w:r>
        <w:separator/>
      </w:r>
    </w:p>
    <w:p w14:paraId="375CB43D" w14:textId="77777777" w:rsidR="00321355" w:rsidRDefault="00321355"/>
  </w:endnote>
  <w:endnote w:type="continuationSeparator" w:id="0">
    <w:p w14:paraId="6A76EB27" w14:textId="77777777" w:rsidR="00321355" w:rsidRDefault="00321355" w:rsidP="00C658E5">
      <w:r>
        <w:continuationSeparator/>
      </w:r>
    </w:p>
    <w:p w14:paraId="6F282695" w14:textId="77777777" w:rsidR="00321355" w:rsidRDefault="00321355"/>
  </w:endnote>
  <w:endnote w:type="continuationNotice" w:id="1">
    <w:p w14:paraId="7A8D821A" w14:textId="77777777" w:rsidR="00321355" w:rsidRDefault="00321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C684" w14:textId="77777777" w:rsidR="00E2232E" w:rsidRDefault="00E223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2EF8" w14:textId="0D796EBF" w:rsidR="00057E25" w:rsidRPr="00781CFF" w:rsidRDefault="00057E25" w:rsidP="00EF6D85">
    <w:pPr>
      <w:pStyle w:val="Footer"/>
      <w:jc w:val="center"/>
      <w:rPr>
        <w:rFonts w:ascii="Times New Roman" w:hAnsi="Times New Roman"/>
        <w:sz w:val="18"/>
        <w:szCs w:val="18"/>
      </w:rPr>
    </w:pPr>
    <w:r w:rsidRPr="00781CFF">
      <w:rPr>
        <w:rFonts w:ascii="Times New Roman" w:hAnsi="Times New Roman"/>
        <w:sz w:val="18"/>
        <w:szCs w:val="18"/>
      </w:rPr>
      <w:t>Appendix F-2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ED95" w14:textId="10E55295" w:rsidR="00057E25" w:rsidRPr="00781CFF" w:rsidRDefault="00057E25">
    <w:pPr>
      <w:pStyle w:val="Footer"/>
      <w:jc w:val="center"/>
      <w:rPr>
        <w:rFonts w:ascii="Times New Roman" w:hAnsi="Times New Roman"/>
        <w:sz w:val="18"/>
        <w:szCs w:val="18"/>
      </w:rPr>
    </w:pPr>
    <w:r w:rsidRPr="00781CFF">
      <w:rPr>
        <w:rFonts w:ascii="Times New Roman" w:hAnsi="Times New Roman"/>
        <w:sz w:val="18"/>
        <w:szCs w:val="18"/>
      </w:rPr>
      <w:t>Appendix F-</w:t>
    </w:r>
    <w:sdt>
      <w:sdtPr>
        <w:rPr>
          <w:rFonts w:ascii="Times New Roman" w:hAnsi="Times New Roman"/>
          <w:sz w:val="18"/>
          <w:szCs w:val="18"/>
        </w:rPr>
        <w:id w:val="852770400"/>
        <w:docPartObj>
          <w:docPartGallery w:val="Page Numbers (Bottom of Page)"/>
          <w:docPartUnique/>
        </w:docPartObj>
      </w:sdtPr>
      <w:sdtEndPr>
        <w:rPr>
          <w:noProof/>
        </w:rPr>
      </w:sdtEndPr>
      <w:sdtContent>
        <w:r w:rsidRPr="00781CFF">
          <w:rPr>
            <w:rFonts w:ascii="Times New Roman" w:hAnsi="Times New Roman"/>
            <w:sz w:val="18"/>
            <w:szCs w:val="18"/>
          </w:rPr>
          <w:fldChar w:fldCharType="begin"/>
        </w:r>
        <w:r w:rsidRPr="00781CFF">
          <w:rPr>
            <w:rFonts w:ascii="Times New Roman" w:hAnsi="Times New Roman"/>
            <w:sz w:val="18"/>
            <w:szCs w:val="18"/>
          </w:rPr>
          <w:instrText xml:space="preserve"> PAGE   \* MERGEFORMAT </w:instrText>
        </w:r>
        <w:r w:rsidRPr="00781CFF">
          <w:rPr>
            <w:rFonts w:ascii="Times New Roman" w:hAnsi="Times New Roman"/>
            <w:sz w:val="18"/>
            <w:szCs w:val="18"/>
          </w:rPr>
          <w:fldChar w:fldCharType="separate"/>
        </w:r>
        <w:r w:rsidRPr="00781CFF">
          <w:rPr>
            <w:rFonts w:ascii="Times New Roman" w:hAnsi="Times New Roman"/>
            <w:noProof/>
            <w:sz w:val="18"/>
            <w:szCs w:val="18"/>
          </w:rPr>
          <w:t>2</w:t>
        </w:r>
        <w:r w:rsidRPr="00781CFF">
          <w:rPr>
            <w:rFonts w:ascii="Times New Roman" w:hAnsi="Times New Roman"/>
            <w:noProof/>
            <w:sz w:val="18"/>
            <w:szCs w:val="18"/>
          </w:rPr>
          <w:fldChar w:fldCharType="end"/>
        </w:r>
      </w:sdtContent>
    </w:sdt>
  </w:p>
  <w:p w14:paraId="2735CD6B" w14:textId="77777777" w:rsidR="00057E25" w:rsidRDefault="00057E2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FB77" w14:textId="4170C396" w:rsidR="00057E25" w:rsidRPr="00781CFF" w:rsidRDefault="00057E25" w:rsidP="00EF6D85">
    <w:pPr>
      <w:pStyle w:val="Footer"/>
      <w:jc w:val="center"/>
      <w:rPr>
        <w:rFonts w:ascii="Times New Roman" w:hAnsi="Times New Roman"/>
        <w:sz w:val="18"/>
        <w:szCs w:val="18"/>
      </w:rPr>
    </w:pPr>
    <w:r w:rsidRPr="00781CFF">
      <w:rPr>
        <w:rFonts w:ascii="Times New Roman" w:hAnsi="Times New Roman"/>
        <w:sz w:val="18"/>
        <w:szCs w:val="18"/>
      </w:rPr>
      <w:t>Appendix G-1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4A13" w14:textId="6C0DDC14" w:rsidR="00057E25" w:rsidRPr="00A03878" w:rsidRDefault="00057E25" w:rsidP="00A03878">
    <w:pPr>
      <w:pStyle w:val="Footer"/>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0948" w14:textId="77777777" w:rsidR="00E2232E" w:rsidRDefault="00E223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2BB8" w14:textId="77777777" w:rsidR="00057E25" w:rsidRPr="00A03878" w:rsidRDefault="00057E25" w:rsidP="00A03878">
    <w:pPr>
      <w:pStyle w:val="Footer"/>
      <w:jc w:val="center"/>
      <w:rPr>
        <w:rFonts w:ascii="Times New Roman" w:hAnsi="Times New Roman"/>
        <w:sz w:val="18"/>
        <w:szCs w:val="18"/>
      </w:rPr>
    </w:pPr>
    <w:r>
      <w:rPr>
        <w:rFonts w:ascii="Times New Roman" w:hAnsi="Times New Roman"/>
        <w:sz w:val="18"/>
        <w:szCs w:val="18"/>
      </w:rPr>
      <w:t xml:space="preserve">Appendix </w:t>
    </w:r>
    <w:r w:rsidRPr="00A03878">
      <w:rPr>
        <w:rFonts w:ascii="Times New Roman" w:hAnsi="Times New Roman"/>
        <w:sz w:val="18"/>
        <w:szCs w:val="18"/>
      </w:rPr>
      <w:t>A-1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FD1A" w14:textId="03F7A1CB" w:rsidR="00057E25" w:rsidRPr="00A03878" w:rsidRDefault="00057E25" w:rsidP="00A03878">
    <w:pPr>
      <w:pStyle w:val="Footer"/>
      <w:jc w:val="center"/>
      <w:rPr>
        <w:rFonts w:ascii="Times New Roman" w:hAnsi="Times New Roman"/>
        <w:sz w:val="18"/>
        <w:szCs w:val="18"/>
      </w:rPr>
    </w:pPr>
    <w:r>
      <w:rPr>
        <w:rFonts w:ascii="Times New Roman" w:hAnsi="Times New Roman"/>
        <w:sz w:val="18"/>
        <w:szCs w:val="18"/>
      </w:rPr>
      <w:t xml:space="preserve">Appendix </w:t>
    </w:r>
    <w:r w:rsidRPr="00A03878">
      <w:rPr>
        <w:rFonts w:ascii="Times New Roman" w:hAnsi="Times New Roman"/>
        <w:sz w:val="18"/>
        <w:szCs w:val="18"/>
      </w:rPr>
      <w:t>B-1</w:t>
    </w:r>
  </w:p>
  <w:p w14:paraId="28B3B985" w14:textId="77777777" w:rsidR="00057E25" w:rsidRPr="00301BB3" w:rsidRDefault="00057E25" w:rsidP="00EF6D85">
    <w:pPr>
      <w:pStyle w:val="Footer"/>
      <w:jc w:val="center"/>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95E9" w14:textId="54064B8E" w:rsidR="00057E25" w:rsidRPr="00003EBA" w:rsidRDefault="00057E25"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79342664"/>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343223"/>
      <w:docPartObj>
        <w:docPartGallery w:val="Page Numbers (Bottom of Page)"/>
        <w:docPartUnique/>
      </w:docPartObj>
    </w:sdtPr>
    <w:sdtEndPr>
      <w:rPr>
        <w:rFonts w:ascii="Times New Roman" w:hAnsi="Times New Roman"/>
        <w:noProof/>
        <w:sz w:val="18"/>
        <w:szCs w:val="18"/>
      </w:rPr>
    </w:sdtEndPr>
    <w:sdtContent>
      <w:p w14:paraId="5D09B271" w14:textId="24F9103D" w:rsidR="00057E25" w:rsidRPr="00781CFF" w:rsidRDefault="00057E25">
        <w:pPr>
          <w:pStyle w:val="Footer"/>
          <w:jc w:val="center"/>
          <w:rPr>
            <w:rFonts w:ascii="Times New Roman" w:hAnsi="Times New Roman"/>
            <w:sz w:val="18"/>
            <w:szCs w:val="18"/>
          </w:rPr>
        </w:pPr>
        <w:r w:rsidRPr="00781CFF">
          <w:rPr>
            <w:rFonts w:ascii="Times New Roman" w:hAnsi="Times New Roman"/>
            <w:sz w:val="18"/>
            <w:szCs w:val="18"/>
          </w:rPr>
          <w:t>Appendix D-</w:t>
        </w:r>
        <w:r w:rsidRPr="00781CFF">
          <w:rPr>
            <w:rFonts w:ascii="Times New Roman" w:hAnsi="Times New Roman"/>
            <w:sz w:val="18"/>
            <w:szCs w:val="18"/>
          </w:rPr>
          <w:fldChar w:fldCharType="begin"/>
        </w:r>
        <w:r w:rsidRPr="00781CFF">
          <w:rPr>
            <w:rFonts w:ascii="Times New Roman" w:hAnsi="Times New Roman"/>
            <w:sz w:val="18"/>
            <w:szCs w:val="18"/>
          </w:rPr>
          <w:instrText xml:space="preserve"> PAGE   \* MERGEFORMAT </w:instrText>
        </w:r>
        <w:r w:rsidRPr="00781CFF">
          <w:rPr>
            <w:rFonts w:ascii="Times New Roman" w:hAnsi="Times New Roman"/>
            <w:sz w:val="18"/>
            <w:szCs w:val="18"/>
          </w:rPr>
          <w:fldChar w:fldCharType="separate"/>
        </w:r>
        <w:r w:rsidRPr="00781CFF">
          <w:rPr>
            <w:rFonts w:ascii="Times New Roman" w:hAnsi="Times New Roman"/>
            <w:noProof/>
            <w:sz w:val="18"/>
            <w:szCs w:val="18"/>
          </w:rPr>
          <w:t>2</w:t>
        </w:r>
        <w:r w:rsidRPr="00781CFF">
          <w:rPr>
            <w:rFonts w:ascii="Times New Roman" w:hAnsi="Times New Roman"/>
            <w:noProof/>
            <w:sz w:val="18"/>
            <w:szCs w:val="18"/>
          </w:rPr>
          <w:fldChar w:fldCharType="end"/>
        </w:r>
      </w:p>
    </w:sdtContent>
  </w:sdt>
  <w:p w14:paraId="2123E072" w14:textId="3CE3006A" w:rsidR="00057E25" w:rsidRPr="00003EBA" w:rsidRDefault="00057E25" w:rsidP="00EF6D8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E49D" w14:textId="77777777" w:rsidR="00057E25" w:rsidRDefault="00057E25"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057E25" w:rsidRDefault="00057E25">
    <w:pPr>
      <w:pStyle w:val="Footer"/>
      <w:jc w:val="center"/>
    </w:pPr>
  </w:p>
  <w:p w14:paraId="4922D214" w14:textId="77777777" w:rsidR="00057E25" w:rsidRDefault="00057E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F911" w14:textId="16F6C7A2" w:rsidR="00057E25" w:rsidRPr="00781CFF" w:rsidRDefault="00057E25">
    <w:pPr>
      <w:pStyle w:val="Footer"/>
      <w:jc w:val="center"/>
      <w:rPr>
        <w:rFonts w:ascii="Times New Roman" w:hAnsi="Times New Roman"/>
        <w:sz w:val="18"/>
        <w:szCs w:val="18"/>
      </w:rPr>
    </w:pPr>
    <w:r w:rsidRPr="00781CFF">
      <w:rPr>
        <w:rFonts w:ascii="Times New Roman" w:hAnsi="Times New Roman"/>
        <w:sz w:val="18"/>
        <w:szCs w:val="18"/>
      </w:rPr>
      <w:t>Appendix E-1</w:t>
    </w:r>
  </w:p>
  <w:p w14:paraId="54C1BCE5" w14:textId="77777777" w:rsidR="00057E25" w:rsidRDefault="00057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30779" w14:textId="77777777" w:rsidR="00321355" w:rsidRDefault="00321355" w:rsidP="00C658E5">
      <w:r>
        <w:separator/>
      </w:r>
    </w:p>
    <w:p w14:paraId="74E2AAAF" w14:textId="77777777" w:rsidR="00321355" w:rsidRDefault="00321355"/>
  </w:footnote>
  <w:footnote w:type="continuationSeparator" w:id="0">
    <w:p w14:paraId="3D2920C0" w14:textId="77777777" w:rsidR="00321355" w:rsidRDefault="00321355" w:rsidP="00C658E5">
      <w:r>
        <w:continuationSeparator/>
      </w:r>
    </w:p>
    <w:p w14:paraId="6DDA2E94" w14:textId="77777777" w:rsidR="00321355" w:rsidRDefault="00321355"/>
  </w:footnote>
  <w:footnote w:type="continuationNotice" w:id="1">
    <w:p w14:paraId="535C1053" w14:textId="77777777" w:rsidR="00321355" w:rsidRDefault="00321355">
      <w:pPr>
        <w:spacing w:line="240" w:lineRule="auto"/>
      </w:pPr>
    </w:p>
  </w:footnote>
  <w:footnote w:id="2">
    <w:p w14:paraId="03100062" w14:textId="25EF6543" w:rsidR="00057E25" w:rsidRDefault="00057E25"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5194" w14:textId="77777777" w:rsidR="00E2232E" w:rsidRDefault="00E22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63B7" w14:textId="77777777" w:rsidR="00E2232E" w:rsidRDefault="00E2232E" w:rsidP="00E2232E">
    <w:pPr>
      <w:pStyle w:val="Header"/>
    </w:pPr>
    <w:r>
      <w:t>RFP Title: Power IT Training</w:t>
    </w:r>
  </w:p>
  <w:p w14:paraId="688CE331" w14:textId="12784406" w:rsidR="00E2232E" w:rsidRDefault="00E2232E" w:rsidP="00E2232E">
    <w:pPr>
      <w:pStyle w:val="Header"/>
    </w:pPr>
    <w:r>
      <w:t>RFP Number:   IT-2021-17-DM</w:t>
    </w:r>
    <w:r>
      <w:t xml:space="preserve">             Attachment 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89B3" w14:textId="77777777" w:rsidR="00E2232E" w:rsidRDefault="00E223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2EB4" w14:textId="3ECEF5D5" w:rsidR="00057E25" w:rsidRPr="001674E2" w:rsidRDefault="00057E25"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Dec. 2019</w:t>
    </w:r>
    <w:r w:rsidRPr="006723A1">
      <w:rPr>
        <w:rFonts w:ascii="Times New Roman" w:hAnsi="Times New Roman"/>
        <w:sz w:val="20"/>
        <w:szCs w:val="20"/>
      </w:rPr>
      <w:t>)</w:t>
    </w:r>
  </w:p>
  <w:p w14:paraId="6904675C" w14:textId="77777777" w:rsidR="00057E25" w:rsidRDefault="00057E25"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57E25"/>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8D8"/>
    <w:rsid w:val="000B09D7"/>
    <w:rsid w:val="000B11C4"/>
    <w:rsid w:val="000B2887"/>
    <w:rsid w:val="000B31DB"/>
    <w:rsid w:val="000B32C9"/>
    <w:rsid w:val="000B4048"/>
    <w:rsid w:val="000B46A1"/>
    <w:rsid w:val="000B72B1"/>
    <w:rsid w:val="000B740D"/>
    <w:rsid w:val="000B7514"/>
    <w:rsid w:val="000B7BE4"/>
    <w:rsid w:val="000B7CEE"/>
    <w:rsid w:val="000C0EC0"/>
    <w:rsid w:val="000C1C4C"/>
    <w:rsid w:val="000C36DD"/>
    <w:rsid w:val="000C58FD"/>
    <w:rsid w:val="000C59DC"/>
    <w:rsid w:val="000D1146"/>
    <w:rsid w:val="000D290A"/>
    <w:rsid w:val="000D4184"/>
    <w:rsid w:val="000D463A"/>
    <w:rsid w:val="000D4782"/>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1355"/>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07A01"/>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18ED"/>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157E"/>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D8"/>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1CFF"/>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33CD"/>
    <w:rsid w:val="00915F45"/>
    <w:rsid w:val="009170C7"/>
    <w:rsid w:val="00920046"/>
    <w:rsid w:val="00921B5E"/>
    <w:rsid w:val="00922B6B"/>
    <w:rsid w:val="0092534D"/>
    <w:rsid w:val="009259BA"/>
    <w:rsid w:val="00926B20"/>
    <w:rsid w:val="00926C45"/>
    <w:rsid w:val="00930C41"/>
    <w:rsid w:val="009312A3"/>
    <w:rsid w:val="00932161"/>
    <w:rsid w:val="0093304E"/>
    <w:rsid w:val="00933628"/>
    <w:rsid w:val="0093381C"/>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43CA"/>
    <w:rsid w:val="009B550F"/>
    <w:rsid w:val="009B6BCE"/>
    <w:rsid w:val="009B7261"/>
    <w:rsid w:val="009B72C6"/>
    <w:rsid w:val="009C1413"/>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3878"/>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2C6"/>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17A4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4276"/>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5E33"/>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C7B06"/>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232E"/>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095"/>
    <w:rsid w:val="00E90FB1"/>
    <w:rsid w:val="00E92599"/>
    <w:rsid w:val="00E93A56"/>
    <w:rsid w:val="00EA0959"/>
    <w:rsid w:val="00EA118D"/>
    <w:rsid w:val="00EA35C5"/>
    <w:rsid w:val="00EA3AE8"/>
    <w:rsid w:val="00EA3C66"/>
    <w:rsid w:val="00EA3E71"/>
    <w:rsid w:val="00EA4477"/>
    <w:rsid w:val="00EB0C86"/>
    <w:rsid w:val="00EB1D6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2E"/>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E2232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E2232E"/>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E2232E"/>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E2232E"/>
    <w:pPr>
      <w:spacing w:before="240" w:after="60"/>
      <w:outlineLvl w:val="5"/>
    </w:pPr>
    <w:rPr>
      <w:b/>
      <w:bCs/>
    </w:rPr>
  </w:style>
  <w:style w:type="paragraph" w:styleId="Heading7">
    <w:name w:val="heading 7"/>
    <w:aliases w:val="7,h7"/>
    <w:basedOn w:val="Normal"/>
    <w:next w:val="Normal"/>
    <w:link w:val="Heading7Char"/>
    <w:uiPriority w:val="9"/>
    <w:unhideWhenUsed/>
    <w:qFormat/>
    <w:rsid w:val="00E2232E"/>
    <w:pPr>
      <w:spacing w:before="240" w:after="60"/>
      <w:outlineLvl w:val="6"/>
    </w:pPr>
  </w:style>
  <w:style w:type="paragraph" w:styleId="Heading8">
    <w:name w:val="heading 8"/>
    <w:aliases w:val="8,h8"/>
    <w:basedOn w:val="Normal"/>
    <w:next w:val="Normal"/>
    <w:link w:val="Heading8Char"/>
    <w:uiPriority w:val="9"/>
    <w:unhideWhenUsed/>
    <w:qFormat/>
    <w:rsid w:val="00E2232E"/>
    <w:pPr>
      <w:spacing w:before="240" w:after="60"/>
      <w:outlineLvl w:val="7"/>
    </w:pPr>
    <w:rPr>
      <w:i/>
      <w:iCs/>
    </w:rPr>
  </w:style>
  <w:style w:type="paragraph" w:styleId="Heading9">
    <w:name w:val="heading 9"/>
    <w:aliases w:val="9,h9"/>
    <w:basedOn w:val="Normal"/>
    <w:next w:val="Normal"/>
    <w:link w:val="Heading9Char"/>
    <w:uiPriority w:val="9"/>
    <w:unhideWhenUsed/>
    <w:qFormat/>
    <w:rsid w:val="00E2232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E22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232E"/>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E2232E"/>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E2232E"/>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E2232E"/>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E2232E"/>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E2232E"/>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E2232E"/>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E2232E"/>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E2232E"/>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E2232E"/>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E2232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2232E"/>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E2232E"/>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4B7C-92B9-4DE7-8097-C211B5DE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15977</Words>
  <Characters>88722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2020-05-11T17:37:00Z</dcterms:created>
  <dcterms:modified xsi:type="dcterms:W3CDTF">2021-01-22T02:54:00Z</dcterms:modified>
</cp:coreProperties>
</file>