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CA" w:rsidRDefault="00C916CA" w:rsidP="00C916CA">
      <w:pPr>
        <w:pStyle w:val="Default"/>
        <w:rPr>
          <w:sz w:val="23"/>
          <w:szCs w:val="23"/>
        </w:rPr>
      </w:pPr>
      <w:r>
        <w:t xml:space="preserve"> </w:t>
      </w:r>
      <w:r w:rsidR="00E5758B">
        <w:rPr>
          <w:b/>
          <w:bCs/>
          <w:sz w:val="23"/>
          <w:szCs w:val="23"/>
        </w:rPr>
        <w:t>ATTACHMENT –</w:t>
      </w:r>
      <w:r>
        <w:rPr>
          <w:b/>
          <w:bCs/>
          <w:sz w:val="23"/>
          <w:szCs w:val="23"/>
        </w:rPr>
        <w:t xml:space="preserve">Specifications and Quantities for </w:t>
      </w:r>
      <w:r w:rsidRPr="00C916CA">
        <w:rPr>
          <w:rFonts w:asciiTheme="majorHAnsi" w:hAnsiTheme="majorHAnsi" w:cstheme="majorHAnsi"/>
          <w:b/>
          <w:i/>
          <w:color w:val="000000" w:themeColor="text1"/>
          <w:sz w:val="18"/>
          <w:szCs w:val="18"/>
        </w:rPr>
        <w:t>IFB-ISD-</w:t>
      </w:r>
      <w:r w:rsidR="00A01FB3">
        <w:rPr>
          <w:rFonts w:asciiTheme="majorHAnsi" w:hAnsiTheme="majorHAnsi" w:cstheme="majorHAnsi"/>
          <w:b/>
          <w:i/>
          <w:color w:val="000000" w:themeColor="text1"/>
          <w:sz w:val="18"/>
          <w:szCs w:val="18"/>
        </w:rPr>
        <w:t>032014</w:t>
      </w:r>
      <w:r w:rsidRPr="00C916CA">
        <w:rPr>
          <w:rFonts w:asciiTheme="majorHAnsi" w:hAnsiTheme="majorHAnsi" w:cstheme="majorHAnsi"/>
          <w:b/>
          <w:i/>
          <w:color w:val="000000" w:themeColor="text1"/>
          <w:sz w:val="18"/>
          <w:szCs w:val="18"/>
        </w:rPr>
        <w:t>-II</w:t>
      </w:r>
      <w:r w:rsidR="00AA3803">
        <w:rPr>
          <w:rFonts w:asciiTheme="majorHAnsi" w:hAnsiTheme="majorHAnsi" w:cstheme="majorHAnsi"/>
          <w:b/>
          <w:i/>
          <w:color w:val="000000" w:themeColor="text1"/>
          <w:sz w:val="18"/>
          <w:szCs w:val="18"/>
        </w:rPr>
        <w:t>I</w:t>
      </w:r>
      <w:r w:rsidR="00A01FB3">
        <w:rPr>
          <w:rFonts w:asciiTheme="majorHAnsi" w:hAnsiTheme="majorHAnsi" w:cstheme="majorHAnsi"/>
          <w:b/>
          <w:i/>
          <w:color w:val="000000" w:themeColor="text1"/>
          <w:sz w:val="18"/>
          <w:szCs w:val="18"/>
        </w:rPr>
        <w:t>-AA</w:t>
      </w:r>
    </w:p>
    <w:p w:rsidR="00C916CA" w:rsidRDefault="00C916CA" w:rsidP="00C916CA">
      <w:pPr>
        <w:pStyle w:val="Default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2UA200NTITY: 25 SYSTEM PRICE: $917.98 GROUP TOTAL: $22,949.50 </w:t>
      </w:r>
    </w:p>
    <w:p w:rsidR="00C916CA" w:rsidRDefault="00C916CA" w:rsidP="00C916C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Scanner Specifications:</w:t>
      </w:r>
    </w:p>
    <w:p w:rsidR="0028614A" w:rsidRPr="00561EEE" w:rsidRDefault="0028614A" w:rsidP="00561EEE">
      <w:pPr>
        <w:spacing w:before="150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bidi="ar-SA"/>
        </w:rPr>
      </w:pPr>
      <w:r>
        <w:rPr>
          <w:rFonts w:ascii="Arial" w:hAnsi="Arial" w:cs="Arial"/>
          <w:bCs/>
          <w:sz w:val="23"/>
          <w:szCs w:val="23"/>
        </w:rPr>
        <w:t xml:space="preserve">Fujitsu </w:t>
      </w:r>
      <w:r w:rsidR="00AA3803">
        <w:rPr>
          <w:rFonts w:ascii="Arial" w:hAnsi="Arial" w:cs="Arial"/>
          <w:bCs/>
          <w:sz w:val="23"/>
          <w:szCs w:val="23"/>
        </w:rPr>
        <w:t xml:space="preserve">Color Duplex Scanner - Model Number: </w:t>
      </w:r>
      <w:r w:rsidR="00561EEE" w:rsidRPr="00561EEE">
        <w:rPr>
          <w:rFonts w:ascii="Arial" w:eastAsia="Times New Roman" w:hAnsi="Arial" w:cs="Arial"/>
          <w:bCs/>
          <w:kern w:val="36"/>
          <w:sz w:val="23"/>
          <w:szCs w:val="23"/>
          <w:lang w:bidi="ar-SA"/>
        </w:rPr>
        <w:t>fi-7160</w:t>
      </w:r>
      <w:r w:rsidR="00AA3803">
        <w:rPr>
          <w:rFonts w:ascii="Arial" w:hAnsi="Arial" w:cs="Arial"/>
          <w:bCs/>
          <w:sz w:val="23"/>
          <w:szCs w:val="23"/>
        </w:rPr>
        <w:t>; Part Number: PA036</w:t>
      </w:r>
      <w:r w:rsidR="00561EEE">
        <w:rPr>
          <w:rFonts w:ascii="Arial" w:hAnsi="Arial" w:cs="Arial"/>
          <w:bCs/>
          <w:sz w:val="23"/>
          <w:szCs w:val="23"/>
        </w:rPr>
        <w:t>70</w:t>
      </w:r>
      <w:r w:rsidR="00AA3803">
        <w:rPr>
          <w:rFonts w:ascii="Arial" w:hAnsi="Arial" w:cs="Arial"/>
          <w:bCs/>
          <w:sz w:val="23"/>
          <w:szCs w:val="23"/>
        </w:rPr>
        <w:t xml:space="preserve">-B055 </w:t>
      </w:r>
    </w:p>
    <w:p w:rsidR="00C916CA" w:rsidRPr="00561EEE" w:rsidRDefault="00561EEE" w:rsidP="00561EE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30367C">
        <w:rPr>
          <w:rFonts w:ascii="Arial" w:hAnsi="Arial" w:cs="Arial"/>
          <w:bCs/>
          <w:sz w:val="23"/>
          <w:szCs w:val="23"/>
        </w:rPr>
        <w:t xml:space="preserve">Scanner Speed: </w:t>
      </w:r>
      <w:r w:rsidRPr="00561EEE">
        <w:rPr>
          <w:rFonts w:ascii="Arial" w:eastAsia="Times New Roman" w:hAnsi="Arial" w:cs="Arial"/>
          <w:sz w:val="23"/>
          <w:szCs w:val="23"/>
          <w:lang w:bidi="ar-SA"/>
        </w:rPr>
        <w:t>60ppm / 120ipm scanning in color, grayscale and monochrome</w:t>
      </w:r>
    </w:p>
    <w:p w:rsidR="00C916CA" w:rsidRPr="0030367C" w:rsidRDefault="00C916CA" w:rsidP="0030367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3"/>
          <w:szCs w:val="23"/>
        </w:rPr>
      </w:pPr>
      <w:r w:rsidRPr="0030367C">
        <w:rPr>
          <w:rFonts w:ascii="Arial" w:hAnsi="Arial" w:cs="Arial"/>
          <w:bCs/>
          <w:sz w:val="23"/>
          <w:szCs w:val="23"/>
        </w:rPr>
        <w:t xml:space="preserve">Automatic Document Feeder (ADF) with a minimum capacity of </w:t>
      </w:r>
      <w:r w:rsidR="00561EEE">
        <w:rPr>
          <w:rFonts w:ascii="Arial" w:hAnsi="Arial" w:cs="Arial"/>
          <w:bCs/>
          <w:sz w:val="23"/>
          <w:szCs w:val="23"/>
        </w:rPr>
        <w:t>8</w:t>
      </w:r>
      <w:r w:rsidRPr="0030367C">
        <w:rPr>
          <w:rFonts w:ascii="Arial" w:hAnsi="Arial" w:cs="Arial"/>
          <w:bCs/>
          <w:sz w:val="23"/>
          <w:szCs w:val="23"/>
        </w:rPr>
        <w:t>0 pages and capable of handling paper sizes from a minimum of 2 in. x 3 in. (52mm x 74mm) to a maximum of 8.5 in. x 14 in. (Legal).</w:t>
      </w:r>
    </w:p>
    <w:p w:rsidR="00C916CA" w:rsidRPr="0030367C" w:rsidRDefault="00C916CA" w:rsidP="0030367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3"/>
          <w:szCs w:val="23"/>
        </w:rPr>
      </w:pPr>
      <w:r w:rsidRPr="0030367C">
        <w:rPr>
          <w:rFonts w:ascii="Arial" w:hAnsi="Arial" w:cs="Arial"/>
          <w:bCs/>
          <w:sz w:val="23"/>
          <w:szCs w:val="23"/>
        </w:rPr>
        <w:t>Long document Support (8.4 in. x 122 in. (10 feet))</w:t>
      </w:r>
    </w:p>
    <w:p w:rsidR="00C916CA" w:rsidRPr="0030367C" w:rsidRDefault="00C916CA" w:rsidP="0030367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3"/>
          <w:szCs w:val="23"/>
        </w:rPr>
      </w:pPr>
      <w:r w:rsidRPr="0030367C">
        <w:rPr>
          <w:rFonts w:ascii="Arial" w:hAnsi="Arial" w:cs="Arial"/>
          <w:bCs/>
          <w:sz w:val="23"/>
          <w:szCs w:val="23"/>
        </w:rPr>
        <w:t>Ultrasonic Double Page Feed Detection</w:t>
      </w:r>
    </w:p>
    <w:p w:rsidR="00C916CA" w:rsidRPr="0054483D" w:rsidRDefault="00C916CA" w:rsidP="0030367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3"/>
          <w:szCs w:val="23"/>
        </w:rPr>
      </w:pPr>
      <w:r w:rsidRPr="0054483D">
        <w:rPr>
          <w:rFonts w:ascii="Arial" w:hAnsi="Arial" w:cs="Arial"/>
          <w:bCs/>
          <w:sz w:val="23"/>
          <w:szCs w:val="23"/>
        </w:rPr>
        <w:t>Kofax® VSR® Professional</w:t>
      </w:r>
    </w:p>
    <w:p w:rsidR="00C916CA" w:rsidRDefault="00C916CA" w:rsidP="00C916CA">
      <w:pPr>
        <w:rPr>
          <w:rFonts w:ascii="Arial" w:hAnsi="Arial" w:cs="Arial"/>
          <w:bCs/>
          <w:sz w:val="23"/>
          <w:szCs w:val="23"/>
        </w:rPr>
      </w:pPr>
    </w:p>
    <w:p w:rsidR="00C916CA" w:rsidRPr="00C916CA" w:rsidRDefault="00C916CA" w:rsidP="00C916CA">
      <w:pPr>
        <w:rPr>
          <w:rFonts w:ascii="Arial" w:hAnsi="Arial" w:cs="Arial"/>
          <w:b/>
          <w:bCs/>
          <w:sz w:val="23"/>
          <w:szCs w:val="23"/>
        </w:rPr>
      </w:pPr>
      <w:r w:rsidRPr="00C916CA">
        <w:rPr>
          <w:rFonts w:ascii="Arial" w:hAnsi="Arial" w:cs="Arial"/>
          <w:b/>
          <w:bCs/>
          <w:sz w:val="23"/>
          <w:szCs w:val="23"/>
        </w:rPr>
        <w:t>Software:</w:t>
      </w:r>
    </w:p>
    <w:p w:rsidR="00C916CA" w:rsidRPr="0030367C" w:rsidRDefault="00C916CA" w:rsidP="0030367C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3"/>
          <w:szCs w:val="23"/>
        </w:rPr>
      </w:pPr>
      <w:proofErr w:type="spellStart"/>
      <w:r w:rsidRPr="0030367C">
        <w:rPr>
          <w:rFonts w:ascii="Arial" w:hAnsi="Arial" w:cs="Arial"/>
          <w:bCs/>
          <w:sz w:val="23"/>
          <w:szCs w:val="23"/>
        </w:rPr>
        <w:t>Kofax</w:t>
      </w:r>
      <w:proofErr w:type="spellEnd"/>
      <w:r w:rsidRPr="0030367C">
        <w:rPr>
          <w:rFonts w:ascii="Arial" w:hAnsi="Arial" w:cs="Arial"/>
          <w:bCs/>
          <w:sz w:val="23"/>
          <w:szCs w:val="23"/>
        </w:rPr>
        <w:t xml:space="preserve"> Capture </w:t>
      </w:r>
      <w:r w:rsidR="0054483D">
        <w:rPr>
          <w:rFonts w:ascii="Arial" w:hAnsi="Arial" w:cs="Arial"/>
          <w:bCs/>
          <w:sz w:val="23"/>
          <w:szCs w:val="23"/>
        </w:rPr>
        <w:t>10</w:t>
      </w:r>
      <w:r w:rsidRPr="0030367C">
        <w:rPr>
          <w:rFonts w:ascii="Arial" w:hAnsi="Arial" w:cs="Arial"/>
          <w:bCs/>
          <w:sz w:val="23"/>
          <w:szCs w:val="23"/>
        </w:rPr>
        <w:t xml:space="preserve">.x – 60K per year STAND ALONE </w:t>
      </w:r>
      <w:r w:rsidR="0030367C" w:rsidRPr="0030367C">
        <w:rPr>
          <w:rFonts w:ascii="Arial" w:hAnsi="Arial" w:cs="Arial"/>
          <w:bCs/>
          <w:sz w:val="23"/>
          <w:szCs w:val="23"/>
        </w:rPr>
        <w:t>L</w:t>
      </w:r>
      <w:r w:rsidRPr="0030367C">
        <w:rPr>
          <w:rFonts w:ascii="Arial" w:hAnsi="Arial" w:cs="Arial"/>
          <w:bCs/>
          <w:sz w:val="23"/>
          <w:szCs w:val="23"/>
        </w:rPr>
        <w:t>icense Series</w:t>
      </w:r>
    </w:p>
    <w:p w:rsidR="00C916CA" w:rsidRPr="0030367C" w:rsidRDefault="00C916CA" w:rsidP="0030367C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3"/>
          <w:szCs w:val="23"/>
        </w:rPr>
      </w:pPr>
      <w:r w:rsidRPr="0030367C">
        <w:rPr>
          <w:rFonts w:ascii="Arial" w:hAnsi="Arial" w:cs="Arial"/>
          <w:bCs/>
          <w:sz w:val="23"/>
          <w:szCs w:val="23"/>
        </w:rPr>
        <w:t>Kofax Software Maintenance</w:t>
      </w:r>
    </w:p>
    <w:p w:rsidR="00C916CA" w:rsidRDefault="00C916CA" w:rsidP="00C916CA">
      <w:pPr>
        <w:rPr>
          <w:rFonts w:ascii="Arial" w:hAnsi="Arial" w:cs="Arial"/>
          <w:bCs/>
          <w:sz w:val="23"/>
          <w:szCs w:val="23"/>
        </w:rPr>
      </w:pPr>
    </w:p>
    <w:p w:rsidR="00C916CA" w:rsidRPr="0030367C" w:rsidRDefault="0030367C" w:rsidP="00C916CA">
      <w:pPr>
        <w:rPr>
          <w:rFonts w:ascii="Arial" w:hAnsi="Arial" w:cs="Arial"/>
          <w:b/>
          <w:bCs/>
          <w:sz w:val="23"/>
          <w:szCs w:val="23"/>
        </w:rPr>
      </w:pPr>
      <w:r w:rsidRPr="0030367C">
        <w:rPr>
          <w:rFonts w:ascii="Arial" w:hAnsi="Arial" w:cs="Arial"/>
          <w:b/>
          <w:bCs/>
          <w:sz w:val="23"/>
          <w:szCs w:val="23"/>
        </w:rPr>
        <w:t>Additional Requirements:</w:t>
      </w:r>
    </w:p>
    <w:p w:rsidR="0030367C" w:rsidRPr="0030367C" w:rsidRDefault="0030367C" w:rsidP="0030367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3"/>
          <w:szCs w:val="23"/>
        </w:rPr>
      </w:pPr>
      <w:r w:rsidRPr="0030367C">
        <w:rPr>
          <w:rFonts w:ascii="Arial" w:hAnsi="Arial" w:cs="Arial"/>
          <w:bCs/>
          <w:sz w:val="23"/>
          <w:szCs w:val="23"/>
        </w:rPr>
        <w:t xml:space="preserve">Total quote should be for </w:t>
      </w:r>
      <w:r w:rsidR="00AA3803">
        <w:rPr>
          <w:rFonts w:ascii="Arial" w:hAnsi="Arial" w:cs="Arial"/>
          <w:bCs/>
          <w:sz w:val="23"/>
          <w:szCs w:val="23"/>
        </w:rPr>
        <w:t>95</w:t>
      </w:r>
      <w:r w:rsidRPr="0030367C">
        <w:rPr>
          <w:rFonts w:ascii="Arial" w:hAnsi="Arial" w:cs="Arial"/>
          <w:bCs/>
          <w:sz w:val="23"/>
          <w:szCs w:val="23"/>
        </w:rPr>
        <w:t xml:space="preserve"> scanners and </w:t>
      </w:r>
      <w:r w:rsidR="00AA3803">
        <w:rPr>
          <w:rFonts w:ascii="Arial" w:hAnsi="Arial" w:cs="Arial"/>
          <w:bCs/>
          <w:sz w:val="23"/>
          <w:szCs w:val="23"/>
        </w:rPr>
        <w:t>95</w:t>
      </w:r>
      <w:r w:rsidRPr="0030367C">
        <w:rPr>
          <w:rFonts w:ascii="Arial" w:hAnsi="Arial" w:cs="Arial"/>
          <w:bCs/>
          <w:sz w:val="23"/>
          <w:szCs w:val="23"/>
        </w:rPr>
        <w:t xml:space="preserve"> copies of software and maintenance</w:t>
      </w:r>
    </w:p>
    <w:p w:rsidR="0030367C" w:rsidRPr="0030367C" w:rsidRDefault="0030367C" w:rsidP="0030367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3"/>
          <w:szCs w:val="23"/>
        </w:rPr>
      </w:pPr>
      <w:r w:rsidRPr="0030367C">
        <w:rPr>
          <w:rFonts w:ascii="Arial" w:hAnsi="Arial" w:cs="Arial"/>
          <w:bCs/>
          <w:sz w:val="23"/>
          <w:szCs w:val="23"/>
        </w:rPr>
        <w:t xml:space="preserve">Scanners will be drop shipped to multiple court locations (up to </w:t>
      </w:r>
      <w:r w:rsidR="00561EEE">
        <w:rPr>
          <w:rFonts w:ascii="Arial" w:hAnsi="Arial" w:cs="Arial"/>
          <w:bCs/>
          <w:sz w:val="23"/>
          <w:szCs w:val="23"/>
        </w:rPr>
        <w:t>6</w:t>
      </w:r>
      <w:r w:rsidRPr="0030367C">
        <w:rPr>
          <w:rFonts w:ascii="Arial" w:hAnsi="Arial" w:cs="Arial"/>
          <w:bCs/>
          <w:sz w:val="23"/>
          <w:szCs w:val="23"/>
        </w:rPr>
        <w:t xml:space="preserve">) across California from </w:t>
      </w:r>
      <w:r w:rsidR="00561EEE">
        <w:rPr>
          <w:rFonts w:ascii="Arial" w:hAnsi="Arial" w:cs="Arial"/>
          <w:bCs/>
          <w:sz w:val="23"/>
          <w:szCs w:val="23"/>
        </w:rPr>
        <w:t>April 2014</w:t>
      </w:r>
      <w:r w:rsidRPr="0030367C">
        <w:rPr>
          <w:rFonts w:ascii="Arial" w:hAnsi="Arial" w:cs="Arial"/>
          <w:bCs/>
          <w:sz w:val="23"/>
          <w:szCs w:val="23"/>
        </w:rPr>
        <w:t xml:space="preserve"> through </w:t>
      </w:r>
      <w:r w:rsidR="00561EEE">
        <w:rPr>
          <w:rFonts w:ascii="Arial" w:hAnsi="Arial" w:cs="Arial"/>
          <w:bCs/>
          <w:sz w:val="23"/>
          <w:szCs w:val="23"/>
        </w:rPr>
        <w:t>December 2014</w:t>
      </w:r>
      <w:r w:rsidRPr="0030367C">
        <w:rPr>
          <w:rFonts w:ascii="Arial" w:hAnsi="Arial" w:cs="Arial"/>
          <w:bCs/>
          <w:sz w:val="23"/>
          <w:szCs w:val="23"/>
        </w:rPr>
        <w:t>. (Tentative locations and quantities stated below) and items will be invoiced upon shipment.</w:t>
      </w:r>
    </w:p>
    <w:p w:rsidR="0030367C" w:rsidRDefault="0030367C" w:rsidP="00C916CA">
      <w:pPr>
        <w:rPr>
          <w:rFonts w:ascii="Arial" w:hAnsi="Arial" w:cs="Arial"/>
          <w:bCs/>
          <w:sz w:val="23"/>
          <w:szCs w:val="23"/>
        </w:rPr>
      </w:pPr>
    </w:p>
    <w:p w:rsidR="00C916CA" w:rsidRDefault="00C916CA" w:rsidP="00C916C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7D4FD7">
        <w:rPr>
          <w:rFonts w:ascii="Arial" w:hAnsi="Arial" w:cs="Arial"/>
          <w:b/>
          <w:bCs/>
          <w:sz w:val="23"/>
          <w:szCs w:val="23"/>
        </w:rPr>
        <w:t xml:space="preserve">TENTATIVE: </w:t>
      </w:r>
      <w:r w:rsidR="00CF3039">
        <w:rPr>
          <w:rFonts w:ascii="Arial" w:hAnsi="Arial" w:cs="Arial"/>
          <w:b/>
          <w:bCs/>
          <w:sz w:val="23"/>
          <w:szCs w:val="23"/>
        </w:rPr>
        <w:t xml:space="preserve">Shipping </w:t>
      </w:r>
      <w:r w:rsidR="007D4FD7">
        <w:rPr>
          <w:rFonts w:ascii="Arial" w:hAnsi="Arial" w:cs="Arial"/>
          <w:b/>
          <w:bCs/>
          <w:sz w:val="23"/>
          <w:szCs w:val="23"/>
        </w:rPr>
        <w:t>Locations</w:t>
      </w:r>
      <w:r w:rsidR="0054483D">
        <w:rPr>
          <w:rFonts w:ascii="Arial" w:hAnsi="Arial" w:cs="Arial"/>
          <w:b/>
          <w:bCs/>
          <w:sz w:val="23"/>
          <w:szCs w:val="23"/>
        </w:rPr>
        <w:t xml:space="preserve"> (some courts may have more than one)</w:t>
      </w:r>
      <w:r w:rsidR="007D4FD7">
        <w:rPr>
          <w:rFonts w:ascii="Arial" w:hAnsi="Arial" w:cs="Arial"/>
          <w:b/>
          <w:bCs/>
          <w:sz w:val="23"/>
          <w:szCs w:val="23"/>
        </w:rPr>
        <w:t xml:space="preserve">, Estimated </w:t>
      </w:r>
      <w:r w:rsidR="001F7746">
        <w:rPr>
          <w:rFonts w:ascii="Arial" w:hAnsi="Arial" w:cs="Arial"/>
          <w:b/>
          <w:bCs/>
          <w:sz w:val="23"/>
          <w:szCs w:val="23"/>
        </w:rPr>
        <w:t xml:space="preserve">Quantities, </w:t>
      </w:r>
      <w:r w:rsidR="001A4B91">
        <w:rPr>
          <w:rFonts w:ascii="Arial" w:hAnsi="Arial" w:cs="Arial"/>
          <w:b/>
          <w:bCs/>
          <w:sz w:val="23"/>
          <w:szCs w:val="23"/>
        </w:rPr>
        <w:t>On-site Drop L</w:t>
      </w:r>
      <w:r w:rsidR="00CF3039">
        <w:rPr>
          <w:rFonts w:ascii="Arial" w:hAnsi="Arial" w:cs="Arial"/>
          <w:b/>
          <w:bCs/>
          <w:sz w:val="23"/>
          <w:szCs w:val="23"/>
        </w:rPr>
        <w:t>ocations</w:t>
      </w:r>
      <w:r w:rsidR="001F7746">
        <w:rPr>
          <w:rFonts w:ascii="Arial" w:hAnsi="Arial" w:cs="Arial"/>
          <w:b/>
          <w:bCs/>
          <w:sz w:val="23"/>
          <w:szCs w:val="23"/>
        </w:rPr>
        <w:t>, and Shipping Instructions</w:t>
      </w:r>
      <w:r w:rsidR="00CF3039">
        <w:rPr>
          <w:rFonts w:ascii="Arial" w:hAnsi="Arial" w:cs="Arial"/>
          <w:b/>
          <w:bCs/>
          <w:sz w:val="23"/>
          <w:szCs w:val="23"/>
        </w:rPr>
        <w:t>:</w:t>
      </w:r>
      <w:r w:rsidR="007D4FD7">
        <w:rPr>
          <w:rFonts w:ascii="Arial" w:hAnsi="Arial" w:cs="Arial"/>
          <w:b/>
          <w:bCs/>
          <w:sz w:val="23"/>
          <w:szCs w:val="23"/>
        </w:rPr>
        <w:t xml:space="preserve"> (Will be confirmed at a later date)</w:t>
      </w:r>
    </w:p>
    <w:tbl>
      <w:tblPr>
        <w:tblW w:w="9460" w:type="dxa"/>
        <w:tblInd w:w="93" w:type="dxa"/>
        <w:tblLook w:val="04A0"/>
      </w:tblPr>
      <w:tblGrid>
        <w:gridCol w:w="2821"/>
        <w:gridCol w:w="1424"/>
        <w:gridCol w:w="2790"/>
        <w:gridCol w:w="2425"/>
      </w:tblGrid>
      <w:tr w:rsidR="001F7746" w:rsidRPr="001F7746" w:rsidTr="0054483D">
        <w:trPr>
          <w:trHeight w:val="900"/>
        </w:trPr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1F7746" w:rsidRPr="001F7746" w:rsidRDefault="001F7746" w:rsidP="001F774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Court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1F7746" w:rsidRPr="001F7746" w:rsidRDefault="001F7746" w:rsidP="001F774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Scanner &amp; Software Quantities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1F7746" w:rsidRPr="001F7746" w:rsidRDefault="001F7746" w:rsidP="001F774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Tentative Shipping Address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1F7746" w:rsidRPr="001F7746" w:rsidRDefault="001F7746" w:rsidP="001F774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Shipping Instructions</w:t>
            </w:r>
          </w:p>
        </w:tc>
      </w:tr>
      <w:tr w:rsidR="001F7746" w:rsidRPr="001F7746" w:rsidTr="0054483D">
        <w:trPr>
          <w:trHeight w:val="63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1F7746" w:rsidRPr="00CF28F8" w:rsidRDefault="0054483D" w:rsidP="0054483D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>Madera</w:t>
            </w:r>
            <w:r w:rsidR="001F7746" w:rsidRPr="00CF28F8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 xml:space="preserve"> Superior Court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46" w:rsidRPr="001F7746" w:rsidRDefault="007D4FD7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TBD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83D" w:rsidRPr="0054483D" w:rsidRDefault="0054483D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209 West Yosemite Avenue </w:t>
            </w:r>
          </w:p>
          <w:p w:rsidR="001F7746" w:rsidRPr="001F7746" w:rsidRDefault="0054483D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Madera, CA, 93637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746" w:rsidRPr="001F7746" w:rsidRDefault="001F7746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  <w:r w:rsidR="007D4FD7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To Be Determined</w:t>
            </w:r>
          </w:p>
        </w:tc>
      </w:tr>
      <w:tr w:rsidR="007D4FD7" w:rsidRPr="001F7746" w:rsidTr="0054483D">
        <w:trPr>
          <w:trHeight w:val="6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7D4FD7" w:rsidRPr="00CF28F8" w:rsidRDefault="0054483D" w:rsidP="0054483D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>Napa</w:t>
            </w:r>
            <w:r w:rsidR="007D4FD7" w:rsidRPr="00CF28F8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 xml:space="preserve">  Superior Court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  <w:r w:rsidRPr="007B252F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TBD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83D" w:rsidRPr="0054483D" w:rsidRDefault="0054483D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825 Brown Street </w:t>
            </w:r>
          </w:p>
          <w:p w:rsidR="007D4FD7" w:rsidRPr="001F7746" w:rsidRDefault="0054483D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Napa, CA, 94559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  <w:r w:rsidRPr="009C0FD9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To Be Determined</w:t>
            </w:r>
          </w:p>
        </w:tc>
      </w:tr>
      <w:tr w:rsidR="007D4FD7" w:rsidRPr="001F7746" w:rsidTr="0054483D">
        <w:trPr>
          <w:trHeight w:val="503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D4FD7" w:rsidRPr="00CF28F8" w:rsidRDefault="0054483D" w:rsidP="0054483D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>Nevada</w:t>
            </w:r>
            <w:r w:rsidR="007D4FD7" w:rsidRPr="00CF28F8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 xml:space="preserve">  Superior Court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  <w:r w:rsidRPr="007B252F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TBD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83D" w:rsidRPr="0054483D" w:rsidRDefault="0054483D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201 Church Street </w:t>
            </w:r>
          </w:p>
          <w:p w:rsidR="007D4FD7" w:rsidRPr="001F7746" w:rsidRDefault="0054483D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Nevada City, CA  95959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  <w:r w:rsidRPr="009C0FD9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To Be Determined</w:t>
            </w:r>
          </w:p>
        </w:tc>
      </w:tr>
      <w:tr w:rsidR="007D4FD7" w:rsidRPr="001F7746" w:rsidTr="0054483D">
        <w:trPr>
          <w:trHeight w:val="6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7D4FD7" w:rsidRPr="00CF28F8" w:rsidRDefault="0054483D" w:rsidP="0054483D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 xml:space="preserve">San Francisco </w:t>
            </w:r>
            <w:r w:rsidR="007D4FD7" w:rsidRPr="00CF28F8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>Superior Court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  <w:r w:rsidRPr="007B252F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TBD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83D" w:rsidRPr="0054483D" w:rsidRDefault="0054483D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400 McAllister Street </w:t>
            </w:r>
          </w:p>
          <w:p w:rsidR="007D4FD7" w:rsidRPr="001F7746" w:rsidRDefault="0054483D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San Francisco, CA, 94102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  <w:r w:rsidRPr="009C0FD9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To Be Determined</w:t>
            </w:r>
          </w:p>
        </w:tc>
      </w:tr>
      <w:tr w:rsidR="007D4FD7" w:rsidRPr="001F7746" w:rsidTr="0054483D">
        <w:trPr>
          <w:trHeight w:val="60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D4FD7" w:rsidRPr="00CF28F8" w:rsidRDefault="0054483D" w:rsidP="0054483D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>Sierra</w:t>
            </w:r>
            <w:r w:rsidR="007D4FD7" w:rsidRPr="00CF28F8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 xml:space="preserve"> Superior Court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  <w:r w:rsidRPr="007B252F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TBD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83D" w:rsidRPr="0054483D" w:rsidRDefault="007D4FD7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1F7746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r w:rsidR="0054483D"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100 Courthouse Sq # 2 </w:t>
            </w:r>
          </w:p>
          <w:p w:rsidR="007D4FD7" w:rsidRPr="001F7746" w:rsidRDefault="0054483D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Downieville</w:t>
            </w:r>
            <w:proofErr w:type="spellEnd"/>
            <w:r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, CA 95936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  <w:r w:rsidRPr="009C0FD9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To Be Determined</w:t>
            </w:r>
          </w:p>
        </w:tc>
      </w:tr>
      <w:tr w:rsidR="007D4FD7" w:rsidRPr="001F7746" w:rsidTr="0054483D">
        <w:trPr>
          <w:trHeight w:val="593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D4FD7" w:rsidRPr="0054483D" w:rsidRDefault="0054483D" w:rsidP="0054483D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</w:pPr>
            <w:r w:rsidRPr="0054483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>Trinity</w:t>
            </w:r>
            <w:r w:rsidR="007D4FD7" w:rsidRPr="0054483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bidi="ar-SA"/>
              </w:rPr>
              <w:t xml:space="preserve">  Superior Court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  <w:r w:rsidRPr="007B252F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TBD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83D" w:rsidRPr="0054483D" w:rsidRDefault="0054483D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11 Court Street</w:t>
            </w:r>
          </w:p>
          <w:p w:rsidR="007D4FD7" w:rsidRPr="001F7746" w:rsidRDefault="0054483D" w:rsidP="0054483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54483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Weaverville, CA 96093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FD7" w:rsidRDefault="007D4FD7" w:rsidP="0054483D">
            <w:pPr>
              <w:spacing w:line="240" w:lineRule="auto"/>
            </w:pPr>
            <w:r w:rsidRPr="009C0FD9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To Be Determined</w:t>
            </w:r>
          </w:p>
        </w:tc>
      </w:tr>
    </w:tbl>
    <w:p w:rsidR="0054483D" w:rsidRDefault="0054483D" w:rsidP="00C916CA">
      <w:pPr>
        <w:rPr>
          <w:rFonts w:ascii="Arial" w:hAnsi="Arial" w:cs="Arial"/>
          <w:b/>
          <w:bCs/>
          <w:sz w:val="22"/>
          <w:szCs w:val="22"/>
        </w:rPr>
      </w:pPr>
    </w:p>
    <w:p w:rsidR="002F0772" w:rsidRPr="0030367C" w:rsidRDefault="00C916CA" w:rsidP="00C916CA">
      <w:pPr>
        <w:rPr>
          <w:sz w:val="22"/>
          <w:szCs w:val="22"/>
        </w:rPr>
      </w:pPr>
      <w:r w:rsidRPr="0030367C">
        <w:rPr>
          <w:rFonts w:ascii="Arial" w:hAnsi="Arial" w:cs="Arial"/>
          <w:b/>
          <w:bCs/>
          <w:sz w:val="22"/>
          <w:szCs w:val="22"/>
        </w:rPr>
        <w:t xml:space="preserve">NOTE: Courts Specific Shipping </w:t>
      </w:r>
      <w:r w:rsidR="007D4FD7">
        <w:rPr>
          <w:rFonts w:ascii="Arial" w:hAnsi="Arial" w:cs="Arial"/>
          <w:b/>
          <w:bCs/>
          <w:sz w:val="22"/>
          <w:szCs w:val="22"/>
        </w:rPr>
        <w:t xml:space="preserve">locations, quantities for each location, specific </w:t>
      </w:r>
      <w:r w:rsidRPr="0030367C">
        <w:rPr>
          <w:rFonts w:ascii="Arial" w:hAnsi="Arial" w:cs="Arial"/>
          <w:b/>
          <w:bCs/>
          <w:sz w:val="22"/>
          <w:szCs w:val="22"/>
        </w:rPr>
        <w:t xml:space="preserve">instructions for </w:t>
      </w:r>
      <w:r w:rsidR="0030367C" w:rsidRPr="0030367C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>IFB-ISD-</w:t>
      </w:r>
      <w:r w:rsidR="00A01FB3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>032014</w:t>
      </w:r>
      <w:r w:rsidR="0030367C" w:rsidRPr="0030367C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>-</w:t>
      </w:r>
      <w:r w:rsidR="00AA3803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>I</w:t>
      </w:r>
      <w:r w:rsidR="0030367C" w:rsidRPr="0030367C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>II</w:t>
      </w:r>
      <w:r w:rsidR="00A01FB3">
        <w:rPr>
          <w:rFonts w:asciiTheme="majorHAnsi" w:hAnsiTheme="majorHAnsi" w:cstheme="majorHAnsi"/>
          <w:b/>
          <w:i/>
          <w:color w:val="000000" w:themeColor="text1"/>
          <w:sz w:val="22"/>
          <w:szCs w:val="22"/>
        </w:rPr>
        <w:t>-AA</w:t>
      </w:r>
      <w:r w:rsidRPr="0030367C">
        <w:rPr>
          <w:rFonts w:ascii="Arial" w:hAnsi="Arial" w:cs="Arial"/>
          <w:b/>
          <w:bCs/>
          <w:sz w:val="22"/>
          <w:szCs w:val="22"/>
        </w:rPr>
        <w:t>, contact names will be given to the winning vendor</w:t>
      </w:r>
      <w:r w:rsidR="001A4B91">
        <w:rPr>
          <w:rFonts w:ascii="Arial" w:hAnsi="Arial" w:cs="Arial"/>
          <w:b/>
          <w:bCs/>
          <w:sz w:val="22"/>
          <w:szCs w:val="22"/>
        </w:rPr>
        <w:t xml:space="preserve"> once finalized during the project</w:t>
      </w:r>
      <w:r w:rsidRPr="0030367C">
        <w:rPr>
          <w:rFonts w:ascii="Arial" w:hAnsi="Arial" w:cs="Arial"/>
          <w:b/>
          <w:bCs/>
          <w:sz w:val="22"/>
          <w:szCs w:val="22"/>
        </w:rPr>
        <w:t>.</w:t>
      </w:r>
    </w:p>
    <w:sectPr w:rsidR="002F0772" w:rsidRPr="0030367C" w:rsidSect="0054483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921"/>
    <w:multiLevelType w:val="multilevel"/>
    <w:tmpl w:val="18EC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ED3903"/>
    <w:multiLevelType w:val="hybridMultilevel"/>
    <w:tmpl w:val="B3566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F4A1E"/>
    <w:multiLevelType w:val="hybridMultilevel"/>
    <w:tmpl w:val="5802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963D6"/>
    <w:multiLevelType w:val="hybridMultilevel"/>
    <w:tmpl w:val="B7F48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A12A8"/>
    <w:multiLevelType w:val="hybridMultilevel"/>
    <w:tmpl w:val="F586C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6CA"/>
    <w:rsid w:val="00075AE5"/>
    <w:rsid w:val="001A4B91"/>
    <w:rsid w:val="001F7746"/>
    <w:rsid w:val="0028614A"/>
    <w:rsid w:val="002F0772"/>
    <w:rsid w:val="0030367C"/>
    <w:rsid w:val="00345232"/>
    <w:rsid w:val="003B3FA9"/>
    <w:rsid w:val="004125CE"/>
    <w:rsid w:val="00483366"/>
    <w:rsid w:val="0054483D"/>
    <w:rsid w:val="00561EEE"/>
    <w:rsid w:val="007D4FD7"/>
    <w:rsid w:val="00A01FB3"/>
    <w:rsid w:val="00AA3803"/>
    <w:rsid w:val="00C916CA"/>
    <w:rsid w:val="00CF28F8"/>
    <w:rsid w:val="00CF3039"/>
    <w:rsid w:val="00CF6662"/>
    <w:rsid w:val="00D77CAE"/>
    <w:rsid w:val="00DF4DD0"/>
    <w:rsid w:val="00E5758B"/>
    <w:rsid w:val="00EC248E"/>
    <w:rsid w:val="00FE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D0"/>
  </w:style>
  <w:style w:type="paragraph" w:styleId="Heading1">
    <w:name w:val="heading 1"/>
    <w:basedOn w:val="Normal"/>
    <w:next w:val="Normal"/>
    <w:link w:val="Heading1Char"/>
    <w:uiPriority w:val="9"/>
    <w:qFormat/>
    <w:rsid w:val="00DF4D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4D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4D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DD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DD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DD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DD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D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4D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4D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DD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DD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DD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DD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4D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4D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D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4DD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DD0"/>
    <w:pPr>
      <w:outlineLvl w:val="9"/>
    </w:pPr>
  </w:style>
  <w:style w:type="paragraph" w:customStyle="1" w:styleId="Default">
    <w:name w:val="Default"/>
    <w:rsid w:val="00C916CA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bidi="ar-SA"/>
    </w:rPr>
  </w:style>
  <w:style w:type="paragraph" w:styleId="ListParagraph">
    <w:name w:val="List Paragraph"/>
    <w:basedOn w:val="Normal"/>
    <w:uiPriority w:val="34"/>
    <w:rsid w:val="00303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2051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390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SJordan</dc:creator>
  <cp:lastModifiedBy>Alfonso Acosta</cp:lastModifiedBy>
  <cp:revision>3</cp:revision>
  <cp:lastPrinted>2014-03-21T15:19:00Z</cp:lastPrinted>
  <dcterms:created xsi:type="dcterms:W3CDTF">2014-03-21T15:21:00Z</dcterms:created>
  <dcterms:modified xsi:type="dcterms:W3CDTF">2014-03-21T15:30:00Z</dcterms:modified>
</cp:coreProperties>
</file>