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B020C7">
              <w:rPr>
                <w:rFonts w:ascii="Arial" w:hAnsi="Arial" w:cs="Arial"/>
                <w:i/>
                <w:caps w:val="0"/>
                <w:color w:val="0000FF"/>
                <w:szCs w:val="28"/>
              </w:rPr>
              <w:t>Sacramento 3DCA AV Systems Design/Build Project</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006920"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Wednesday</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6</w:t>
            </w:r>
            <w:r w:rsidR="0088452C">
              <w:rPr>
                <w:rFonts w:ascii="Arial" w:hAnsi="Arial" w:cs="Arial"/>
                <w:b/>
                <w:i/>
                <w:color w:val="FF0000"/>
                <w:sz w:val="28"/>
                <w:szCs w:val="28"/>
              </w:rPr>
              <w:t>/6</w:t>
            </w:r>
            <w:r w:rsidR="00CA4342">
              <w:rPr>
                <w:rFonts w:ascii="Arial" w:hAnsi="Arial" w:cs="Arial"/>
                <w:b/>
                <w:i/>
                <w:color w:val="FF0000"/>
                <w:sz w:val="28"/>
                <w:szCs w:val="28"/>
              </w:rPr>
              <w:t>/12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w:t>
      </w:r>
      <w:r w:rsidR="00FD4E87">
        <w:t xml:space="preserve">Audio Visual </w:t>
      </w:r>
      <w:r>
        <w:t>goods</w:t>
      </w:r>
      <w:r w:rsidR="00B020C7">
        <w:t>/services</w:t>
      </w:r>
      <w:r>
        <w:t xml:space="preserve"> meeting the following specifications: </w:t>
      </w:r>
    </w:p>
    <w:p w:rsidR="00EF04EC" w:rsidRDefault="00EF04EC"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FD4E87">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B020C7" w:rsidP="00006920">
            <w:pPr>
              <w:widowControl w:val="0"/>
              <w:tabs>
                <w:tab w:val="left" w:pos="2178"/>
              </w:tabs>
              <w:jc w:val="center"/>
              <w:rPr>
                <w:b/>
                <w:bCs/>
                <w:i/>
                <w:sz w:val="22"/>
                <w:szCs w:val="22"/>
              </w:rPr>
            </w:pPr>
            <w:r>
              <w:rPr>
                <w:b/>
                <w:bCs/>
                <w:i/>
                <w:sz w:val="22"/>
                <w:szCs w:val="22"/>
              </w:rPr>
              <w:t>05/0</w:t>
            </w:r>
            <w:r w:rsidR="00006920">
              <w:rPr>
                <w:b/>
                <w:bCs/>
                <w:i/>
                <w:sz w:val="22"/>
                <w:szCs w:val="22"/>
              </w:rPr>
              <w:t>4</w:t>
            </w:r>
            <w:r w:rsidR="00CA4342">
              <w:rPr>
                <w:b/>
                <w:bCs/>
                <w:i/>
                <w:sz w:val="22"/>
                <w:szCs w:val="22"/>
              </w:rPr>
              <w:t>/12</w:t>
            </w:r>
          </w:p>
        </w:tc>
      </w:tr>
      <w:tr w:rsidR="00FD4E87" w:rsidRPr="003B7ABC" w:rsidTr="00CA0946">
        <w:trPr>
          <w:trHeight w:val="668"/>
        </w:trPr>
        <w:tc>
          <w:tcPr>
            <w:tcW w:w="4986" w:type="dxa"/>
            <w:vAlign w:val="center"/>
          </w:tcPr>
          <w:p w:rsidR="00FD4E87" w:rsidRPr="00D77FEF" w:rsidRDefault="001A707C" w:rsidP="001A707C">
            <w:pPr>
              <w:rPr>
                <w:bCs/>
                <w:sz w:val="22"/>
                <w:szCs w:val="22"/>
              </w:rPr>
            </w:pPr>
            <w:r>
              <w:rPr>
                <w:bCs/>
                <w:sz w:val="22"/>
                <w:szCs w:val="22"/>
              </w:rPr>
              <w:t>Mandatory o</w:t>
            </w:r>
            <w:r w:rsidR="00FD4E87">
              <w:rPr>
                <w:bCs/>
                <w:sz w:val="22"/>
                <w:szCs w:val="22"/>
              </w:rPr>
              <w:t>n-site walkthrough taking place at 914 Capitol Mall, Sacramento, CA 95814</w:t>
            </w:r>
          </w:p>
        </w:tc>
        <w:tc>
          <w:tcPr>
            <w:tcW w:w="3192" w:type="dxa"/>
            <w:vAlign w:val="center"/>
          </w:tcPr>
          <w:p w:rsidR="00FD4E87" w:rsidRDefault="00FD4E87" w:rsidP="00201BD6">
            <w:pPr>
              <w:widowControl w:val="0"/>
              <w:tabs>
                <w:tab w:val="left" w:pos="2178"/>
              </w:tabs>
              <w:jc w:val="center"/>
              <w:rPr>
                <w:b/>
                <w:bCs/>
                <w:i/>
                <w:color w:val="000000"/>
                <w:sz w:val="22"/>
                <w:szCs w:val="22"/>
              </w:rPr>
            </w:pPr>
            <w:r>
              <w:rPr>
                <w:b/>
                <w:bCs/>
                <w:i/>
                <w:color w:val="000000"/>
                <w:sz w:val="22"/>
                <w:szCs w:val="22"/>
              </w:rPr>
              <w:t>05/22/12</w:t>
            </w:r>
            <w:r w:rsidR="00A45E02">
              <w:rPr>
                <w:b/>
                <w:bCs/>
                <w:i/>
                <w:color w:val="000000"/>
                <w:sz w:val="22"/>
                <w:szCs w:val="22"/>
              </w:rPr>
              <w:t xml:space="preserve"> @ 2:00pm</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B020C7" w:rsidRDefault="00B020C7" w:rsidP="00201BD6">
            <w:pPr>
              <w:widowControl w:val="0"/>
              <w:tabs>
                <w:tab w:val="left" w:pos="2178"/>
              </w:tabs>
              <w:jc w:val="center"/>
              <w:rPr>
                <w:b/>
                <w:bCs/>
                <w:i/>
                <w:color w:val="000000"/>
                <w:sz w:val="22"/>
                <w:szCs w:val="22"/>
              </w:rPr>
            </w:pPr>
            <w:r>
              <w:rPr>
                <w:b/>
                <w:bCs/>
                <w:i/>
                <w:color w:val="000000"/>
                <w:sz w:val="22"/>
                <w:szCs w:val="22"/>
              </w:rPr>
              <w:t>05/</w:t>
            </w:r>
            <w:r w:rsidR="00006920">
              <w:rPr>
                <w:b/>
                <w:bCs/>
                <w:i/>
                <w:color w:val="000000"/>
                <w:sz w:val="22"/>
                <w:szCs w:val="22"/>
              </w:rPr>
              <w:t>25</w:t>
            </w:r>
            <w:r>
              <w:rPr>
                <w:b/>
                <w:bCs/>
                <w:i/>
                <w:color w:val="000000"/>
                <w:sz w:val="22"/>
                <w:szCs w:val="22"/>
              </w:rPr>
              <w:t>/12 no later</w:t>
            </w:r>
          </w:p>
          <w:p w:rsidR="00CA0946" w:rsidRPr="00DC5150" w:rsidRDefault="00B020C7" w:rsidP="00201BD6">
            <w:pPr>
              <w:widowControl w:val="0"/>
              <w:tabs>
                <w:tab w:val="left" w:pos="2178"/>
              </w:tabs>
              <w:jc w:val="center"/>
              <w:rPr>
                <w:b/>
                <w:bCs/>
                <w:i/>
                <w:color w:val="000000"/>
                <w:sz w:val="22"/>
                <w:szCs w:val="22"/>
              </w:rPr>
            </w:pPr>
            <w:r>
              <w:rPr>
                <w:b/>
                <w:bCs/>
                <w:i/>
                <w:color w:val="000000"/>
                <w:sz w:val="22"/>
                <w:szCs w:val="22"/>
              </w:rPr>
              <w:t xml:space="preserve"> than 12:00pm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Default="0088452C" w:rsidP="00006920">
            <w:pPr>
              <w:widowControl w:val="0"/>
              <w:tabs>
                <w:tab w:val="left" w:pos="2178"/>
              </w:tabs>
              <w:jc w:val="center"/>
              <w:rPr>
                <w:b/>
                <w:bCs/>
                <w:i/>
                <w:color w:val="000000"/>
                <w:sz w:val="22"/>
                <w:szCs w:val="22"/>
              </w:rPr>
            </w:pPr>
            <w:r>
              <w:rPr>
                <w:b/>
                <w:bCs/>
                <w:i/>
                <w:color w:val="000000"/>
                <w:sz w:val="22"/>
                <w:szCs w:val="22"/>
              </w:rPr>
              <w:t>0</w:t>
            </w:r>
            <w:r w:rsidR="00B020C7">
              <w:rPr>
                <w:b/>
                <w:bCs/>
                <w:i/>
                <w:color w:val="000000"/>
                <w:sz w:val="22"/>
                <w:szCs w:val="22"/>
              </w:rPr>
              <w:t>5</w:t>
            </w:r>
            <w:r>
              <w:rPr>
                <w:b/>
                <w:bCs/>
                <w:i/>
                <w:color w:val="000000"/>
                <w:sz w:val="22"/>
                <w:szCs w:val="22"/>
              </w:rPr>
              <w:t>/</w:t>
            </w:r>
            <w:r w:rsidR="00006920">
              <w:rPr>
                <w:b/>
                <w:bCs/>
                <w:i/>
                <w:color w:val="000000"/>
                <w:sz w:val="22"/>
                <w:szCs w:val="22"/>
              </w:rPr>
              <w:t>30</w:t>
            </w:r>
            <w:r w:rsidR="00CA4342">
              <w:rPr>
                <w:b/>
                <w:bCs/>
                <w:i/>
                <w:color w:val="000000"/>
                <w:sz w:val="22"/>
                <w:szCs w:val="22"/>
              </w:rPr>
              <w:t>/12</w:t>
            </w:r>
            <w:r w:rsidR="00006920">
              <w:rPr>
                <w:b/>
                <w:bCs/>
                <w:i/>
                <w:color w:val="000000"/>
                <w:sz w:val="22"/>
                <w:szCs w:val="22"/>
              </w:rPr>
              <w:t xml:space="preserve"> no later</w:t>
            </w:r>
          </w:p>
          <w:p w:rsidR="00006920" w:rsidRPr="00DC5150" w:rsidRDefault="00006920" w:rsidP="00006920">
            <w:pPr>
              <w:widowControl w:val="0"/>
              <w:tabs>
                <w:tab w:val="left" w:pos="2178"/>
              </w:tabs>
              <w:jc w:val="center"/>
              <w:rPr>
                <w:b/>
                <w:bCs/>
                <w:i/>
                <w:color w:val="000000"/>
                <w:sz w:val="22"/>
                <w:szCs w:val="22"/>
              </w:rPr>
            </w:pPr>
            <w:r>
              <w:rPr>
                <w:b/>
                <w:bCs/>
                <w:i/>
                <w:color w:val="000000"/>
                <w:sz w:val="22"/>
                <w:szCs w:val="22"/>
              </w:rPr>
              <w:t xml:space="preserve">than 5:00pm </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006920" w:rsidRPr="00006920" w:rsidRDefault="00006920" w:rsidP="00006920">
            <w:pPr>
              <w:widowControl w:val="0"/>
              <w:tabs>
                <w:tab w:val="left" w:pos="2178"/>
              </w:tabs>
              <w:jc w:val="center"/>
              <w:rPr>
                <w:b/>
                <w:bCs/>
                <w:i/>
                <w:color w:val="000000"/>
                <w:sz w:val="22"/>
                <w:szCs w:val="22"/>
              </w:rPr>
            </w:pPr>
            <w:r w:rsidRPr="00006920">
              <w:rPr>
                <w:b/>
                <w:bCs/>
                <w:i/>
                <w:color w:val="000000"/>
                <w:sz w:val="22"/>
                <w:szCs w:val="22"/>
              </w:rPr>
              <w:t>06/06/12 no later</w:t>
            </w:r>
          </w:p>
          <w:p w:rsidR="00CA0946" w:rsidRPr="00006920" w:rsidRDefault="00006920" w:rsidP="00006920">
            <w:pPr>
              <w:widowControl w:val="0"/>
              <w:tabs>
                <w:tab w:val="left" w:pos="2178"/>
              </w:tabs>
              <w:jc w:val="center"/>
              <w:rPr>
                <w:b/>
                <w:bCs/>
                <w:i/>
                <w:color w:val="000000"/>
                <w:sz w:val="22"/>
                <w:szCs w:val="22"/>
              </w:rPr>
            </w:pPr>
            <w:r w:rsidRPr="00006920">
              <w:rPr>
                <w:b/>
                <w:bCs/>
                <w:i/>
                <w:color w:val="000000"/>
                <w:sz w:val="22"/>
                <w:szCs w:val="22"/>
              </w:rPr>
              <w:t xml:space="preserve"> than noon</w:t>
            </w: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r w:rsidR="00550F76">
              <w:rPr>
                <w:bCs/>
                <w:sz w:val="22"/>
                <w:szCs w:val="22"/>
              </w:rPr>
              <w:t xml:space="preserve"> at 455 Golden Gate Ave, San Francisco CA 94102, 7th floor</w:t>
            </w:r>
          </w:p>
        </w:tc>
        <w:tc>
          <w:tcPr>
            <w:tcW w:w="3192" w:type="dxa"/>
            <w:vAlign w:val="center"/>
          </w:tcPr>
          <w:p w:rsidR="00006920" w:rsidRPr="00006920" w:rsidRDefault="00006920" w:rsidP="00006920">
            <w:pPr>
              <w:widowControl w:val="0"/>
              <w:tabs>
                <w:tab w:val="left" w:pos="2178"/>
              </w:tabs>
              <w:jc w:val="center"/>
              <w:rPr>
                <w:b/>
                <w:bCs/>
                <w:i/>
                <w:color w:val="000000"/>
                <w:sz w:val="22"/>
                <w:szCs w:val="22"/>
              </w:rPr>
            </w:pPr>
            <w:r w:rsidRPr="00006920">
              <w:rPr>
                <w:b/>
                <w:bCs/>
                <w:i/>
                <w:color w:val="000000"/>
                <w:sz w:val="22"/>
                <w:szCs w:val="22"/>
              </w:rPr>
              <w:t>06/0</w:t>
            </w:r>
            <w:r>
              <w:rPr>
                <w:b/>
                <w:bCs/>
                <w:i/>
                <w:color w:val="000000"/>
                <w:sz w:val="22"/>
                <w:szCs w:val="22"/>
              </w:rPr>
              <w:t>8</w:t>
            </w:r>
            <w:r w:rsidRPr="00006920">
              <w:rPr>
                <w:b/>
                <w:bCs/>
                <w:i/>
                <w:color w:val="000000"/>
                <w:sz w:val="22"/>
                <w:szCs w:val="22"/>
              </w:rPr>
              <w:t xml:space="preserve">/12 </w:t>
            </w:r>
            <w:r>
              <w:rPr>
                <w:b/>
                <w:bCs/>
                <w:i/>
                <w:color w:val="000000"/>
                <w:sz w:val="22"/>
                <w:szCs w:val="22"/>
              </w:rPr>
              <w:t>at 10:00am</w:t>
            </w:r>
          </w:p>
          <w:p w:rsidR="00CA0946" w:rsidRPr="008C03BF" w:rsidRDefault="00006920" w:rsidP="00006920">
            <w:pPr>
              <w:widowControl w:val="0"/>
              <w:jc w:val="center"/>
              <w:rPr>
                <w:b/>
                <w:bCs/>
                <w:sz w:val="12"/>
                <w:szCs w:val="12"/>
              </w:rPr>
            </w:pPr>
            <w:r w:rsidRPr="00006920">
              <w:rPr>
                <w:b/>
                <w:bCs/>
                <w:i/>
                <w:color w:val="000000"/>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006920" w:rsidRDefault="00006920" w:rsidP="00CA0946">
            <w:pPr>
              <w:widowControl w:val="0"/>
              <w:jc w:val="center"/>
              <w:rPr>
                <w:b/>
                <w:bCs/>
                <w:i/>
                <w:color w:val="000000"/>
                <w:sz w:val="22"/>
                <w:szCs w:val="22"/>
              </w:rPr>
            </w:pPr>
            <w:r w:rsidRPr="00006920">
              <w:rPr>
                <w:b/>
                <w:bCs/>
                <w:i/>
                <w:color w:val="000000"/>
                <w:sz w:val="22"/>
                <w:szCs w:val="22"/>
              </w:rPr>
              <w:t>06/11/12</w:t>
            </w: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006920" w:rsidP="00201BD6">
            <w:pPr>
              <w:widowControl w:val="0"/>
              <w:jc w:val="center"/>
              <w:rPr>
                <w:b/>
                <w:bCs/>
                <w:i/>
                <w:color w:val="000000"/>
                <w:sz w:val="22"/>
                <w:szCs w:val="22"/>
              </w:rPr>
            </w:pPr>
            <w:r>
              <w:rPr>
                <w:b/>
                <w:bCs/>
                <w:i/>
                <w:color w:val="000000"/>
                <w:sz w:val="22"/>
                <w:szCs w:val="22"/>
              </w:rPr>
              <w:t>06/14/12</w:t>
            </w:r>
          </w:p>
        </w:tc>
      </w:tr>
    </w:tbl>
    <w:p w:rsidR="00A50B42" w:rsidRPr="00D74462" w:rsidRDefault="00A50B42" w:rsidP="00A50B42">
      <w:pPr>
        <w:widowControl w:val="0"/>
        <w:rPr>
          <w:bCs/>
        </w:rPr>
      </w:pPr>
    </w:p>
    <w:p w:rsidR="00A50B42" w:rsidRDefault="00A50B42" w:rsidP="00FD4E87">
      <w:pPr>
        <w:pStyle w:val="Heading1"/>
        <w:rPr>
          <w:bCs w:val="0"/>
        </w:rPr>
      </w:pPr>
    </w:p>
    <w:p w:rsidR="00AB2FC2" w:rsidRDefault="00AB2FC2" w:rsidP="00A50B42">
      <w:pPr>
        <w:widowControl w:val="0"/>
        <w:ind w:left="1440"/>
        <w:rPr>
          <w:bCs/>
        </w:rPr>
      </w:pPr>
    </w:p>
    <w:p w:rsidR="00A50B42" w:rsidRDefault="00A50B42" w:rsidP="00A50B42">
      <w:pPr>
        <w:widowControl w:val="0"/>
        <w:ind w:left="1440"/>
        <w:rPr>
          <w:bCs/>
        </w:rPr>
      </w:pPr>
    </w:p>
    <w:p w:rsidR="00FD4E87" w:rsidRDefault="002E7965" w:rsidP="002E7965">
      <w:pPr>
        <w:keepNext/>
        <w:rPr>
          <w:b/>
          <w:bCs/>
          <w:color w:val="000000"/>
        </w:rPr>
      </w:pPr>
      <w:r>
        <w:rPr>
          <w:b/>
          <w:bCs/>
          <w:color w:val="000000"/>
        </w:rPr>
        <w:lastRenderedPageBreak/>
        <w:t>4.0</w:t>
      </w:r>
      <w:r w:rsidR="00FD4E87">
        <w:rPr>
          <w:b/>
          <w:bCs/>
          <w:color w:val="000000"/>
        </w:rPr>
        <w:tab/>
      </w:r>
    </w:p>
    <w:p w:rsidR="00FD4E87" w:rsidRDefault="002E7965" w:rsidP="002E7965">
      <w:pPr>
        <w:keepNext/>
        <w:rPr>
          <w:b/>
          <w:bCs/>
          <w:color w:val="000000"/>
        </w:rPr>
      </w:pP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EF04EC" w:rsidRDefault="001E4128" w:rsidP="009C4382">
            <w:pPr>
              <w:widowControl w:val="0"/>
            </w:pPr>
            <w:r>
              <w:t>Statement of Work for AV Systems Contractor</w:t>
            </w:r>
          </w:p>
          <w:p w:rsidR="00EF04EC" w:rsidRDefault="00EF04EC" w:rsidP="009C4382">
            <w:pPr>
              <w:widowControl w:val="0"/>
            </w:pPr>
          </w:p>
          <w:p w:rsidR="001E4128" w:rsidRDefault="001E4128" w:rsidP="009C4382">
            <w:pPr>
              <w:widowControl w:val="0"/>
            </w:pP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FD4E87"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xml:space="preserve">) must be submitted to the AOC in a single sealed </w:t>
      </w:r>
      <w:r>
        <w:rPr>
          <w:color w:val="000000"/>
        </w:rPr>
        <w:lastRenderedPageBreak/>
        <w:t>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Model number(s), specifications, or other description of the goods</w:t>
      </w:r>
      <w:r w:rsidR="001E4128">
        <w:t xml:space="preserve">/services </w:t>
      </w:r>
      <w:r w:rsidR="00EF1349">
        <w:t xml:space="preserve">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lastRenderedPageBreak/>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lastRenderedPageBreak/>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w:t>
      </w:r>
      <w:r w:rsidR="00550F76">
        <w:t xml:space="preserve">based on criteria </w:t>
      </w:r>
      <w:r>
        <w:t xml:space="preserve">described in </w:t>
      </w:r>
      <w:r w:rsidR="00550F76">
        <w:t>attachment 1.</w:t>
      </w:r>
      <w:r>
        <w:t xml:space="preserve">  </w:t>
      </w:r>
      <w:r w:rsidR="00734423">
        <w:t xml:space="preserve">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73" w:rsidRDefault="00BD0C73" w:rsidP="00C37FF7">
      <w:r>
        <w:separator/>
      </w:r>
    </w:p>
  </w:endnote>
  <w:endnote w:type="continuationSeparator" w:id="0">
    <w:p w:rsidR="00BD0C73" w:rsidRDefault="00BD0C7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88452C" w:rsidRPr="00CA0946" w:rsidRDefault="0088452C">
            <w:pPr>
              <w:pStyle w:val="Footer"/>
              <w:jc w:val="center"/>
              <w:rPr>
                <w:sz w:val="22"/>
                <w:szCs w:val="22"/>
              </w:rPr>
            </w:pPr>
            <w:r w:rsidRPr="00C10D87">
              <w:rPr>
                <w:sz w:val="22"/>
                <w:szCs w:val="22"/>
              </w:rPr>
              <w:t xml:space="preserve">Page </w:t>
            </w:r>
            <w:r w:rsidR="002B65B0" w:rsidRPr="00C10D87">
              <w:rPr>
                <w:sz w:val="22"/>
                <w:szCs w:val="22"/>
              </w:rPr>
              <w:fldChar w:fldCharType="begin"/>
            </w:r>
            <w:r w:rsidRPr="00C10D87">
              <w:rPr>
                <w:sz w:val="22"/>
                <w:szCs w:val="22"/>
              </w:rPr>
              <w:instrText xml:space="preserve"> PAGE </w:instrText>
            </w:r>
            <w:r w:rsidR="002B65B0" w:rsidRPr="00C10D87">
              <w:rPr>
                <w:sz w:val="22"/>
                <w:szCs w:val="22"/>
              </w:rPr>
              <w:fldChar w:fldCharType="separate"/>
            </w:r>
            <w:r w:rsidR="00A45E02">
              <w:rPr>
                <w:noProof/>
                <w:sz w:val="22"/>
                <w:szCs w:val="22"/>
              </w:rPr>
              <w:t>2</w:t>
            </w:r>
            <w:r w:rsidR="002B65B0" w:rsidRPr="00C10D87">
              <w:rPr>
                <w:sz w:val="22"/>
                <w:szCs w:val="22"/>
              </w:rPr>
              <w:fldChar w:fldCharType="end"/>
            </w:r>
            <w:r w:rsidRPr="00C10D87">
              <w:rPr>
                <w:sz w:val="22"/>
                <w:szCs w:val="22"/>
              </w:rPr>
              <w:t xml:space="preserve"> of </w:t>
            </w:r>
            <w:r w:rsidR="002B65B0" w:rsidRPr="00C10D87">
              <w:rPr>
                <w:sz w:val="22"/>
                <w:szCs w:val="22"/>
              </w:rPr>
              <w:fldChar w:fldCharType="begin"/>
            </w:r>
            <w:r w:rsidRPr="00C10D87">
              <w:rPr>
                <w:sz w:val="22"/>
                <w:szCs w:val="22"/>
              </w:rPr>
              <w:instrText xml:space="preserve"> NUMPAGES  </w:instrText>
            </w:r>
            <w:r w:rsidR="002B65B0" w:rsidRPr="00C10D87">
              <w:rPr>
                <w:sz w:val="22"/>
                <w:szCs w:val="22"/>
              </w:rPr>
              <w:fldChar w:fldCharType="separate"/>
            </w:r>
            <w:r w:rsidR="002A66BC">
              <w:rPr>
                <w:noProof/>
                <w:sz w:val="22"/>
                <w:szCs w:val="22"/>
              </w:rPr>
              <w:t>6</w:t>
            </w:r>
            <w:r w:rsidR="002B65B0" w:rsidRPr="00C10D87">
              <w:rPr>
                <w:sz w:val="22"/>
                <w:szCs w:val="22"/>
              </w:rPr>
              <w:fldChar w:fldCharType="end"/>
            </w:r>
          </w:p>
        </w:sdtContent>
      </w:sdt>
    </w:sdtContent>
  </w:sdt>
  <w:p w:rsidR="0088452C" w:rsidRDefault="00884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73" w:rsidRDefault="00BD0C73" w:rsidP="00C37FF7">
      <w:r>
        <w:separator/>
      </w:r>
    </w:p>
  </w:footnote>
  <w:footnote w:type="continuationSeparator" w:id="0">
    <w:p w:rsidR="00BD0C73" w:rsidRDefault="00BD0C7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2C" w:rsidRDefault="0088452C"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B020C7" w:rsidRPr="00B020C7">
      <w:rPr>
        <w:b/>
        <w:color w:val="0000FF"/>
        <w:sz w:val="22"/>
        <w:szCs w:val="22"/>
      </w:rPr>
      <w:t>Sacramento AV Sy</w:t>
    </w:r>
    <w:r w:rsidR="00B020C7">
      <w:rPr>
        <w:b/>
        <w:color w:val="0000FF"/>
        <w:sz w:val="22"/>
        <w:szCs w:val="22"/>
      </w:rPr>
      <w:t>s</w:t>
    </w:r>
    <w:r w:rsidR="00B020C7" w:rsidRPr="00B020C7">
      <w:rPr>
        <w:b/>
        <w:color w:val="0000FF"/>
        <w:sz w:val="22"/>
        <w:szCs w:val="22"/>
      </w:rPr>
      <w:t>tems Design/Build</w:t>
    </w:r>
  </w:p>
  <w:p w:rsidR="0088452C" w:rsidRPr="009000D1" w:rsidRDefault="0088452C"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w:t>
    </w:r>
    <w:r w:rsidR="00B020C7">
      <w:rPr>
        <w:b/>
        <w:i/>
        <w:color w:val="0000FF"/>
        <w:sz w:val="22"/>
        <w:szCs w:val="22"/>
      </w:rPr>
      <w:t>EDU-</w:t>
    </w:r>
    <w:r>
      <w:rPr>
        <w:b/>
        <w:i/>
        <w:color w:val="0000FF"/>
        <w:sz w:val="22"/>
        <w:szCs w:val="22"/>
      </w:rPr>
      <w:t>0</w:t>
    </w:r>
    <w:r w:rsidR="00B020C7">
      <w:rPr>
        <w:b/>
        <w:i/>
        <w:color w:val="0000FF"/>
        <w:sz w:val="22"/>
        <w:szCs w:val="22"/>
      </w:rPr>
      <w:t>50412</w:t>
    </w:r>
    <w:r>
      <w:rPr>
        <w:b/>
        <w:i/>
        <w:color w:val="0000FF"/>
        <w:sz w:val="22"/>
        <w:szCs w:val="22"/>
      </w:rPr>
      <w:t>-</w:t>
    </w:r>
    <w:r w:rsidR="00B020C7">
      <w:rPr>
        <w:b/>
        <w:i/>
        <w:color w:val="0000FF"/>
        <w:sz w:val="22"/>
        <w:szCs w:val="22"/>
      </w:rPr>
      <w:t>RB</w:t>
    </w:r>
    <w:r>
      <w:rPr>
        <w:b/>
        <w:i/>
        <w:color w:val="0000FF"/>
        <w:sz w:val="22"/>
        <w:szCs w:val="22"/>
      </w:rPr>
      <w:tab/>
    </w:r>
  </w:p>
  <w:p w:rsidR="0088452C" w:rsidRDefault="00884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7FF7"/>
    <w:rsid w:val="00006920"/>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B0051"/>
    <w:rsid w:val="000B0813"/>
    <w:rsid w:val="000D0E82"/>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A707C"/>
    <w:rsid w:val="001B7A1E"/>
    <w:rsid w:val="001C7E5D"/>
    <w:rsid w:val="001E4128"/>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A66BC"/>
    <w:rsid w:val="002B1206"/>
    <w:rsid w:val="002B44C3"/>
    <w:rsid w:val="002B65B0"/>
    <w:rsid w:val="002C5046"/>
    <w:rsid w:val="002C64BD"/>
    <w:rsid w:val="002D07F1"/>
    <w:rsid w:val="002E7965"/>
    <w:rsid w:val="002F737D"/>
    <w:rsid w:val="00300050"/>
    <w:rsid w:val="003020A2"/>
    <w:rsid w:val="0031272D"/>
    <w:rsid w:val="0031614E"/>
    <w:rsid w:val="00326DC0"/>
    <w:rsid w:val="00327099"/>
    <w:rsid w:val="0032785B"/>
    <w:rsid w:val="003360B1"/>
    <w:rsid w:val="003364C3"/>
    <w:rsid w:val="0036121D"/>
    <w:rsid w:val="00363D13"/>
    <w:rsid w:val="003841F7"/>
    <w:rsid w:val="003864BA"/>
    <w:rsid w:val="00390A6A"/>
    <w:rsid w:val="00395B94"/>
    <w:rsid w:val="003A4D99"/>
    <w:rsid w:val="003B22AE"/>
    <w:rsid w:val="003B3ABF"/>
    <w:rsid w:val="003C14B3"/>
    <w:rsid w:val="003D5784"/>
    <w:rsid w:val="003E46FF"/>
    <w:rsid w:val="003E5035"/>
    <w:rsid w:val="003E5AB6"/>
    <w:rsid w:val="003F74D2"/>
    <w:rsid w:val="00400CA2"/>
    <w:rsid w:val="004070CC"/>
    <w:rsid w:val="00427480"/>
    <w:rsid w:val="00430348"/>
    <w:rsid w:val="0044047E"/>
    <w:rsid w:val="004425FB"/>
    <w:rsid w:val="004A337A"/>
    <w:rsid w:val="004B38F7"/>
    <w:rsid w:val="004D4899"/>
    <w:rsid w:val="004D4940"/>
    <w:rsid w:val="004E0249"/>
    <w:rsid w:val="004E669D"/>
    <w:rsid w:val="004F0DE1"/>
    <w:rsid w:val="004F1096"/>
    <w:rsid w:val="00501FF0"/>
    <w:rsid w:val="00510171"/>
    <w:rsid w:val="005144F5"/>
    <w:rsid w:val="00532899"/>
    <w:rsid w:val="005422BB"/>
    <w:rsid w:val="00545032"/>
    <w:rsid w:val="005462D6"/>
    <w:rsid w:val="005479C6"/>
    <w:rsid w:val="005504B6"/>
    <w:rsid w:val="00550F76"/>
    <w:rsid w:val="00574253"/>
    <w:rsid w:val="00587F89"/>
    <w:rsid w:val="00591B8A"/>
    <w:rsid w:val="005946B6"/>
    <w:rsid w:val="00595811"/>
    <w:rsid w:val="00595822"/>
    <w:rsid w:val="00597B92"/>
    <w:rsid w:val="005A0B35"/>
    <w:rsid w:val="005B04DF"/>
    <w:rsid w:val="005B1EF4"/>
    <w:rsid w:val="005C1920"/>
    <w:rsid w:val="005D4BA1"/>
    <w:rsid w:val="005D6272"/>
    <w:rsid w:val="005D76F5"/>
    <w:rsid w:val="005E41D4"/>
    <w:rsid w:val="005F3277"/>
    <w:rsid w:val="005F3F8D"/>
    <w:rsid w:val="005F597D"/>
    <w:rsid w:val="005F5C25"/>
    <w:rsid w:val="005F6E88"/>
    <w:rsid w:val="00611380"/>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23955"/>
    <w:rsid w:val="00734423"/>
    <w:rsid w:val="0075335D"/>
    <w:rsid w:val="00753F60"/>
    <w:rsid w:val="0076756F"/>
    <w:rsid w:val="007A0851"/>
    <w:rsid w:val="007B0E96"/>
    <w:rsid w:val="007B7AC8"/>
    <w:rsid w:val="007C4712"/>
    <w:rsid w:val="007D20B2"/>
    <w:rsid w:val="007F3BA9"/>
    <w:rsid w:val="0080611E"/>
    <w:rsid w:val="00806692"/>
    <w:rsid w:val="00811500"/>
    <w:rsid w:val="00825891"/>
    <w:rsid w:val="00825BC4"/>
    <w:rsid w:val="008408FD"/>
    <w:rsid w:val="008465EC"/>
    <w:rsid w:val="008618FA"/>
    <w:rsid w:val="00875A30"/>
    <w:rsid w:val="0088206E"/>
    <w:rsid w:val="0088452C"/>
    <w:rsid w:val="00893C52"/>
    <w:rsid w:val="008A46BC"/>
    <w:rsid w:val="008A5B57"/>
    <w:rsid w:val="008A6851"/>
    <w:rsid w:val="008B3420"/>
    <w:rsid w:val="008C03BF"/>
    <w:rsid w:val="008D3DA3"/>
    <w:rsid w:val="008E036F"/>
    <w:rsid w:val="00902769"/>
    <w:rsid w:val="009130E1"/>
    <w:rsid w:val="00914A4E"/>
    <w:rsid w:val="009156DE"/>
    <w:rsid w:val="009211B9"/>
    <w:rsid w:val="00925809"/>
    <w:rsid w:val="00945B36"/>
    <w:rsid w:val="0095266A"/>
    <w:rsid w:val="00967812"/>
    <w:rsid w:val="00967E54"/>
    <w:rsid w:val="00982943"/>
    <w:rsid w:val="009B7587"/>
    <w:rsid w:val="009C38A6"/>
    <w:rsid w:val="009C4382"/>
    <w:rsid w:val="009D7680"/>
    <w:rsid w:val="009E6B6B"/>
    <w:rsid w:val="00A21CE7"/>
    <w:rsid w:val="00A42DC6"/>
    <w:rsid w:val="00A437DA"/>
    <w:rsid w:val="00A45E02"/>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D78F7"/>
    <w:rsid w:val="00AF0CDB"/>
    <w:rsid w:val="00B020C7"/>
    <w:rsid w:val="00B22D82"/>
    <w:rsid w:val="00B23242"/>
    <w:rsid w:val="00B346C5"/>
    <w:rsid w:val="00B3489C"/>
    <w:rsid w:val="00B45F27"/>
    <w:rsid w:val="00B508E0"/>
    <w:rsid w:val="00B53021"/>
    <w:rsid w:val="00B56734"/>
    <w:rsid w:val="00B60F34"/>
    <w:rsid w:val="00B8213C"/>
    <w:rsid w:val="00B90602"/>
    <w:rsid w:val="00B94738"/>
    <w:rsid w:val="00BA6103"/>
    <w:rsid w:val="00BA7126"/>
    <w:rsid w:val="00BA73EE"/>
    <w:rsid w:val="00BB0779"/>
    <w:rsid w:val="00BB3478"/>
    <w:rsid w:val="00BB7BEB"/>
    <w:rsid w:val="00BD00C6"/>
    <w:rsid w:val="00BD0C73"/>
    <w:rsid w:val="00BD0D2D"/>
    <w:rsid w:val="00BD0E18"/>
    <w:rsid w:val="00BD3DD2"/>
    <w:rsid w:val="00BD4577"/>
    <w:rsid w:val="00BD65B9"/>
    <w:rsid w:val="00BE1290"/>
    <w:rsid w:val="00BE1AF3"/>
    <w:rsid w:val="00BF1CC4"/>
    <w:rsid w:val="00BF541B"/>
    <w:rsid w:val="00C02295"/>
    <w:rsid w:val="00C041EE"/>
    <w:rsid w:val="00C10D87"/>
    <w:rsid w:val="00C34EA2"/>
    <w:rsid w:val="00C37FF7"/>
    <w:rsid w:val="00C40896"/>
    <w:rsid w:val="00C662D1"/>
    <w:rsid w:val="00C738C0"/>
    <w:rsid w:val="00C9492B"/>
    <w:rsid w:val="00CA0946"/>
    <w:rsid w:val="00CA4342"/>
    <w:rsid w:val="00CB4253"/>
    <w:rsid w:val="00CC2077"/>
    <w:rsid w:val="00CD09CF"/>
    <w:rsid w:val="00CE6D75"/>
    <w:rsid w:val="00CF70E4"/>
    <w:rsid w:val="00D22A15"/>
    <w:rsid w:val="00D24568"/>
    <w:rsid w:val="00D35786"/>
    <w:rsid w:val="00D44364"/>
    <w:rsid w:val="00D4710E"/>
    <w:rsid w:val="00D523F5"/>
    <w:rsid w:val="00D7152A"/>
    <w:rsid w:val="00D76C04"/>
    <w:rsid w:val="00D779BC"/>
    <w:rsid w:val="00D91DB7"/>
    <w:rsid w:val="00DA4EF2"/>
    <w:rsid w:val="00DA6B88"/>
    <w:rsid w:val="00DB0944"/>
    <w:rsid w:val="00DC3743"/>
    <w:rsid w:val="00DC5150"/>
    <w:rsid w:val="00DC5E54"/>
    <w:rsid w:val="00E00E57"/>
    <w:rsid w:val="00E12B26"/>
    <w:rsid w:val="00E328AB"/>
    <w:rsid w:val="00E53C2F"/>
    <w:rsid w:val="00E72BA3"/>
    <w:rsid w:val="00EA31A4"/>
    <w:rsid w:val="00EB713B"/>
    <w:rsid w:val="00EC4775"/>
    <w:rsid w:val="00EE4622"/>
    <w:rsid w:val="00EF04EC"/>
    <w:rsid w:val="00EF1349"/>
    <w:rsid w:val="00EF153B"/>
    <w:rsid w:val="00F0059D"/>
    <w:rsid w:val="00F1701D"/>
    <w:rsid w:val="00F34996"/>
    <w:rsid w:val="00F55699"/>
    <w:rsid w:val="00F73B08"/>
    <w:rsid w:val="00F85DDD"/>
    <w:rsid w:val="00F91141"/>
    <w:rsid w:val="00F96E28"/>
    <w:rsid w:val="00FA6747"/>
    <w:rsid w:val="00FC4A81"/>
    <w:rsid w:val="00FD3DAD"/>
    <w:rsid w:val="00FD4E87"/>
    <w:rsid w:val="00FF0EB3"/>
    <w:rsid w:val="00FF1876"/>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0069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9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14</cp:revision>
  <cp:lastPrinted>2012-05-04T21:18:00Z</cp:lastPrinted>
  <dcterms:created xsi:type="dcterms:W3CDTF">2012-05-04T16:29:00Z</dcterms:created>
  <dcterms:modified xsi:type="dcterms:W3CDTF">2012-05-04T21:18:00Z</dcterms:modified>
</cp:coreProperties>
</file>