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C4130" w14:textId="7D66264F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9A241E">
        <w:rPr>
          <w:b/>
          <w:color w:val="000000"/>
        </w:rPr>
        <w:t>6</w:t>
      </w:r>
      <w:bookmarkStart w:id="0" w:name="_GoBack"/>
      <w:bookmarkEnd w:id="0"/>
    </w:p>
    <w:p w14:paraId="1E6D89EF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B5151D7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29BD91E7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8931ADD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E7A8938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6DEF09A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065128B4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72933251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3FE3EB8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1BB8E4E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1F320D0B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5E2B2F65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39C60BB6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DBC0CAC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</w:t>
      </w:r>
      <w:proofErr w:type="gramStart"/>
      <w:r w:rsidR="00610B70">
        <w:rPr>
          <w:rFonts w:cstheme="minorHAnsi"/>
          <w:bCs/>
          <w:lang w:bidi="ar-SA"/>
        </w:rPr>
        <w:t>subcontract</w:t>
      </w:r>
      <w:r>
        <w:rPr>
          <w:rFonts w:cstheme="minorHAnsi"/>
          <w:bCs/>
          <w:lang w:bidi="ar-SA"/>
        </w:rPr>
        <w:t>:</w:t>
      </w:r>
      <w:proofErr w:type="gramEnd"/>
      <w:r>
        <w:rPr>
          <w:rFonts w:cstheme="minorHAnsi"/>
          <w:bCs/>
          <w:lang w:bidi="ar-SA"/>
        </w:rPr>
        <w:t xml:space="preserve"> </w:t>
      </w:r>
      <w:r w:rsidR="00AA0445">
        <w:rPr>
          <w:rFonts w:cstheme="minorHAnsi"/>
          <w:bCs/>
          <w:lang w:bidi="ar-SA"/>
        </w:rPr>
        <w:t>_____</w:t>
      </w:r>
    </w:p>
    <w:p w14:paraId="323F0E3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</w:t>
      </w:r>
      <w:proofErr w:type="gramStart"/>
      <w:r w:rsidR="009F1DD1">
        <w:rPr>
          <w:rFonts w:cstheme="minorHAnsi"/>
          <w:lang w:bidi="ar-SA"/>
        </w:rPr>
        <w:t>be provided</w:t>
      </w:r>
      <w:proofErr w:type="gramEnd"/>
      <w:r w:rsidR="009F1DD1">
        <w:rPr>
          <w:rFonts w:cstheme="minorHAnsi"/>
          <w:lang w:bidi="ar-SA"/>
        </w:rPr>
        <w:t xml:space="preserve">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3811CF1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E418CA7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BDB57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FE7650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B1CA738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5480714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7446E25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742603A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872624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731AD31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7CDF165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02B252D6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E20967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1339FC7A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32978E3E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7B38A3A8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46EB5AA5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4E013419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F3879DA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4A760B5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435E8A8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132B33E6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B72C13D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</w:t>
      </w:r>
      <w:proofErr w:type="gramStart"/>
      <w:r w:rsidRPr="00E50BAE">
        <w:rPr>
          <w:rFonts w:cs="Arial"/>
        </w:rPr>
        <w:t>am duly authorized</w:t>
      </w:r>
      <w:proofErr w:type="gramEnd"/>
      <w:r w:rsidRPr="00E50BAE">
        <w:rPr>
          <w:rFonts w:cs="Arial"/>
        </w:rPr>
        <w:t xml:space="preserve">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 xml:space="preserve">. This certification </w:t>
      </w:r>
      <w:proofErr w:type="gramStart"/>
      <w:r w:rsidRPr="00E50BAE">
        <w:rPr>
          <w:rFonts w:cs="Arial"/>
        </w:rPr>
        <w:t>is made</w:t>
      </w:r>
      <w:proofErr w:type="gramEnd"/>
      <w:r w:rsidRPr="00E50BAE">
        <w:rPr>
          <w:rFonts w:cs="Arial"/>
        </w:rPr>
        <w:t xml:space="preserve"> under the laws of the State of California.</w:t>
      </w:r>
    </w:p>
    <w:p w14:paraId="7C6C3452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36CF0E6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20350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9F6EDE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7FBE79B9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626E83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3671F3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389E741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0B78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7A324E47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D958D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1B45F612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F1E4A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DD425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5FDBF71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2A64703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FFF2CAF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0B621350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4C8BA07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23976B6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300A338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A82496D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347A94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is offered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is offered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F35C8A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D5EBF6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36E1A70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9D0FAC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1317238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50F7A496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4771EAF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84F720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AD632C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are listed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667245C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5DEAA101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</w:t>
      </w:r>
      <w:proofErr w:type="gramStart"/>
      <w:r>
        <w:rPr>
          <w:rFonts w:cstheme="minorHAnsi"/>
          <w:sz w:val="20"/>
          <w:szCs w:val="20"/>
          <w:lang w:bidi="ar-SA"/>
        </w:rPr>
        <w:t>be paid</w:t>
      </w:r>
      <w:proofErr w:type="gramEnd"/>
      <w:r>
        <w:rPr>
          <w:rFonts w:cstheme="minorHAnsi"/>
          <w:sz w:val="20"/>
          <w:szCs w:val="20"/>
          <w:lang w:bidi="ar-SA"/>
        </w:rPr>
        <w:t xml:space="preserve">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0D2F9D6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76B70DF3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</w:t>
      </w:r>
      <w:proofErr w:type="gramStart"/>
      <w:r w:rsidRPr="00551F4B">
        <w:rPr>
          <w:rFonts w:cstheme="minorHAnsi"/>
          <w:sz w:val="20"/>
          <w:szCs w:val="20"/>
          <w:lang w:bidi="ar-SA"/>
        </w:rPr>
        <w:t xml:space="preserve">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679F1BAF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5DF604E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22612B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9A7D9C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475B94F1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1F6DCAF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5210A219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3278BA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are listed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7F252EB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507E841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09E3D33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19E9502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BC75281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</w:t>
      </w:r>
      <w:proofErr w:type="gramStart"/>
      <w:r w:rsidRPr="00551F4B">
        <w:rPr>
          <w:rFonts w:cstheme="minorHAnsi"/>
          <w:sz w:val="20"/>
          <w:szCs w:val="20"/>
          <w:lang w:bidi="ar-SA"/>
        </w:rPr>
        <w:t xml:space="preserve">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58B5048A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337C0EB4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8E9D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3362A3DB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43CF1" w14:textId="77777777" w:rsidR="00304087" w:rsidRDefault="00304087">
    <w:pPr>
      <w:pStyle w:val="Footer"/>
      <w:jc w:val="right"/>
    </w:pPr>
  </w:p>
  <w:p w14:paraId="0AE2BC20" w14:textId="45CCD953" w:rsidR="00304087" w:rsidRDefault="009A241E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D025ED">
          <w:t xml:space="preserve">Page </w:t>
        </w:r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3757D18C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50228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444A6D22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2CCA" w14:textId="77777777" w:rsidR="00D025ED" w:rsidRDefault="00D025ED" w:rsidP="00D025ED">
    <w:pPr>
      <w:pStyle w:val="Header"/>
      <w:rPr>
        <w:sz w:val="22"/>
        <w:szCs w:val="22"/>
      </w:rPr>
    </w:pPr>
    <w:r>
      <w:rPr>
        <w:sz w:val="22"/>
        <w:szCs w:val="22"/>
      </w:rPr>
      <w:t>RFP No.:  FS-2018-15-RP</w:t>
    </w:r>
  </w:p>
  <w:p w14:paraId="6261F0D2" w14:textId="14361F45" w:rsidR="00E33D98" w:rsidRPr="00D025ED" w:rsidRDefault="00D025ED" w:rsidP="00D025ED">
    <w:pPr>
      <w:pStyle w:val="Header"/>
    </w:pPr>
    <w:r>
      <w:t>RFP:  Web-Based Hosted Call Center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10FA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A241E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25ED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EEA9"/>
  <w15:docId w15:val="{A65D6437-1813-4F1A-BFD7-0E2BBF89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qFormat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2DD7E-3A07-4BEA-A81B-3254117B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Parker, Robin</cp:lastModifiedBy>
  <cp:revision>4</cp:revision>
  <cp:lastPrinted>2013-11-27T19:12:00Z</cp:lastPrinted>
  <dcterms:created xsi:type="dcterms:W3CDTF">2018-01-12T22:15:00Z</dcterms:created>
  <dcterms:modified xsi:type="dcterms:W3CDTF">2018-10-19T22:31:00Z</dcterms:modified>
</cp:coreProperties>
</file>