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2E82C79F" w:rsidR="003B3C0B" w:rsidRPr="00114412" w:rsidRDefault="007D07EB" w:rsidP="00D662AB">
            <w:pPr>
              <w:tabs>
                <w:tab w:val="left" w:pos="3600"/>
              </w:tabs>
              <w:rPr>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28F9CF4" wp14:editId="64E0EE5B">
                      <wp:simplePos x="0" y="0"/>
                      <wp:positionH relativeFrom="column">
                        <wp:posOffset>762000</wp:posOffset>
                      </wp:positionH>
                      <wp:positionV relativeFrom="paragraph">
                        <wp:posOffset>3810</wp:posOffset>
                      </wp:positionV>
                      <wp:extent cx="5289550" cy="1358900"/>
                      <wp:effectExtent l="0" t="0" r="444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9E1F2B0" w14:textId="77777777" w:rsidR="0061391D" w:rsidRPr="00FB4888" w:rsidRDefault="0061391D" w:rsidP="007D07EB">
                                  <w:pPr>
                                    <w:spacing w:before="360"/>
                                    <w:jc w:val="center"/>
                                    <w:rPr>
                                      <w:b/>
                                      <w:smallCaps/>
                                      <w:sz w:val="48"/>
                                    </w:rPr>
                                  </w:pPr>
                                  <w:bookmarkStart w:id="0" w:name="_Hlk53587461"/>
                                  <w:bookmarkStart w:id="1" w:name="_Hlk53587462"/>
                                  <w:permStart w:id="639716984" w:edGrp="everyone"/>
                                  <w:r w:rsidRPr="00631BBB">
                                    <w:rPr>
                                      <w:b/>
                                      <w:smallCaps/>
                                      <w:sz w:val="48"/>
                                    </w:rPr>
                                    <w:t>Sample Only – Do Not Sign</w:t>
                                  </w:r>
                                  <w:bookmarkEnd w:id="0"/>
                                  <w:bookmarkEnd w:id="1"/>
                                  <w:permEnd w:id="639716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9CF4" id="Rectangle 2" o:spid="_x0000_s1026" style="position:absolute;margin-left:60pt;margin-top:.3pt;width:416.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" strokecolor="#fabf8f" strokeweight="1pt">
                      <v:fill color2="#fbd4b4" focus="100%" type="gradient"/>
                      <v:shadow on="t" color="#974706" opacity=".5" offset="1pt"/>
                      <v:textbox>
                        <w:txbxContent>
                          <w:p w14:paraId="69E1F2B0" w14:textId="77777777" w:rsidR="0061391D" w:rsidRPr="00FB4888" w:rsidRDefault="0061391D" w:rsidP="007D07EB">
                            <w:pPr>
                              <w:spacing w:before="360"/>
                              <w:jc w:val="center"/>
                              <w:rPr>
                                <w:b/>
                                <w:smallCaps/>
                                <w:sz w:val="48"/>
                              </w:rPr>
                            </w:pPr>
                            <w:bookmarkStart w:id="2" w:name="_Hlk53587461"/>
                            <w:bookmarkStart w:id="3" w:name="_Hlk53587462"/>
                            <w:permStart w:id="639716984" w:edGrp="everyone"/>
                            <w:r w:rsidRPr="00631BBB">
                              <w:rPr>
                                <w:b/>
                                <w:smallCaps/>
                                <w:sz w:val="48"/>
                              </w:rPr>
                              <w:t>Sample Only – Do Not Sign</w:t>
                            </w:r>
                            <w:bookmarkEnd w:id="2"/>
                            <w:bookmarkEnd w:id="3"/>
                            <w:permEnd w:id="639716984"/>
                          </w:p>
                        </w:txbxContent>
                      </v:textbox>
                    </v:rect>
                  </w:pict>
                </mc:Fallback>
              </mc:AlternateContent>
            </w:r>
            <w:r w:rsidR="003B3C0B"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Pr="007879BE" w:rsidRDefault="00D6428A" w:rsidP="00E97379">
      <w:pPr>
        <w:pStyle w:val="Title"/>
        <w:spacing w:before="120" w:after="120" w:line="300" w:lineRule="atLeast"/>
        <w:rPr>
          <w:rFonts w:asciiTheme="minorHAnsi" w:hAnsiTheme="minorHAnsi" w:cstheme="minorHAnsi"/>
          <w:color w:val="000000" w:themeColor="text1"/>
          <w:sz w:val="20"/>
          <w:szCs w:val="20"/>
        </w:rPr>
      </w:pPr>
      <w:r w:rsidRPr="007879BE">
        <w:rPr>
          <w:rFonts w:asciiTheme="minorHAnsi" w:hAnsiTheme="minorHAnsi" w:cstheme="minorHAnsi"/>
          <w:color w:val="000000" w:themeColor="text1"/>
          <w:sz w:val="20"/>
          <w:szCs w:val="20"/>
        </w:rPr>
        <w:t>APPENDIX A</w:t>
      </w:r>
    </w:p>
    <w:p w14:paraId="518ECC42" w14:textId="37C7B3C7" w:rsidR="00B7449E" w:rsidRPr="007879BE" w:rsidRDefault="00E52E73" w:rsidP="00B7449E">
      <w:pPr>
        <w:pStyle w:val="Title"/>
        <w:spacing w:before="120" w:after="120" w:line="300" w:lineRule="atLeast"/>
        <w:rPr>
          <w:rFonts w:asciiTheme="minorHAnsi" w:hAnsiTheme="minorHAnsi" w:cstheme="minorHAnsi"/>
          <w:color w:val="000000" w:themeColor="text1"/>
          <w:sz w:val="20"/>
          <w:szCs w:val="20"/>
        </w:rPr>
      </w:pPr>
      <w:r w:rsidRPr="007879BE">
        <w:rPr>
          <w:rFonts w:asciiTheme="minorHAnsi" w:hAnsiTheme="minorHAnsi" w:cstheme="minorHAnsi"/>
          <w:color w:val="000000" w:themeColor="text1"/>
          <w:sz w:val="20"/>
          <w:szCs w:val="20"/>
        </w:rPr>
        <w:t>Services</w:t>
      </w:r>
    </w:p>
    <w:p w14:paraId="1785AB98" w14:textId="77777777" w:rsidR="007879BE" w:rsidRPr="007879BE" w:rsidRDefault="007879BE" w:rsidP="007879BE">
      <w:pPr>
        <w:pStyle w:val="Title"/>
        <w:spacing w:before="0" w:after="0"/>
        <w:rPr>
          <w:rFonts w:asciiTheme="minorHAnsi" w:hAnsiTheme="minorHAnsi" w:cstheme="minorHAnsi"/>
          <w:sz w:val="20"/>
          <w:szCs w:val="20"/>
        </w:rPr>
      </w:pPr>
      <w:r w:rsidRPr="007879BE">
        <w:rPr>
          <w:rFonts w:asciiTheme="minorHAnsi" w:hAnsiTheme="minorHAnsi" w:cstheme="minorHAnsi"/>
          <w:sz w:val="20"/>
          <w:szCs w:val="20"/>
        </w:rPr>
        <w:t>(Actual Final Scope of Work to be determined with Selected Firm)</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3A095812" w14:textId="2B152249" w:rsidR="0066703F" w:rsidRPr="00F406A5" w:rsidRDefault="00EF6C03" w:rsidP="002779BD">
      <w:pPr>
        <w:pStyle w:val="Apnd1"/>
        <w:numPr>
          <w:ilvl w:val="0"/>
          <w:numId w:val="18"/>
        </w:numPr>
        <w:spacing w:before="120" w:after="120"/>
        <w:rPr>
          <w:rFonts w:asciiTheme="minorHAnsi" w:hAnsiTheme="minorHAnsi" w:cstheme="minorHAnsi"/>
          <w:bCs/>
          <w:i/>
          <w:sz w:val="20"/>
          <w:szCs w:val="20"/>
          <w:lang w:bidi="en-US"/>
        </w:rPr>
      </w:pPr>
      <w:r w:rsidRPr="00F406A5">
        <w:rPr>
          <w:rFonts w:asciiTheme="minorHAnsi" w:hAnsiTheme="minorHAnsi" w:cstheme="minorHAnsi"/>
          <w:sz w:val="20"/>
          <w:szCs w:val="20"/>
        </w:rPr>
        <w:t xml:space="preserve">Background and Purpose. </w:t>
      </w:r>
    </w:p>
    <w:p w14:paraId="45BD56FC" w14:textId="72F8A074" w:rsidR="002779BD" w:rsidRPr="00F406A5" w:rsidRDefault="002779BD" w:rsidP="00F406A5">
      <w:pPr>
        <w:pStyle w:val="ListParagraph"/>
        <w:keepNext/>
        <w:spacing w:line="300" w:lineRule="atLeast"/>
        <w:rPr>
          <w:rFonts w:asciiTheme="minorHAnsi" w:hAnsiTheme="minorHAnsi" w:cstheme="minorHAnsi"/>
          <w:sz w:val="20"/>
        </w:rPr>
      </w:pPr>
      <w:r w:rsidRPr="00F406A5">
        <w:rPr>
          <w:rFonts w:asciiTheme="minorHAnsi" w:hAnsiTheme="minorHAnsi" w:cstheme="minorHAnsi"/>
          <w:sz w:val="20"/>
        </w:rPr>
        <w:t>1.1</w:t>
      </w:r>
      <w:r w:rsidRPr="00F406A5">
        <w:rPr>
          <w:rFonts w:asciiTheme="minorHAnsi" w:hAnsiTheme="minorHAnsi" w:cstheme="minorHAnsi"/>
          <w:sz w:val="20"/>
        </w:rPr>
        <w:tab/>
        <w:t xml:space="preserve">  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Judicial Council staff assists both the Judicial Council and its chair in performing their duties. </w:t>
      </w:r>
    </w:p>
    <w:p w14:paraId="51A48BCF" w14:textId="309458A5" w:rsidR="002779BD" w:rsidRPr="00F406A5" w:rsidRDefault="002779BD" w:rsidP="002779BD">
      <w:pPr>
        <w:pStyle w:val="ListParagraph"/>
        <w:keepNext/>
        <w:spacing w:line="300" w:lineRule="atLeast"/>
        <w:ind w:left="360"/>
        <w:rPr>
          <w:rFonts w:asciiTheme="minorHAnsi" w:hAnsiTheme="minorHAnsi" w:cstheme="minorHAnsi"/>
          <w:sz w:val="20"/>
        </w:rPr>
      </w:pPr>
    </w:p>
    <w:p w14:paraId="4619809E" w14:textId="0905985E" w:rsidR="002779BD" w:rsidRPr="00F406A5" w:rsidRDefault="002779BD" w:rsidP="00F406A5">
      <w:pPr>
        <w:pStyle w:val="ListParagraph"/>
        <w:keepNext/>
        <w:spacing w:line="300" w:lineRule="atLeast"/>
        <w:rPr>
          <w:rFonts w:asciiTheme="minorHAnsi" w:hAnsiTheme="minorHAnsi" w:cstheme="minorHAnsi"/>
          <w:bCs/>
          <w:sz w:val="20"/>
        </w:rPr>
      </w:pPr>
      <w:r w:rsidRPr="00F406A5">
        <w:rPr>
          <w:rFonts w:asciiTheme="minorHAnsi" w:hAnsiTheme="minorHAnsi" w:cstheme="minorHAnsi"/>
          <w:sz w:val="20"/>
        </w:rPr>
        <w:t xml:space="preserve">1.2  </w:t>
      </w:r>
      <w:r w:rsidR="00F406A5">
        <w:rPr>
          <w:rFonts w:asciiTheme="minorHAnsi" w:hAnsiTheme="minorHAnsi" w:cstheme="minorHAnsi"/>
          <w:sz w:val="20"/>
        </w:rPr>
        <w:tab/>
      </w:r>
      <w:r w:rsidRPr="00F406A5">
        <w:rPr>
          <w:rFonts w:asciiTheme="minorHAnsi" w:hAnsiTheme="minorHAnsi" w:cstheme="minorHAnsi"/>
          <w:sz w:val="20"/>
        </w:rPr>
        <w:t>The Contractor will</w:t>
      </w:r>
      <w:r w:rsidRPr="00F406A5">
        <w:rPr>
          <w:rFonts w:asciiTheme="minorHAnsi" w:hAnsiTheme="minorHAnsi" w:cstheme="minorHAnsi"/>
          <w:bCs/>
          <w:sz w:val="20"/>
        </w:rPr>
        <w:t xml:space="preserve"> review, compile data, valuate documentation, and prepare reports related to Other </w:t>
      </w:r>
      <w:proofErr w:type="spellStart"/>
      <w:r w:rsidRPr="00F406A5">
        <w:rPr>
          <w:rFonts w:asciiTheme="minorHAnsi" w:hAnsiTheme="minorHAnsi" w:cstheme="minorHAnsi"/>
          <w:bCs/>
          <w:sz w:val="20"/>
        </w:rPr>
        <w:t>Post Employment</w:t>
      </w:r>
      <w:proofErr w:type="spellEnd"/>
      <w:r w:rsidRPr="00F406A5">
        <w:rPr>
          <w:rFonts w:asciiTheme="minorHAnsi" w:hAnsiTheme="minorHAnsi" w:cstheme="minorHAnsi"/>
          <w:bCs/>
          <w:sz w:val="20"/>
        </w:rPr>
        <w:t xml:space="preserve"> Benefits (OPEB) reporting requirements.  </w:t>
      </w:r>
      <w:r w:rsidRPr="00F406A5">
        <w:rPr>
          <w:rFonts w:asciiTheme="minorHAnsi" w:hAnsiTheme="minorHAnsi" w:cstheme="minorHAnsi"/>
          <w:sz w:val="20"/>
        </w:rPr>
        <w:t>There are 58 superior courts in California employing approximately 20,000 people.  The 58 courts range in size from 5 employees to over 5,000 employees.</w:t>
      </w:r>
      <w:r w:rsidRPr="00F406A5">
        <w:rPr>
          <w:rFonts w:asciiTheme="minorHAnsi" w:hAnsiTheme="minorHAnsi" w:cstheme="minorHAnsi"/>
          <w:bCs/>
          <w:sz w:val="20"/>
        </w:rPr>
        <w:t xml:space="preserve"> The purpose of this project is to comply with Governmental Accounting Standards Board (GASB) Statements [74 and 75], as applicable to the 58 superior courts.</w:t>
      </w:r>
    </w:p>
    <w:p w14:paraId="13847E16" w14:textId="39B44D06" w:rsidR="00E71A67" w:rsidRPr="00F406A5" w:rsidRDefault="00E71A67" w:rsidP="002779BD">
      <w:pPr>
        <w:spacing w:before="120" w:after="120"/>
        <w:ind w:left="360"/>
        <w:rPr>
          <w:rFonts w:asciiTheme="minorHAnsi" w:hAnsiTheme="minorHAnsi" w:cstheme="minorHAnsi"/>
          <w:i/>
          <w:sz w:val="20"/>
        </w:rPr>
      </w:pPr>
    </w:p>
    <w:p w14:paraId="0D49EAE1" w14:textId="68741B61" w:rsidR="00535786" w:rsidRPr="00F406A5" w:rsidRDefault="00752202" w:rsidP="00846E22">
      <w:pPr>
        <w:pStyle w:val="Apnd1"/>
        <w:numPr>
          <w:ilvl w:val="0"/>
          <w:numId w:val="18"/>
        </w:numPr>
        <w:spacing w:before="120" w:after="120"/>
        <w:rPr>
          <w:rFonts w:asciiTheme="minorHAnsi" w:hAnsiTheme="minorHAnsi" w:cstheme="minorHAnsi"/>
          <w:sz w:val="20"/>
          <w:szCs w:val="20"/>
        </w:rPr>
      </w:pPr>
      <w:r w:rsidRPr="00F406A5">
        <w:rPr>
          <w:rFonts w:asciiTheme="minorHAnsi" w:hAnsiTheme="minorHAnsi" w:cstheme="minorHAnsi"/>
          <w:sz w:val="20"/>
          <w:szCs w:val="20"/>
        </w:rPr>
        <w:t xml:space="preserve">Description of Services and Deliverables. </w:t>
      </w:r>
    </w:p>
    <w:p w14:paraId="153AB322" w14:textId="25C0037A" w:rsidR="008B1B34" w:rsidRPr="00F406A5" w:rsidRDefault="0082682B" w:rsidP="008B1B34">
      <w:pPr>
        <w:pStyle w:val="ListParagraph"/>
        <w:spacing w:line="300" w:lineRule="atLeast"/>
        <w:ind w:left="360" w:firstLine="360"/>
        <w:rPr>
          <w:rFonts w:asciiTheme="minorHAnsi" w:hAnsiTheme="minorHAnsi" w:cstheme="minorHAnsi"/>
          <w:sz w:val="20"/>
        </w:rPr>
      </w:pPr>
      <w:r w:rsidRPr="00F406A5">
        <w:rPr>
          <w:rFonts w:asciiTheme="minorHAnsi" w:hAnsiTheme="minorHAnsi" w:cstheme="minorHAnsi"/>
          <w:sz w:val="20"/>
        </w:rPr>
        <w:t>2.1</w:t>
      </w:r>
      <w:r w:rsidR="008B1B34" w:rsidRPr="00F406A5">
        <w:rPr>
          <w:rFonts w:asciiTheme="minorHAnsi" w:hAnsiTheme="minorHAnsi" w:cstheme="minorHAnsi"/>
          <w:sz w:val="20"/>
        </w:rPr>
        <w:t xml:space="preserve"> Objective.</w:t>
      </w:r>
    </w:p>
    <w:p w14:paraId="52521B7D" w14:textId="77777777" w:rsidR="008B1B34" w:rsidRPr="00F406A5" w:rsidRDefault="008B1B34" w:rsidP="002779BD">
      <w:pPr>
        <w:pStyle w:val="ListParagraph"/>
        <w:spacing w:line="300" w:lineRule="atLeast"/>
        <w:ind w:left="360"/>
        <w:rPr>
          <w:rFonts w:asciiTheme="minorHAnsi" w:hAnsiTheme="minorHAnsi" w:cstheme="minorHAnsi"/>
          <w:sz w:val="20"/>
        </w:rPr>
      </w:pPr>
    </w:p>
    <w:p w14:paraId="7C6DDD91" w14:textId="238CDA7B" w:rsidR="002779BD" w:rsidRPr="00F406A5" w:rsidRDefault="008B1B34" w:rsidP="008B1B34">
      <w:pPr>
        <w:pStyle w:val="ListParagraph"/>
        <w:spacing w:line="300" w:lineRule="atLeast"/>
        <w:rPr>
          <w:rFonts w:asciiTheme="minorHAnsi" w:hAnsiTheme="minorHAnsi" w:cstheme="minorHAnsi"/>
          <w:sz w:val="20"/>
        </w:rPr>
      </w:pPr>
      <w:r w:rsidRPr="00F406A5">
        <w:rPr>
          <w:rFonts w:asciiTheme="minorHAnsi" w:hAnsiTheme="minorHAnsi" w:cstheme="minorHAnsi"/>
          <w:sz w:val="20"/>
        </w:rPr>
        <w:t>T</w:t>
      </w:r>
      <w:r w:rsidR="002779BD" w:rsidRPr="00F406A5">
        <w:rPr>
          <w:rFonts w:asciiTheme="minorHAnsi" w:hAnsiTheme="minorHAnsi" w:cstheme="minorHAnsi"/>
          <w:sz w:val="20"/>
        </w:rPr>
        <w:t xml:space="preserve">he Contractor </w:t>
      </w:r>
      <w:r w:rsidR="00752202" w:rsidRPr="00F406A5">
        <w:rPr>
          <w:rFonts w:asciiTheme="minorHAnsi" w:hAnsiTheme="minorHAnsi" w:cstheme="minorHAnsi"/>
          <w:sz w:val="20"/>
        </w:rPr>
        <w:t>will provide</w:t>
      </w:r>
      <w:r w:rsidR="002779BD" w:rsidRPr="00F406A5">
        <w:rPr>
          <w:rFonts w:asciiTheme="minorHAnsi" w:hAnsiTheme="minorHAnsi" w:cstheme="minorHAnsi"/>
          <w:sz w:val="20"/>
        </w:rPr>
        <w:t xml:space="preserve"> </w:t>
      </w:r>
      <w:r w:rsidR="0082682B" w:rsidRPr="00F406A5">
        <w:rPr>
          <w:rFonts w:asciiTheme="minorHAnsi" w:hAnsiTheme="minorHAnsi" w:cstheme="minorHAnsi"/>
          <w:sz w:val="20"/>
        </w:rPr>
        <w:t xml:space="preserve">their expertise in collecting the relevant data, completing actuarial valuations, and developing associated reports in conjunction with mandatory reporting of the OPEB liabilities of government entities. The Contractor will assemble </w:t>
      </w:r>
      <w:r w:rsidR="002779BD" w:rsidRPr="00F406A5">
        <w:rPr>
          <w:rFonts w:asciiTheme="minorHAnsi" w:hAnsiTheme="minorHAnsi" w:cstheme="minorHAnsi"/>
          <w:sz w:val="20"/>
        </w:rPr>
        <w:t xml:space="preserve">a team of qualified professionals to cost effectively produce the required Fiscal Year 2021- 2022 GASB 74/75 compliance documentation and reports for each of the 58 superior courts.  The valuation study, documentation and reports must be produced no later than </w:t>
      </w:r>
      <w:r w:rsidR="002779BD" w:rsidRPr="00F406A5">
        <w:rPr>
          <w:rFonts w:asciiTheme="minorHAnsi" w:hAnsiTheme="minorHAnsi" w:cstheme="minorHAnsi"/>
          <w:b/>
          <w:bCs/>
          <w:sz w:val="20"/>
        </w:rPr>
        <w:t>May 31, 2022</w:t>
      </w:r>
      <w:r w:rsidR="002779BD" w:rsidRPr="00F406A5">
        <w:rPr>
          <w:rFonts w:asciiTheme="minorHAnsi" w:hAnsiTheme="minorHAnsi" w:cstheme="minorHAnsi"/>
          <w:sz w:val="20"/>
        </w:rPr>
        <w:t xml:space="preserve">.  </w:t>
      </w:r>
    </w:p>
    <w:p w14:paraId="631141DC" w14:textId="77777777" w:rsidR="00752202" w:rsidRPr="00F406A5" w:rsidRDefault="00752202" w:rsidP="00752202">
      <w:pPr>
        <w:spacing w:line="300" w:lineRule="atLeast"/>
        <w:rPr>
          <w:rFonts w:asciiTheme="minorHAnsi" w:hAnsiTheme="minorHAnsi" w:cstheme="minorHAnsi"/>
          <w:sz w:val="20"/>
        </w:rPr>
      </w:pPr>
    </w:p>
    <w:p w14:paraId="0A41E65E" w14:textId="77777777" w:rsidR="008B1B34" w:rsidRPr="00F406A5" w:rsidRDefault="0082682B" w:rsidP="008B1B34">
      <w:pPr>
        <w:pStyle w:val="ListParagraph"/>
        <w:spacing w:line="300" w:lineRule="atLeast"/>
        <w:ind w:left="360" w:firstLine="360"/>
        <w:rPr>
          <w:rFonts w:asciiTheme="minorHAnsi" w:hAnsiTheme="minorHAnsi" w:cstheme="minorHAnsi"/>
          <w:sz w:val="20"/>
        </w:rPr>
      </w:pPr>
      <w:r w:rsidRPr="00F406A5">
        <w:rPr>
          <w:rFonts w:asciiTheme="minorHAnsi" w:hAnsiTheme="minorHAnsi" w:cstheme="minorHAnsi"/>
          <w:sz w:val="20"/>
        </w:rPr>
        <w:t>2.2</w:t>
      </w:r>
      <w:r w:rsidRPr="00F406A5">
        <w:rPr>
          <w:rFonts w:asciiTheme="minorHAnsi" w:hAnsiTheme="minorHAnsi" w:cstheme="minorHAnsi"/>
          <w:sz w:val="20"/>
        </w:rPr>
        <w:tab/>
      </w:r>
      <w:r w:rsidR="008B1B34" w:rsidRPr="00F406A5">
        <w:rPr>
          <w:rFonts w:asciiTheme="minorHAnsi" w:hAnsiTheme="minorHAnsi" w:cstheme="minorHAnsi"/>
          <w:sz w:val="20"/>
        </w:rPr>
        <w:t>Contract Term.</w:t>
      </w:r>
    </w:p>
    <w:p w14:paraId="2E2303DD" w14:textId="32F55EC8" w:rsidR="008B1B34" w:rsidRPr="00F406A5" w:rsidRDefault="008B1B34" w:rsidP="0082682B">
      <w:pPr>
        <w:pStyle w:val="ListParagraph"/>
        <w:spacing w:line="300" w:lineRule="atLeast"/>
        <w:ind w:left="360"/>
        <w:rPr>
          <w:rFonts w:asciiTheme="minorHAnsi" w:hAnsiTheme="minorHAnsi" w:cstheme="minorHAnsi"/>
          <w:sz w:val="20"/>
        </w:rPr>
      </w:pPr>
      <w:r w:rsidRPr="00F406A5">
        <w:rPr>
          <w:rFonts w:asciiTheme="minorHAnsi" w:hAnsiTheme="minorHAnsi" w:cstheme="minorHAnsi"/>
          <w:sz w:val="20"/>
        </w:rPr>
        <w:tab/>
      </w:r>
    </w:p>
    <w:p w14:paraId="45020812" w14:textId="70B6C150" w:rsidR="00752202" w:rsidRPr="00F406A5" w:rsidRDefault="00752202" w:rsidP="008B1B34">
      <w:pPr>
        <w:pStyle w:val="ListParagraph"/>
        <w:spacing w:line="300" w:lineRule="atLeast"/>
        <w:rPr>
          <w:rFonts w:asciiTheme="minorHAnsi" w:hAnsiTheme="minorHAnsi" w:cstheme="minorHAnsi"/>
          <w:sz w:val="20"/>
        </w:rPr>
      </w:pPr>
      <w:r w:rsidRPr="00F406A5">
        <w:rPr>
          <w:rFonts w:asciiTheme="minorHAnsi" w:hAnsiTheme="minorHAnsi" w:cstheme="minorHAnsi"/>
          <w:sz w:val="20"/>
        </w:rPr>
        <w:t>The Initial Term of the Contract shall be for two (2) years with  two (2) successive renewal options each to extend the term of the contract by 2-years.  The Initial Term will accommodate the biennial valuation period for 2022-2023 , and the two option periods will accommodate the biennial valuations for 2024-2025 and 2026-2027, for a total contract term not to exceed six years.</w:t>
      </w:r>
      <w:r w:rsidR="0082682B" w:rsidRPr="00F406A5">
        <w:rPr>
          <w:rFonts w:asciiTheme="minorHAnsi" w:hAnsiTheme="minorHAnsi" w:cstheme="minorHAnsi"/>
          <w:sz w:val="20"/>
        </w:rPr>
        <w:t xml:space="preserve"> I</w:t>
      </w:r>
      <w:r w:rsidRPr="00F406A5">
        <w:rPr>
          <w:rFonts w:asciiTheme="minorHAnsi" w:hAnsiTheme="minorHAnsi" w:cstheme="minorHAnsi"/>
          <w:sz w:val="20"/>
        </w:rPr>
        <w:t xml:space="preserve">f the Judicial Council elects to extend the term of the contract, any agreed upon price adjustment (whether an increase or decrease) may not exceed the percentage change in the 12-month average of the Consumer Price Index (CPI), below.  </w:t>
      </w:r>
    </w:p>
    <w:p w14:paraId="79FC6BE8"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hyperlink r:id="rId13" w:history="1">
        <w:r w:rsidRPr="00F406A5">
          <w:rPr>
            <w:rStyle w:val="Hyperlink"/>
            <w:rFonts w:asciiTheme="minorHAnsi" w:hAnsiTheme="minorHAnsi" w:cstheme="minorHAnsi"/>
            <w:sz w:val="20"/>
          </w:rPr>
          <w:t>http://data.bls.gov/timeseries/CUUR0000SA0?output_view=pct_12mths</w:t>
        </w:r>
      </w:hyperlink>
    </w:p>
    <w:p w14:paraId="63C4AD86"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t>Consumer Price Index - All Urban Consumers</w:t>
      </w:r>
    </w:p>
    <w:p w14:paraId="0B41CC78"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lastRenderedPageBreak/>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t>12-Month Percent Change</w:t>
      </w:r>
    </w:p>
    <w:p w14:paraId="764DC273"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t>Series Id:    CUUR0000SA0</w:t>
      </w:r>
    </w:p>
    <w:p w14:paraId="2029B216"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t>Not Seasonally Adjusted</w:t>
      </w:r>
    </w:p>
    <w:p w14:paraId="7AA1B6A7"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t>Area:         U.S. city average</w:t>
      </w:r>
    </w:p>
    <w:p w14:paraId="28E91B82"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t>Item:         All items</w:t>
      </w:r>
    </w:p>
    <w:p w14:paraId="11D10101" w14:textId="77777777" w:rsidR="00752202" w:rsidRPr="00F406A5" w:rsidRDefault="00752202" w:rsidP="00752202">
      <w:pPr>
        <w:rPr>
          <w:rFonts w:asciiTheme="minorHAnsi" w:hAnsiTheme="minorHAnsi" w:cstheme="minorHAnsi"/>
          <w:sz w:val="20"/>
        </w:rPr>
      </w:pP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r>
      <w:r w:rsidRPr="00F406A5">
        <w:rPr>
          <w:rFonts w:asciiTheme="minorHAnsi" w:hAnsiTheme="minorHAnsi" w:cstheme="minorHAnsi"/>
          <w:sz w:val="20"/>
        </w:rPr>
        <w:tab/>
        <w:t>Base Period:  1982-84=100</w:t>
      </w:r>
    </w:p>
    <w:p w14:paraId="7873080F" w14:textId="184C6678" w:rsidR="00C4177B" w:rsidRPr="00F406A5" w:rsidRDefault="00C54EE7" w:rsidP="00752202">
      <w:pPr>
        <w:spacing w:before="120" w:after="120"/>
        <w:rPr>
          <w:rFonts w:asciiTheme="minorHAnsi" w:hAnsiTheme="minorHAnsi" w:cstheme="minorHAnsi"/>
          <w:i/>
          <w:sz w:val="20"/>
        </w:rPr>
      </w:pPr>
      <w:r w:rsidRPr="00F406A5">
        <w:rPr>
          <w:rFonts w:asciiTheme="minorHAnsi" w:hAnsiTheme="minorHAnsi" w:cstheme="minorHAnsi"/>
          <w:i/>
          <w:sz w:val="20"/>
        </w:rPr>
        <w:t xml:space="preserve">  </w:t>
      </w:r>
    </w:p>
    <w:p w14:paraId="1759BA25" w14:textId="77777777" w:rsidR="0082682B" w:rsidRPr="00F406A5" w:rsidRDefault="0082682B" w:rsidP="008B1B34">
      <w:pPr>
        <w:spacing w:line="300" w:lineRule="atLeast"/>
        <w:ind w:left="720"/>
        <w:rPr>
          <w:rFonts w:asciiTheme="minorHAnsi" w:hAnsiTheme="minorHAnsi" w:cstheme="minorHAnsi"/>
          <w:sz w:val="20"/>
        </w:rPr>
      </w:pPr>
      <w:r w:rsidRPr="00F406A5">
        <w:rPr>
          <w:rFonts w:asciiTheme="minorHAnsi" w:hAnsiTheme="minorHAnsi" w:cstheme="minorHAnsi"/>
          <w:sz w:val="20"/>
        </w:rPr>
        <w:t xml:space="preserve">Fees may be negotiated for the two option terms if there are significant  changes in GASB 74/75 requirements, fluctuation in scope of work due to decline/increases in number of courts, changes in number of employees beyond 15% range of current number and other material factors as determined by the Judicial Council.  </w:t>
      </w:r>
    </w:p>
    <w:p w14:paraId="70092480" w14:textId="1D2F511C" w:rsidR="00C4177B" w:rsidRPr="00F406A5" w:rsidRDefault="00C4177B" w:rsidP="002779BD">
      <w:pPr>
        <w:pStyle w:val="ListParagraph"/>
        <w:spacing w:before="120" w:after="120"/>
        <w:ind w:left="1260"/>
        <w:rPr>
          <w:rFonts w:asciiTheme="minorHAnsi" w:hAnsiTheme="minorHAnsi" w:cstheme="minorHAnsi"/>
          <w:i/>
          <w:sz w:val="20"/>
        </w:rPr>
      </w:pPr>
    </w:p>
    <w:p w14:paraId="3273624A" w14:textId="72F65597" w:rsidR="008B1B34" w:rsidRPr="00F406A5" w:rsidRDefault="008B1B34" w:rsidP="008B1B34">
      <w:pPr>
        <w:keepNext/>
        <w:keepLines/>
        <w:spacing w:line="300" w:lineRule="atLeast"/>
        <w:ind w:firstLine="720"/>
        <w:rPr>
          <w:rFonts w:asciiTheme="minorHAnsi" w:hAnsiTheme="minorHAnsi" w:cstheme="minorHAnsi"/>
          <w:sz w:val="20"/>
        </w:rPr>
      </w:pPr>
      <w:r w:rsidRPr="00F406A5">
        <w:rPr>
          <w:rFonts w:asciiTheme="minorHAnsi" w:hAnsiTheme="minorHAnsi" w:cstheme="minorHAnsi"/>
          <w:iCs/>
          <w:sz w:val="20"/>
        </w:rPr>
        <w:t>2.3</w:t>
      </w:r>
      <w:r w:rsidRPr="00F406A5">
        <w:rPr>
          <w:rFonts w:asciiTheme="minorHAnsi" w:hAnsiTheme="minorHAnsi" w:cstheme="minorHAnsi"/>
          <w:i/>
          <w:sz w:val="20"/>
        </w:rPr>
        <w:t xml:space="preserve">  </w:t>
      </w:r>
      <w:r w:rsidRPr="00F406A5">
        <w:rPr>
          <w:rFonts w:asciiTheme="minorHAnsi" w:hAnsiTheme="minorHAnsi" w:cstheme="minorHAnsi"/>
          <w:color w:val="000000" w:themeColor="text1"/>
          <w:sz w:val="20"/>
          <w:u w:val="single"/>
        </w:rPr>
        <w:t>GASB Compliance Status</w:t>
      </w:r>
      <w:r w:rsidRPr="00F406A5">
        <w:rPr>
          <w:rFonts w:asciiTheme="minorHAnsi" w:hAnsiTheme="minorHAnsi" w:cstheme="minorHAnsi"/>
          <w:color w:val="000000" w:themeColor="text1"/>
          <w:sz w:val="20"/>
        </w:rPr>
        <w:t>.</w:t>
      </w:r>
    </w:p>
    <w:p w14:paraId="0F8E9058" w14:textId="7A1F20A5" w:rsidR="008B1B34" w:rsidRPr="00F406A5" w:rsidRDefault="008B1B34" w:rsidP="008B1B34">
      <w:pPr>
        <w:keepNext/>
        <w:keepLines/>
        <w:spacing w:line="300" w:lineRule="atLeast"/>
        <w:ind w:left="720"/>
        <w:rPr>
          <w:rFonts w:asciiTheme="minorHAnsi" w:hAnsiTheme="minorHAnsi" w:cstheme="minorHAnsi"/>
          <w:sz w:val="20"/>
        </w:rPr>
      </w:pPr>
      <w:r w:rsidRPr="00F406A5">
        <w:rPr>
          <w:rFonts w:asciiTheme="minorHAnsi" w:hAnsiTheme="minorHAnsi" w:cstheme="minorHAnsi"/>
          <w:sz w:val="20"/>
        </w:rPr>
        <w:t>OPEB actuarial studies of the trial courts have been conducted, dating back to 2007.  According to the most recent actuarial study submitted to the Judicial Council in 2020, all 58 trial courts have complied with the requirements of GASB 74/75.</w:t>
      </w:r>
    </w:p>
    <w:p w14:paraId="6B44432D" w14:textId="77777777" w:rsidR="008B1B34" w:rsidRPr="00F406A5" w:rsidRDefault="008B1B34" w:rsidP="008B1B34">
      <w:pPr>
        <w:spacing w:line="300" w:lineRule="atLeast"/>
        <w:ind w:left="1620"/>
        <w:rPr>
          <w:rFonts w:asciiTheme="minorHAnsi" w:hAnsiTheme="minorHAnsi" w:cstheme="minorHAnsi"/>
          <w:sz w:val="20"/>
        </w:rPr>
      </w:pPr>
    </w:p>
    <w:p w14:paraId="34D212EE" w14:textId="77777777" w:rsidR="008B1B34" w:rsidRPr="00F406A5" w:rsidRDefault="008B1B34" w:rsidP="008B1B34">
      <w:pPr>
        <w:spacing w:line="300" w:lineRule="atLeast"/>
        <w:ind w:left="720"/>
        <w:rPr>
          <w:rFonts w:asciiTheme="minorHAnsi" w:hAnsiTheme="minorHAnsi" w:cstheme="minorHAnsi"/>
          <w:sz w:val="20"/>
        </w:rPr>
      </w:pPr>
      <w:r w:rsidRPr="00F406A5">
        <w:rPr>
          <w:rFonts w:asciiTheme="minorHAnsi" w:hAnsiTheme="minorHAnsi" w:cstheme="minorHAnsi"/>
          <w:sz w:val="20"/>
        </w:rPr>
        <w:t>Post-employment benefits may be provided through a county retirement system, CalPERS, or directly through other benefit providers.  Each superior court, as an independent entity, may have its own unique benefit package.  A handful of superior courts offer no OPEB and others may offer more than one, depending upon provisions of applicable collective bargaining agreements.</w:t>
      </w:r>
    </w:p>
    <w:p w14:paraId="7A2CF86B" w14:textId="77777777" w:rsidR="008B1B34" w:rsidRPr="00F406A5" w:rsidRDefault="008B1B34" w:rsidP="008B1B34">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asciiTheme="minorHAnsi" w:hAnsiTheme="minorHAnsi" w:cstheme="minorHAnsi"/>
          <w:i/>
          <w:spacing w:val="-3"/>
          <w:sz w:val="20"/>
        </w:rPr>
      </w:pPr>
    </w:p>
    <w:p w14:paraId="2A431769" w14:textId="23B3276F" w:rsidR="008B1B34" w:rsidRPr="00F406A5" w:rsidRDefault="008B1B34" w:rsidP="008B1B34">
      <w:pPr>
        <w:spacing w:line="300" w:lineRule="atLeast"/>
        <w:ind w:firstLine="720"/>
        <w:rPr>
          <w:rFonts w:asciiTheme="minorHAnsi" w:hAnsiTheme="minorHAnsi" w:cstheme="minorHAnsi"/>
          <w:sz w:val="20"/>
          <w:u w:val="single"/>
        </w:rPr>
      </w:pPr>
      <w:r w:rsidRPr="00F406A5">
        <w:rPr>
          <w:rFonts w:asciiTheme="minorHAnsi" w:hAnsiTheme="minorHAnsi" w:cstheme="minorHAnsi"/>
          <w:sz w:val="20"/>
          <w:u w:val="single"/>
        </w:rPr>
        <w:t>2.4  Project Management.</w:t>
      </w:r>
    </w:p>
    <w:p w14:paraId="6AE5D868" w14:textId="77777777" w:rsidR="008B1B34" w:rsidRPr="00F406A5" w:rsidRDefault="008B1B34" w:rsidP="008B1B34">
      <w:pPr>
        <w:spacing w:line="300" w:lineRule="atLeast"/>
        <w:ind w:left="720"/>
        <w:rPr>
          <w:rFonts w:asciiTheme="minorHAnsi" w:hAnsiTheme="minorHAnsi" w:cstheme="minorHAnsi"/>
          <w:sz w:val="20"/>
        </w:rPr>
      </w:pPr>
      <w:r w:rsidRPr="00F406A5">
        <w:rPr>
          <w:rFonts w:asciiTheme="minorHAnsi" w:hAnsiTheme="minorHAnsi" w:cstheme="minorHAnsi"/>
          <w:sz w:val="20"/>
        </w:rPr>
        <w:t>The Judicial Council has designated a Judicial Council Project Manager to oversee the work to be performed by the selected firm.   The Judicial Council Project Manager will be responsible for managing, scheduling, and coordinating all Judicial Council internal project related activities.  The Judicial Council Project Manager will also provide access to all existing valuation data and reports for related prior year studies and reports.  A list of Superior Court GASB 74/75 Liaisons will be made available to the selected firm to gather and facilitate data sources such as Superior Court Finance/Human Resources staff, pension plan administrators, pension plan actuaries, health plan administrators, memoranda of understandings, benefit communication materials and collective bargaining agreements.</w:t>
      </w:r>
    </w:p>
    <w:p w14:paraId="0EABEFA4" w14:textId="77777777" w:rsidR="008B1B34" w:rsidRPr="00F406A5" w:rsidRDefault="008B1B34" w:rsidP="008B1B34">
      <w:pPr>
        <w:spacing w:line="300" w:lineRule="atLeast"/>
        <w:ind w:left="1080"/>
        <w:rPr>
          <w:rFonts w:asciiTheme="minorHAnsi" w:hAnsiTheme="minorHAnsi" w:cstheme="minorHAnsi"/>
          <w:sz w:val="20"/>
          <w:u w:val="single"/>
        </w:rPr>
      </w:pPr>
    </w:p>
    <w:p w14:paraId="751522BE" w14:textId="157CCB1B" w:rsidR="008B1B34" w:rsidRPr="00F406A5" w:rsidRDefault="008B1B34" w:rsidP="008B1B34">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2.4.1</w:t>
      </w:r>
      <w:r w:rsidRPr="00F406A5">
        <w:rPr>
          <w:rFonts w:asciiTheme="minorHAnsi" w:hAnsiTheme="minorHAnsi" w:cstheme="minorHAnsi"/>
          <w:sz w:val="20"/>
        </w:rPr>
        <w:tab/>
        <w:t xml:space="preserve">The selected firm will be required to designate an Actuary Project Manager that will be responsible for coordinating its team and interacting with the Judicial Council in order to complete the work required in this RFP.  The selected firm’s Actuary Project Manager will have day-day responsibility for meeting the contract/RFP objectives and completing the project on time and within budget with </w:t>
      </w:r>
      <w:proofErr w:type="gramStart"/>
      <w:r w:rsidRPr="00F406A5">
        <w:rPr>
          <w:rFonts w:asciiTheme="minorHAnsi" w:hAnsiTheme="minorHAnsi" w:cstheme="minorHAnsi"/>
          <w:sz w:val="20"/>
        </w:rPr>
        <w:t>sufficient</w:t>
      </w:r>
      <w:proofErr w:type="gramEnd"/>
      <w:r w:rsidRPr="00F406A5">
        <w:rPr>
          <w:rFonts w:asciiTheme="minorHAnsi" w:hAnsiTheme="minorHAnsi" w:cstheme="minorHAnsi"/>
          <w:sz w:val="20"/>
        </w:rPr>
        <w:t xml:space="preserve"> quality control.  The selected firm’s Actuary Project Manager shall schedule a project kick-off meeting with the Judicial Council Project Manager and key personnel. The selected firm’s Actuary Project Manager will also conduct weekly meetings and submit weekly written project status reports.</w:t>
      </w:r>
    </w:p>
    <w:p w14:paraId="46E2CDC2" w14:textId="77777777" w:rsidR="008B1B34" w:rsidRPr="00F406A5" w:rsidRDefault="008B1B34" w:rsidP="008B1B34">
      <w:pPr>
        <w:spacing w:line="300" w:lineRule="atLeast"/>
        <w:ind w:left="1440" w:hanging="720"/>
        <w:rPr>
          <w:rFonts w:asciiTheme="minorHAnsi" w:hAnsiTheme="minorHAnsi" w:cstheme="minorHAnsi"/>
          <w:sz w:val="20"/>
        </w:rPr>
      </w:pPr>
    </w:p>
    <w:p w14:paraId="05FC5356" w14:textId="6F889A15" w:rsidR="008B1B34" w:rsidRPr="00F406A5" w:rsidRDefault="008B1B34" w:rsidP="008B1B34">
      <w:pPr>
        <w:spacing w:line="300" w:lineRule="atLeast"/>
        <w:ind w:left="1620" w:hanging="720"/>
        <w:rPr>
          <w:rFonts w:asciiTheme="minorHAnsi" w:hAnsiTheme="minorHAnsi" w:cstheme="minorHAnsi"/>
          <w:sz w:val="20"/>
        </w:rPr>
      </w:pPr>
      <w:r w:rsidRPr="00F406A5">
        <w:rPr>
          <w:rFonts w:asciiTheme="minorHAnsi" w:hAnsiTheme="minorHAnsi" w:cstheme="minorHAnsi"/>
          <w:sz w:val="20"/>
        </w:rPr>
        <w:t>The selected firm will further be required to perform and deliver the following:</w:t>
      </w:r>
    </w:p>
    <w:p w14:paraId="3C15C523" w14:textId="77777777" w:rsidR="008B1B34" w:rsidRPr="00F406A5" w:rsidRDefault="008B1B34" w:rsidP="008B1B34">
      <w:pPr>
        <w:spacing w:line="300" w:lineRule="atLeast"/>
        <w:ind w:left="2160" w:hanging="720"/>
        <w:rPr>
          <w:rFonts w:asciiTheme="minorHAnsi" w:hAnsiTheme="minorHAnsi" w:cstheme="minorHAnsi"/>
          <w:sz w:val="20"/>
        </w:rPr>
      </w:pPr>
    </w:p>
    <w:p w14:paraId="2A38A0B7" w14:textId="507C143D" w:rsidR="008B1B34" w:rsidRPr="00F406A5" w:rsidRDefault="008B1B34" w:rsidP="008B1B34">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2.4.2</w:t>
      </w:r>
      <w:r w:rsidRPr="00F406A5">
        <w:rPr>
          <w:rFonts w:asciiTheme="minorHAnsi" w:hAnsiTheme="minorHAnsi" w:cstheme="minorHAnsi"/>
          <w:sz w:val="20"/>
        </w:rPr>
        <w:tab/>
        <w:t>Provide a detailed project management plan that refines the project management plan included in its RFP submission. The detailed project management plan will be subject to approval by the Judicial Council Project Manager.</w:t>
      </w:r>
      <w:r w:rsidRPr="00F406A5">
        <w:rPr>
          <w:rFonts w:asciiTheme="minorHAnsi" w:hAnsiTheme="minorHAnsi" w:cstheme="minorHAnsi"/>
          <w:sz w:val="20"/>
        </w:rPr>
        <w:br/>
      </w:r>
    </w:p>
    <w:p w14:paraId="597A4D84" w14:textId="6DD1FB5E" w:rsidR="008B1B34" w:rsidRPr="00F406A5" w:rsidRDefault="008B1B34" w:rsidP="008B1B34">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2.4.3</w:t>
      </w:r>
      <w:r w:rsidRPr="00F406A5">
        <w:rPr>
          <w:rFonts w:asciiTheme="minorHAnsi" w:hAnsiTheme="minorHAnsi" w:cstheme="minorHAnsi"/>
          <w:sz w:val="20"/>
        </w:rPr>
        <w:tab/>
        <w:t>Communicate with the Judicial Council Project Manager via e-mail, telephone or in person, via weekly meetings as mutually agreed.</w:t>
      </w:r>
    </w:p>
    <w:p w14:paraId="43FCB445" w14:textId="77777777" w:rsidR="008B1B34" w:rsidRPr="00F406A5" w:rsidRDefault="008B1B34" w:rsidP="008B1B34">
      <w:pPr>
        <w:pStyle w:val="ListParagraph"/>
        <w:spacing w:line="300" w:lineRule="atLeast"/>
        <w:ind w:left="2160" w:hanging="720"/>
        <w:rPr>
          <w:rFonts w:asciiTheme="minorHAnsi" w:hAnsiTheme="minorHAnsi" w:cstheme="minorHAnsi"/>
          <w:sz w:val="20"/>
        </w:rPr>
      </w:pPr>
    </w:p>
    <w:p w14:paraId="4A021249" w14:textId="46C4A331" w:rsidR="008B1B34" w:rsidRPr="00F406A5" w:rsidRDefault="008B1B34" w:rsidP="008B1B34">
      <w:pPr>
        <w:spacing w:line="300" w:lineRule="atLeast"/>
        <w:ind w:firstLine="720"/>
        <w:rPr>
          <w:rFonts w:asciiTheme="minorHAnsi" w:hAnsiTheme="minorHAnsi" w:cstheme="minorHAnsi"/>
          <w:sz w:val="20"/>
        </w:rPr>
      </w:pPr>
      <w:r w:rsidRPr="00F406A5">
        <w:rPr>
          <w:rFonts w:asciiTheme="minorHAnsi" w:hAnsiTheme="minorHAnsi" w:cstheme="minorHAnsi"/>
          <w:sz w:val="20"/>
        </w:rPr>
        <w:t xml:space="preserve">2.5  </w:t>
      </w:r>
      <w:r w:rsidRPr="00F406A5">
        <w:rPr>
          <w:rFonts w:asciiTheme="minorHAnsi" w:hAnsiTheme="minorHAnsi" w:cstheme="minorHAnsi"/>
          <w:sz w:val="20"/>
          <w:u w:val="single"/>
        </w:rPr>
        <w:t>Technical tasks and deliverables</w:t>
      </w:r>
    </w:p>
    <w:p w14:paraId="4C844F1D" w14:textId="3C79B9E5" w:rsidR="008B1B34" w:rsidRPr="00F406A5" w:rsidRDefault="008B1B34" w:rsidP="00F02E68">
      <w:pPr>
        <w:pStyle w:val="ListParagraph"/>
        <w:spacing w:line="300" w:lineRule="atLeast"/>
        <w:ind w:left="990"/>
        <w:rPr>
          <w:rFonts w:asciiTheme="minorHAnsi" w:hAnsiTheme="minorHAnsi" w:cstheme="minorHAnsi"/>
          <w:sz w:val="20"/>
        </w:rPr>
      </w:pPr>
      <w:r w:rsidRPr="00F406A5">
        <w:rPr>
          <w:rFonts w:asciiTheme="minorHAnsi" w:hAnsiTheme="minorHAnsi" w:cstheme="minorHAnsi"/>
          <w:sz w:val="20"/>
        </w:rPr>
        <w:t>The selected firm will update existing actuarial valuations and provide reports for each of the fifty-eight (58) superior courts in accordance with GASB 74/75  standards, and will include, but not be limited to the following:</w:t>
      </w:r>
    </w:p>
    <w:p w14:paraId="0ADBE826" w14:textId="77777777" w:rsidR="008B1B34" w:rsidRPr="00F406A5" w:rsidRDefault="008B1B34" w:rsidP="008B1B34">
      <w:pPr>
        <w:pStyle w:val="ListParagraph"/>
        <w:spacing w:line="300" w:lineRule="atLeast"/>
        <w:ind w:left="1440" w:hanging="720"/>
        <w:rPr>
          <w:rFonts w:asciiTheme="minorHAnsi" w:hAnsiTheme="minorHAnsi" w:cstheme="minorHAnsi"/>
          <w:sz w:val="20"/>
        </w:rPr>
      </w:pPr>
    </w:p>
    <w:p w14:paraId="3165C0C3" w14:textId="7C9EE437"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2.5.1</w:t>
      </w:r>
      <w:r w:rsidRPr="00F406A5">
        <w:rPr>
          <w:rFonts w:asciiTheme="minorHAnsi" w:hAnsiTheme="minorHAnsi" w:cstheme="minorHAnsi"/>
          <w:sz w:val="20"/>
        </w:rPr>
        <w:tab/>
      </w:r>
      <w:r w:rsidR="008B1B34" w:rsidRPr="00F406A5">
        <w:rPr>
          <w:rFonts w:asciiTheme="minorHAnsi" w:hAnsiTheme="minorHAnsi" w:cstheme="minorHAnsi"/>
          <w:sz w:val="20"/>
        </w:rPr>
        <w:t>The actuarial present value of total projected benefits.</w:t>
      </w:r>
    </w:p>
    <w:p w14:paraId="27A0D335" w14:textId="77777777" w:rsidR="008B1B34" w:rsidRPr="00F406A5" w:rsidRDefault="008B1B34" w:rsidP="008B1B34">
      <w:pPr>
        <w:pStyle w:val="ListParagraph"/>
        <w:spacing w:line="300" w:lineRule="atLeast"/>
        <w:ind w:left="2880"/>
        <w:rPr>
          <w:rFonts w:asciiTheme="minorHAnsi" w:hAnsiTheme="minorHAnsi" w:cstheme="minorHAnsi"/>
          <w:sz w:val="20"/>
        </w:rPr>
      </w:pPr>
    </w:p>
    <w:p w14:paraId="5FD34DFA" w14:textId="11423B70"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2.5.2</w:t>
      </w:r>
      <w:r w:rsidRPr="00F406A5">
        <w:rPr>
          <w:rFonts w:asciiTheme="minorHAnsi" w:hAnsiTheme="minorHAnsi" w:cstheme="minorHAnsi"/>
          <w:sz w:val="20"/>
        </w:rPr>
        <w:tab/>
      </w:r>
      <w:r w:rsidR="008B1B34" w:rsidRPr="00F406A5">
        <w:rPr>
          <w:rFonts w:asciiTheme="minorHAnsi" w:hAnsiTheme="minorHAnsi" w:cstheme="minorHAnsi"/>
          <w:sz w:val="20"/>
        </w:rPr>
        <w:t>Actuarial accrued liability.</w:t>
      </w:r>
    </w:p>
    <w:p w14:paraId="486352BA" w14:textId="77777777" w:rsidR="008B1B34" w:rsidRPr="00F406A5" w:rsidRDefault="008B1B34" w:rsidP="00F02E68">
      <w:pPr>
        <w:spacing w:line="300" w:lineRule="atLeast"/>
        <w:ind w:left="720" w:firstLine="720"/>
        <w:rPr>
          <w:rFonts w:asciiTheme="minorHAnsi" w:hAnsiTheme="minorHAnsi" w:cstheme="minorHAnsi"/>
          <w:sz w:val="20"/>
        </w:rPr>
      </w:pPr>
    </w:p>
    <w:p w14:paraId="25697A6B" w14:textId="1B77C315"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2.5.3</w:t>
      </w:r>
      <w:r w:rsidRPr="00F406A5">
        <w:rPr>
          <w:rFonts w:asciiTheme="minorHAnsi" w:hAnsiTheme="minorHAnsi" w:cstheme="minorHAnsi"/>
          <w:sz w:val="20"/>
        </w:rPr>
        <w:tab/>
      </w:r>
      <w:r w:rsidR="008B1B34" w:rsidRPr="00F406A5">
        <w:rPr>
          <w:rFonts w:asciiTheme="minorHAnsi" w:hAnsiTheme="minorHAnsi" w:cstheme="minorHAnsi"/>
          <w:sz w:val="20"/>
        </w:rPr>
        <w:t>Actuarial value of assets.</w:t>
      </w:r>
    </w:p>
    <w:p w14:paraId="5A8A3456" w14:textId="77777777" w:rsidR="008B1B34" w:rsidRPr="00F406A5" w:rsidRDefault="008B1B34" w:rsidP="00F02E68">
      <w:pPr>
        <w:spacing w:line="300" w:lineRule="atLeast"/>
        <w:ind w:left="720" w:firstLine="720"/>
        <w:rPr>
          <w:rFonts w:asciiTheme="minorHAnsi" w:hAnsiTheme="minorHAnsi" w:cstheme="minorHAnsi"/>
          <w:sz w:val="20"/>
        </w:rPr>
      </w:pPr>
    </w:p>
    <w:p w14:paraId="03069C71" w14:textId="184E4BF5"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2.5.4</w:t>
      </w:r>
      <w:r w:rsidRPr="00F406A5">
        <w:rPr>
          <w:rFonts w:asciiTheme="minorHAnsi" w:hAnsiTheme="minorHAnsi" w:cstheme="minorHAnsi"/>
          <w:sz w:val="20"/>
        </w:rPr>
        <w:tab/>
      </w:r>
      <w:r w:rsidR="008B1B34" w:rsidRPr="00F406A5">
        <w:rPr>
          <w:rFonts w:asciiTheme="minorHAnsi" w:hAnsiTheme="minorHAnsi" w:cstheme="minorHAnsi"/>
          <w:sz w:val="20"/>
        </w:rPr>
        <w:t>The unfunded actuarial accrued liability.</w:t>
      </w:r>
    </w:p>
    <w:p w14:paraId="2FAC3C52" w14:textId="77777777" w:rsidR="008B1B34" w:rsidRPr="00F406A5" w:rsidRDefault="008B1B34" w:rsidP="00F02E68">
      <w:pPr>
        <w:spacing w:line="300" w:lineRule="atLeast"/>
        <w:ind w:left="720" w:firstLine="720"/>
        <w:rPr>
          <w:rFonts w:asciiTheme="minorHAnsi" w:hAnsiTheme="minorHAnsi" w:cstheme="minorHAnsi"/>
          <w:sz w:val="20"/>
        </w:rPr>
      </w:pPr>
    </w:p>
    <w:p w14:paraId="7D92E224" w14:textId="50C8698A"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2.5.5</w:t>
      </w:r>
      <w:r w:rsidRPr="00F406A5">
        <w:rPr>
          <w:rFonts w:asciiTheme="minorHAnsi" w:hAnsiTheme="minorHAnsi" w:cstheme="minorHAnsi"/>
          <w:sz w:val="20"/>
        </w:rPr>
        <w:tab/>
      </w:r>
      <w:r w:rsidR="008B1B34" w:rsidRPr="00F406A5">
        <w:rPr>
          <w:rFonts w:asciiTheme="minorHAnsi" w:hAnsiTheme="minorHAnsi" w:cstheme="minorHAnsi"/>
          <w:sz w:val="20"/>
        </w:rPr>
        <w:t>Normal Costs.</w:t>
      </w:r>
    </w:p>
    <w:p w14:paraId="06FA7372" w14:textId="77777777" w:rsidR="008B1B34" w:rsidRPr="00F406A5" w:rsidRDefault="008B1B34" w:rsidP="00F02E68">
      <w:pPr>
        <w:spacing w:line="300" w:lineRule="atLeast"/>
        <w:ind w:left="720" w:firstLine="720"/>
        <w:rPr>
          <w:rFonts w:asciiTheme="minorHAnsi" w:hAnsiTheme="minorHAnsi" w:cstheme="minorHAnsi"/>
          <w:sz w:val="20"/>
        </w:rPr>
      </w:pPr>
    </w:p>
    <w:p w14:paraId="512B9356" w14:textId="630D0550"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2.5.6</w:t>
      </w:r>
      <w:r w:rsidRPr="00F406A5">
        <w:rPr>
          <w:rFonts w:asciiTheme="minorHAnsi" w:hAnsiTheme="minorHAnsi" w:cstheme="minorHAnsi"/>
          <w:sz w:val="20"/>
        </w:rPr>
        <w:tab/>
      </w:r>
      <w:r w:rsidR="008B1B34" w:rsidRPr="00F406A5">
        <w:rPr>
          <w:rFonts w:asciiTheme="minorHAnsi" w:hAnsiTheme="minorHAnsi" w:cstheme="minorHAnsi"/>
          <w:sz w:val="20"/>
        </w:rPr>
        <w:t xml:space="preserve">Actuarily Determined Employer Contribution. </w:t>
      </w:r>
    </w:p>
    <w:p w14:paraId="0FC0298E" w14:textId="77777777" w:rsidR="008B1B34" w:rsidRPr="00F406A5" w:rsidRDefault="008B1B34" w:rsidP="00F02E68">
      <w:pPr>
        <w:spacing w:line="300" w:lineRule="atLeast"/>
        <w:ind w:left="720" w:firstLine="720"/>
        <w:rPr>
          <w:rFonts w:asciiTheme="minorHAnsi" w:hAnsiTheme="minorHAnsi" w:cstheme="minorHAnsi"/>
          <w:sz w:val="20"/>
        </w:rPr>
      </w:pPr>
    </w:p>
    <w:p w14:paraId="5A06E1DC" w14:textId="48E8385D"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2.5.7</w:t>
      </w:r>
      <w:r w:rsidRPr="00F406A5">
        <w:rPr>
          <w:rFonts w:asciiTheme="minorHAnsi" w:hAnsiTheme="minorHAnsi" w:cstheme="minorHAnsi"/>
          <w:sz w:val="20"/>
        </w:rPr>
        <w:tab/>
      </w:r>
      <w:r w:rsidR="008B1B34" w:rsidRPr="00F406A5">
        <w:rPr>
          <w:rFonts w:asciiTheme="minorHAnsi" w:hAnsiTheme="minorHAnsi" w:cstheme="minorHAnsi"/>
          <w:sz w:val="20"/>
        </w:rPr>
        <w:t>Annual  OPEB cost.</w:t>
      </w:r>
    </w:p>
    <w:p w14:paraId="55139461" w14:textId="77777777" w:rsidR="008B1B34" w:rsidRPr="00F406A5" w:rsidRDefault="008B1B34" w:rsidP="00F02E68">
      <w:pPr>
        <w:spacing w:line="300" w:lineRule="atLeast"/>
        <w:ind w:left="720" w:firstLine="720"/>
        <w:rPr>
          <w:rFonts w:asciiTheme="minorHAnsi" w:hAnsiTheme="minorHAnsi" w:cstheme="minorHAnsi"/>
          <w:sz w:val="20"/>
        </w:rPr>
      </w:pPr>
    </w:p>
    <w:p w14:paraId="6B3036CF" w14:textId="62BC5F3E"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2.5.8</w:t>
      </w:r>
      <w:r w:rsidRPr="00F406A5">
        <w:rPr>
          <w:rFonts w:asciiTheme="minorHAnsi" w:hAnsiTheme="minorHAnsi" w:cstheme="minorHAnsi"/>
          <w:sz w:val="20"/>
        </w:rPr>
        <w:tab/>
      </w:r>
      <w:r w:rsidR="008B1B34" w:rsidRPr="00F406A5">
        <w:rPr>
          <w:rFonts w:asciiTheme="minorHAnsi" w:hAnsiTheme="minorHAnsi" w:cstheme="minorHAnsi"/>
          <w:sz w:val="20"/>
        </w:rPr>
        <w:t>Net OPEB obligation for each court disclosure under GASB Statement 74/75.</w:t>
      </w:r>
    </w:p>
    <w:p w14:paraId="33B3A0C8" w14:textId="77777777" w:rsidR="008B1B34" w:rsidRPr="00F406A5" w:rsidRDefault="008B1B34" w:rsidP="00F02E68">
      <w:pPr>
        <w:spacing w:line="300" w:lineRule="atLeast"/>
        <w:ind w:left="720" w:firstLine="720"/>
        <w:rPr>
          <w:rFonts w:asciiTheme="minorHAnsi" w:hAnsiTheme="minorHAnsi" w:cstheme="minorHAnsi"/>
          <w:sz w:val="20"/>
        </w:rPr>
      </w:pPr>
    </w:p>
    <w:p w14:paraId="0D2BDC9F" w14:textId="5ADDA389"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2.5.9</w:t>
      </w:r>
      <w:r w:rsidRPr="00F406A5">
        <w:rPr>
          <w:rFonts w:asciiTheme="minorHAnsi" w:hAnsiTheme="minorHAnsi" w:cstheme="minorHAnsi"/>
          <w:sz w:val="20"/>
        </w:rPr>
        <w:tab/>
      </w:r>
      <w:r w:rsidR="008B1B34" w:rsidRPr="00F406A5">
        <w:rPr>
          <w:rFonts w:asciiTheme="minorHAnsi" w:hAnsiTheme="minorHAnsi" w:cstheme="minorHAnsi"/>
          <w:sz w:val="20"/>
        </w:rPr>
        <w:t>Summary of data used for the valuation.</w:t>
      </w:r>
    </w:p>
    <w:p w14:paraId="66BB6992" w14:textId="77777777" w:rsidR="008B1B34" w:rsidRPr="00F406A5" w:rsidRDefault="008B1B34" w:rsidP="00F02E68">
      <w:pPr>
        <w:spacing w:line="300" w:lineRule="atLeast"/>
        <w:ind w:left="720" w:firstLine="720"/>
        <w:rPr>
          <w:rFonts w:asciiTheme="minorHAnsi" w:hAnsiTheme="minorHAnsi" w:cstheme="minorHAnsi"/>
          <w:sz w:val="20"/>
        </w:rPr>
      </w:pPr>
    </w:p>
    <w:p w14:paraId="3ECDED84" w14:textId="52A3EFBC" w:rsidR="008B1B34" w:rsidRPr="00F406A5" w:rsidRDefault="00F02E68" w:rsidP="00F02E68">
      <w:pPr>
        <w:spacing w:line="300" w:lineRule="atLeast"/>
        <w:ind w:left="720" w:firstLine="720"/>
        <w:rPr>
          <w:rFonts w:asciiTheme="minorHAnsi" w:hAnsiTheme="minorHAnsi" w:cstheme="minorHAnsi"/>
          <w:sz w:val="20"/>
        </w:rPr>
      </w:pPr>
      <w:r w:rsidRPr="00F406A5">
        <w:rPr>
          <w:rFonts w:asciiTheme="minorHAnsi" w:hAnsiTheme="minorHAnsi" w:cstheme="minorHAnsi"/>
          <w:sz w:val="20"/>
        </w:rPr>
        <w:t>2.5.10</w:t>
      </w:r>
      <w:r w:rsidRPr="00F406A5">
        <w:rPr>
          <w:rFonts w:asciiTheme="minorHAnsi" w:hAnsiTheme="minorHAnsi" w:cstheme="minorHAnsi"/>
          <w:sz w:val="20"/>
        </w:rPr>
        <w:tab/>
      </w:r>
      <w:r w:rsidR="008B1B34" w:rsidRPr="00F406A5">
        <w:rPr>
          <w:rFonts w:asciiTheme="minorHAnsi" w:hAnsiTheme="minorHAnsi" w:cstheme="minorHAnsi"/>
          <w:sz w:val="20"/>
        </w:rPr>
        <w:t>Summary of actuarial methods and assumptions</w:t>
      </w:r>
    </w:p>
    <w:p w14:paraId="7D1DB4DF" w14:textId="77777777" w:rsidR="008B1B34" w:rsidRPr="00F406A5" w:rsidRDefault="008B1B34" w:rsidP="00F02E68">
      <w:pPr>
        <w:spacing w:line="300" w:lineRule="atLeast"/>
        <w:ind w:left="720" w:firstLine="720"/>
        <w:rPr>
          <w:rFonts w:asciiTheme="minorHAnsi" w:hAnsiTheme="minorHAnsi" w:cstheme="minorHAnsi"/>
          <w:sz w:val="20"/>
        </w:rPr>
      </w:pPr>
    </w:p>
    <w:p w14:paraId="77B0B9A2" w14:textId="60AB3E02"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2.5.11</w:t>
      </w:r>
      <w:r w:rsidRPr="00F406A5">
        <w:rPr>
          <w:rFonts w:asciiTheme="minorHAnsi" w:hAnsiTheme="minorHAnsi" w:cstheme="minorHAnsi"/>
          <w:sz w:val="20"/>
        </w:rPr>
        <w:tab/>
      </w:r>
      <w:r w:rsidR="008B1B34" w:rsidRPr="00F406A5">
        <w:rPr>
          <w:rFonts w:asciiTheme="minorHAnsi" w:hAnsiTheme="minorHAnsi" w:cstheme="minorHAnsi"/>
          <w:sz w:val="20"/>
        </w:rPr>
        <w:t>The consultant will prepare the annual gain/loss analysis to determine reasons for changes in the unfunded actuarial accrued liability, whenever a prior actuarial valuation is available to support this.</w:t>
      </w:r>
    </w:p>
    <w:p w14:paraId="51CE67F9" w14:textId="77777777" w:rsidR="008B1B34" w:rsidRPr="00F406A5" w:rsidRDefault="008B1B34" w:rsidP="00F02E68">
      <w:pPr>
        <w:spacing w:line="300" w:lineRule="atLeast"/>
        <w:ind w:left="720" w:firstLine="720"/>
        <w:rPr>
          <w:rFonts w:asciiTheme="minorHAnsi" w:hAnsiTheme="minorHAnsi" w:cstheme="minorHAnsi"/>
          <w:sz w:val="20"/>
        </w:rPr>
      </w:pPr>
    </w:p>
    <w:p w14:paraId="7677997D" w14:textId="2547042C"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2.5.12</w:t>
      </w:r>
      <w:r w:rsidRPr="00F406A5">
        <w:rPr>
          <w:rFonts w:asciiTheme="minorHAnsi" w:hAnsiTheme="minorHAnsi" w:cstheme="minorHAnsi"/>
          <w:sz w:val="20"/>
        </w:rPr>
        <w:tab/>
      </w:r>
      <w:r w:rsidR="008B1B34" w:rsidRPr="00F406A5">
        <w:rPr>
          <w:rFonts w:asciiTheme="minorHAnsi" w:hAnsiTheme="minorHAnsi" w:cstheme="minorHAnsi"/>
          <w:sz w:val="20"/>
        </w:rPr>
        <w:t>The consultant will determine the implicit rate subsidy, if any, and the impact it would have on the OPEB liability.</w:t>
      </w:r>
      <w:r w:rsidR="008B1B34" w:rsidRPr="00F406A5">
        <w:rPr>
          <w:rFonts w:asciiTheme="minorHAnsi" w:hAnsiTheme="minorHAnsi" w:cstheme="minorHAnsi"/>
          <w:sz w:val="20"/>
        </w:rPr>
        <w:br/>
      </w:r>
    </w:p>
    <w:p w14:paraId="65484F09" w14:textId="71ECF126"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2.5.13</w:t>
      </w:r>
      <w:r w:rsidRPr="00F406A5">
        <w:rPr>
          <w:rFonts w:asciiTheme="minorHAnsi" w:hAnsiTheme="minorHAnsi" w:cstheme="minorHAnsi"/>
          <w:sz w:val="20"/>
        </w:rPr>
        <w:tab/>
      </w:r>
      <w:r w:rsidR="008B1B34" w:rsidRPr="00F406A5">
        <w:rPr>
          <w:rFonts w:asciiTheme="minorHAnsi" w:hAnsiTheme="minorHAnsi" w:cstheme="minorHAnsi"/>
          <w:sz w:val="20"/>
        </w:rPr>
        <w:t xml:space="preserve">The consultant will provide comprehensive reports and executive summaries, by plan, discussing assumptions, data utilized, and results.  The executive summary should be clear and non-technical.  The report should provide the Judicial Council and the State </w:t>
      </w:r>
      <w:r w:rsidR="008B1B34" w:rsidRPr="00F406A5">
        <w:rPr>
          <w:rFonts w:asciiTheme="minorHAnsi" w:hAnsiTheme="minorHAnsi" w:cstheme="minorHAnsi"/>
          <w:sz w:val="20"/>
        </w:rPr>
        <w:lastRenderedPageBreak/>
        <w:t xml:space="preserve">Controller’s Office </w:t>
      </w:r>
      <w:proofErr w:type="gramStart"/>
      <w:r w:rsidR="008B1B34" w:rsidRPr="00F406A5">
        <w:rPr>
          <w:rFonts w:asciiTheme="minorHAnsi" w:hAnsiTheme="minorHAnsi" w:cstheme="minorHAnsi"/>
          <w:sz w:val="20"/>
        </w:rPr>
        <w:t>sufficient</w:t>
      </w:r>
      <w:proofErr w:type="gramEnd"/>
      <w:r w:rsidR="008B1B34" w:rsidRPr="00F406A5">
        <w:rPr>
          <w:rFonts w:asciiTheme="minorHAnsi" w:hAnsiTheme="minorHAnsi" w:cstheme="minorHAnsi"/>
          <w:sz w:val="20"/>
        </w:rPr>
        <w:t xml:space="preserve"> information, in accordance with GASB 74/75, to prepare the Superior Courts portion of the State’s Comprehensive Annual Financial Report, which includes General Purpose Financial Statements, Note Disclosures, and Required Supplementary Information.  The consultant will review a draft of the report with the Judicial Council project management team.</w:t>
      </w:r>
    </w:p>
    <w:p w14:paraId="220D0B93" w14:textId="77777777" w:rsidR="008B1B34" w:rsidRPr="00F406A5" w:rsidRDefault="008B1B34" w:rsidP="00F02E68">
      <w:pPr>
        <w:spacing w:line="300" w:lineRule="atLeast"/>
        <w:ind w:left="720" w:firstLine="720"/>
        <w:rPr>
          <w:rFonts w:asciiTheme="minorHAnsi" w:hAnsiTheme="minorHAnsi" w:cstheme="minorHAnsi"/>
          <w:sz w:val="20"/>
        </w:rPr>
      </w:pPr>
    </w:p>
    <w:p w14:paraId="6981D12E" w14:textId="2B485D13"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2.5.14</w:t>
      </w:r>
      <w:r w:rsidRPr="00F406A5">
        <w:rPr>
          <w:rFonts w:asciiTheme="minorHAnsi" w:hAnsiTheme="minorHAnsi" w:cstheme="minorHAnsi"/>
          <w:sz w:val="20"/>
        </w:rPr>
        <w:tab/>
      </w:r>
      <w:r w:rsidR="008B1B34" w:rsidRPr="00F406A5">
        <w:rPr>
          <w:rFonts w:asciiTheme="minorHAnsi" w:hAnsiTheme="minorHAnsi" w:cstheme="minorHAnsi"/>
          <w:sz w:val="20"/>
        </w:rPr>
        <w:t>Each superior court plan and report must be presented to the Judicial Council’s Project Manager.</w:t>
      </w:r>
    </w:p>
    <w:p w14:paraId="3442B631" w14:textId="77777777" w:rsidR="008B1B34" w:rsidRPr="00F406A5" w:rsidRDefault="008B1B34" w:rsidP="00F02E68">
      <w:pPr>
        <w:spacing w:line="300" w:lineRule="atLeast"/>
        <w:ind w:left="720" w:firstLine="720"/>
        <w:rPr>
          <w:rFonts w:asciiTheme="minorHAnsi" w:hAnsiTheme="minorHAnsi" w:cstheme="minorHAnsi"/>
          <w:sz w:val="20"/>
        </w:rPr>
      </w:pPr>
    </w:p>
    <w:p w14:paraId="7E543F87" w14:textId="7BB8D37A"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5.5.15</w:t>
      </w:r>
      <w:r w:rsidRPr="00F406A5">
        <w:rPr>
          <w:rFonts w:asciiTheme="minorHAnsi" w:hAnsiTheme="minorHAnsi" w:cstheme="minorHAnsi"/>
          <w:sz w:val="20"/>
        </w:rPr>
        <w:tab/>
      </w:r>
      <w:r w:rsidR="008B1B34" w:rsidRPr="00F406A5">
        <w:rPr>
          <w:rFonts w:asciiTheme="minorHAnsi" w:hAnsiTheme="minorHAnsi" w:cstheme="minorHAnsi"/>
          <w:sz w:val="20"/>
        </w:rPr>
        <w:t>Manage collection of updated data for each of the 58 superior courts through its designated GASB 74/75 OPEB Court Liaison.</w:t>
      </w:r>
    </w:p>
    <w:p w14:paraId="0116140F" w14:textId="77777777" w:rsidR="008B1B34" w:rsidRPr="00F406A5" w:rsidRDefault="008B1B34" w:rsidP="00F02E68">
      <w:pPr>
        <w:spacing w:line="300" w:lineRule="atLeast"/>
        <w:ind w:left="720" w:firstLine="720"/>
        <w:rPr>
          <w:rFonts w:asciiTheme="minorHAnsi" w:hAnsiTheme="minorHAnsi" w:cstheme="minorHAnsi"/>
          <w:sz w:val="20"/>
        </w:rPr>
      </w:pPr>
    </w:p>
    <w:p w14:paraId="470C3A39" w14:textId="2E7DAB93"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2.5.16</w:t>
      </w:r>
      <w:r w:rsidRPr="00F406A5">
        <w:rPr>
          <w:rFonts w:asciiTheme="minorHAnsi" w:hAnsiTheme="minorHAnsi" w:cstheme="minorHAnsi"/>
          <w:sz w:val="20"/>
        </w:rPr>
        <w:tab/>
      </w:r>
      <w:r w:rsidR="008B1B34" w:rsidRPr="00F406A5">
        <w:rPr>
          <w:rFonts w:asciiTheme="minorHAnsi" w:hAnsiTheme="minorHAnsi" w:cstheme="minorHAnsi"/>
          <w:sz w:val="20"/>
        </w:rPr>
        <w:t>As appropriate, the selected firm will review and update plan documents and design, based upon changes in law, rules and regulations.  The selected firm will also make recommendations for formalizing informal plans.</w:t>
      </w:r>
    </w:p>
    <w:p w14:paraId="3B226E15" w14:textId="77777777" w:rsidR="008B1B34" w:rsidRPr="00F406A5" w:rsidRDefault="008B1B34" w:rsidP="00F02E68">
      <w:pPr>
        <w:spacing w:line="300" w:lineRule="atLeast"/>
        <w:ind w:left="720" w:firstLine="720"/>
        <w:rPr>
          <w:rFonts w:asciiTheme="minorHAnsi" w:hAnsiTheme="minorHAnsi" w:cstheme="minorHAnsi"/>
          <w:sz w:val="20"/>
        </w:rPr>
      </w:pPr>
    </w:p>
    <w:p w14:paraId="32E5E49C" w14:textId="1665AF8B" w:rsidR="008B1B34" w:rsidRPr="00F406A5" w:rsidRDefault="00F02E68" w:rsidP="00F02E68">
      <w:pPr>
        <w:spacing w:line="300" w:lineRule="atLeast"/>
        <w:ind w:left="2160" w:hanging="720"/>
        <w:rPr>
          <w:rFonts w:asciiTheme="minorHAnsi" w:hAnsiTheme="minorHAnsi" w:cstheme="minorHAnsi"/>
          <w:sz w:val="20"/>
        </w:rPr>
      </w:pPr>
      <w:r w:rsidRPr="00F406A5">
        <w:rPr>
          <w:rFonts w:asciiTheme="minorHAnsi" w:hAnsiTheme="minorHAnsi" w:cstheme="minorHAnsi"/>
          <w:sz w:val="20"/>
        </w:rPr>
        <w:t>2.5.17</w:t>
      </w:r>
      <w:r w:rsidRPr="00F406A5">
        <w:rPr>
          <w:rFonts w:asciiTheme="minorHAnsi" w:hAnsiTheme="minorHAnsi" w:cstheme="minorHAnsi"/>
          <w:sz w:val="20"/>
        </w:rPr>
        <w:tab/>
      </w:r>
      <w:r w:rsidR="008B1B34" w:rsidRPr="00F406A5">
        <w:rPr>
          <w:rFonts w:asciiTheme="minorHAnsi" w:hAnsiTheme="minorHAnsi" w:cstheme="minorHAnsi"/>
          <w:sz w:val="20"/>
        </w:rPr>
        <w:t>Analyze relevant data to assess any inconsistencies and make recommendations for enhancing data quality.</w:t>
      </w:r>
    </w:p>
    <w:p w14:paraId="38800B5D" w14:textId="77777777" w:rsidR="008B1B34" w:rsidRPr="00F406A5" w:rsidRDefault="008B1B34" w:rsidP="008B1B34">
      <w:pPr>
        <w:pStyle w:val="ListParagraph"/>
        <w:spacing w:line="300" w:lineRule="atLeast"/>
        <w:ind w:left="2880"/>
        <w:rPr>
          <w:rFonts w:asciiTheme="minorHAnsi" w:hAnsiTheme="minorHAnsi" w:cstheme="minorHAnsi"/>
          <w:sz w:val="20"/>
        </w:rPr>
      </w:pPr>
    </w:p>
    <w:p w14:paraId="0EF26C4B" w14:textId="4EB99833" w:rsidR="00F02E68" w:rsidRPr="00F406A5" w:rsidRDefault="00F02E68" w:rsidP="009633C6">
      <w:pPr>
        <w:spacing w:before="120" w:after="120"/>
        <w:ind w:left="936"/>
        <w:rPr>
          <w:rFonts w:asciiTheme="minorHAnsi" w:hAnsiTheme="minorHAnsi" w:cstheme="minorHAnsi"/>
          <w:bCs/>
          <w:sz w:val="20"/>
          <w:u w:val="single"/>
          <w:lang w:bidi="en-US"/>
        </w:rPr>
      </w:pPr>
      <w:r w:rsidRPr="00F406A5">
        <w:rPr>
          <w:rFonts w:asciiTheme="minorHAnsi" w:hAnsiTheme="minorHAnsi" w:cstheme="minorHAnsi"/>
          <w:b/>
          <w:bCs/>
          <w:sz w:val="20"/>
          <w:lang w:bidi="en-US"/>
        </w:rPr>
        <w:t>2.6</w:t>
      </w:r>
      <w:r w:rsidRPr="00F406A5">
        <w:rPr>
          <w:rFonts w:asciiTheme="minorHAnsi" w:hAnsiTheme="minorHAnsi" w:cstheme="minorHAnsi"/>
          <w:b/>
          <w:bCs/>
          <w:sz w:val="20"/>
          <w:lang w:bidi="en-US"/>
        </w:rPr>
        <w:tab/>
      </w:r>
      <w:r w:rsidR="00C4177B" w:rsidRPr="00F406A5">
        <w:rPr>
          <w:rFonts w:asciiTheme="minorHAnsi" w:hAnsiTheme="minorHAnsi" w:cstheme="minorHAnsi"/>
          <w:b/>
          <w:bCs/>
          <w:sz w:val="20"/>
          <w:lang w:bidi="en-US"/>
        </w:rPr>
        <w:t>Description of Deliverables</w:t>
      </w:r>
      <w:r w:rsidR="009633C6">
        <w:rPr>
          <w:rFonts w:asciiTheme="minorHAnsi" w:hAnsiTheme="minorHAnsi" w:cstheme="minorHAnsi"/>
          <w:b/>
          <w:bCs/>
          <w:sz w:val="20"/>
          <w:lang w:bidi="en-US"/>
        </w:rPr>
        <w:t xml:space="preserve"> and Timeline</w:t>
      </w:r>
      <w:r w:rsidR="00C4177B" w:rsidRPr="00F406A5">
        <w:rPr>
          <w:rFonts w:asciiTheme="minorHAnsi" w:hAnsiTheme="minorHAnsi" w:cstheme="minorHAnsi"/>
          <w:b/>
          <w:bCs/>
          <w:sz w:val="20"/>
          <w:lang w:bidi="en-US"/>
        </w:rPr>
        <w:t xml:space="preserve">. </w:t>
      </w:r>
      <w:r w:rsidR="009633C6">
        <w:rPr>
          <w:rFonts w:asciiTheme="minorHAnsi" w:hAnsiTheme="minorHAnsi" w:cstheme="minorHAnsi"/>
          <w:bCs/>
          <w:sz w:val="20"/>
          <w:u w:val="single"/>
          <w:lang w:bidi="en-US"/>
        </w:rPr>
        <w:t xml:space="preserve"> </w:t>
      </w:r>
      <w:r w:rsidR="00C4177B" w:rsidRPr="00F406A5">
        <w:rPr>
          <w:rFonts w:asciiTheme="minorHAnsi" w:hAnsiTheme="minorHAnsi" w:cstheme="minorHAnsi"/>
          <w:sz w:val="20"/>
        </w:rPr>
        <w:t xml:space="preserve">Contractor shall </w:t>
      </w:r>
      <w:r w:rsidR="009633C6">
        <w:rPr>
          <w:rFonts w:asciiTheme="minorHAnsi" w:hAnsiTheme="minorHAnsi" w:cstheme="minorHAnsi"/>
          <w:sz w:val="20"/>
        </w:rPr>
        <w:t xml:space="preserve">perform the Services and </w:t>
      </w:r>
      <w:r w:rsidR="00C4177B" w:rsidRPr="00F406A5">
        <w:rPr>
          <w:rFonts w:asciiTheme="minorHAnsi" w:hAnsiTheme="minorHAnsi" w:cstheme="minorHAnsi"/>
          <w:sz w:val="20"/>
        </w:rPr>
        <w:t xml:space="preserve">deliver to the </w:t>
      </w:r>
      <w:r w:rsidR="00323CD0" w:rsidRPr="00F406A5">
        <w:rPr>
          <w:rFonts w:asciiTheme="minorHAnsi" w:hAnsiTheme="minorHAnsi" w:cstheme="minorHAnsi"/>
          <w:sz w:val="20"/>
        </w:rPr>
        <w:t>JBE</w:t>
      </w:r>
      <w:r w:rsidR="00C4177B" w:rsidRPr="00F406A5">
        <w:rPr>
          <w:rFonts w:asciiTheme="minorHAnsi" w:hAnsiTheme="minorHAnsi" w:cstheme="minorHAnsi"/>
          <w:sz w:val="20"/>
        </w:rPr>
        <w:t xml:space="preserve"> the work product</w:t>
      </w:r>
      <w:r w:rsidR="003F1B2B" w:rsidRPr="00F406A5">
        <w:rPr>
          <w:rFonts w:asciiTheme="minorHAnsi" w:hAnsiTheme="minorHAnsi" w:cstheme="minorHAnsi"/>
          <w:sz w:val="20"/>
        </w:rPr>
        <w:t>s</w:t>
      </w:r>
      <w:r w:rsidR="00C4177B" w:rsidRPr="00F406A5">
        <w:rPr>
          <w:rFonts w:asciiTheme="minorHAnsi" w:hAnsiTheme="minorHAnsi" w:cstheme="minorHAnsi"/>
          <w:sz w:val="20"/>
        </w:rPr>
        <w:t xml:space="preserve"> (“Deliverable</w:t>
      </w:r>
      <w:r w:rsidR="003F1B2B" w:rsidRPr="00F406A5">
        <w:rPr>
          <w:rFonts w:asciiTheme="minorHAnsi" w:hAnsiTheme="minorHAnsi" w:cstheme="minorHAnsi"/>
          <w:sz w:val="20"/>
        </w:rPr>
        <w:t>s</w:t>
      </w:r>
      <w:r w:rsidR="00C4177B" w:rsidRPr="00F406A5">
        <w:rPr>
          <w:rFonts w:asciiTheme="minorHAnsi" w:hAnsiTheme="minorHAnsi" w:cstheme="minorHAnsi"/>
          <w:sz w:val="20"/>
        </w:rPr>
        <w:t>”)</w:t>
      </w:r>
      <w:r w:rsidRPr="00F406A5">
        <w:rPr>
          <w:rFonts w:asciiTheme="minorHAnsi" w:hAnsiTheme="minorHAnsi" w:cstheme="minorHAnsi"/>
          <w:sz w:val="20"/>
        </w:rPr>
        <w:t xml:space="preserve"> according to th</w:t>
      </w:r>
      <w:r w:rsidR="00872C3F">
        <w:rPr>
          <w:rFonts w:asciiTheme="minorHAnsi" w:hAnsiTheme="minorHAnsi" w:cstheme="minorHAnsi"/>
          <w:sz w:val="20"/>
        </w:rPr>
        <w:t>e</w:t>
      </w:r>
      <w:r w:rsidRPr="00F406A5">
        <w:rPr>
          <w:rFonts w:asciiTheme="minorHAnsi" w:hAnsiTheme="minorHAnsi" w:cstheme="minorHAnsi"/>
          <w:sz w:val="20"/>
        </w:rPr>
        <w:t xml:space="preserve"> </w:t>
      </w:r>
      <w:r w:rsidR="00872C3F">
        <w:rPr>
          <w:rFonts w:asciiTheme="minorHAnsi" w:hAnsiTheme="minorHAnsi" w:cstheme="minorHAnsi"/>
          <w:sz w:val="20"/>
        </w:rPr>
        <w:t xml:space="preserve">following </w:t>
      </w:r>
      <w:r w:rsidRPr="00F406A5">
        <w:rPr>
          <w:rFonts w:asciiTheme="minorHAnsi" w:hAnsiTheme="minorHAnsi" w:cstheme="minorHAnsi"/>
          <w:sz w:val="20"/>
        </w:rPr>
        <w:t>timeline:</w:t>
      </w:r>
    </w:p>
    <w:p w14:paraId="29CA48D9" w14:textId="0531430F" w:rsidR="00C4177B" w:rsidRPr="00F406A5" w:rsidRDefault="00C4177B" w:rsidP="00F02E68">
      <w:pPr>
        <w:spacing w:before="120" w:after="120"/>
        <w:ind w:left="936"/>
        <w:rPr>
          <w:rFonts w:asciiTheme="minorHAnsi" w:hAnsiTheme="minorHAnsi" w:cstheme="minorHAnsi"/>
          <w:bCs/>
          <w:sz w:val="20"/>
          <w:u w:val="single"/>
          <w:lang w:bidi="en-US"/>
        </w:rPr>
      </w:pPr>
    </w:p>
    <w:p w14:paraId="50597A88" w14:textId="77777777" w:rsidR="00C4177B" w:rsidRPr="00F406A5" w:rsidRDefault="003145FD" w:rsidP="00F02E68">
      <w:pPr>
        <w:pStyle w:val="ListParagraph"/>
        <w:spacing w:before="120" w:after="120"/>
        <w:ind w:left="1260"/>
        <w:rPr>
          <w:rFonts w:asciiTheme="minorHAnsi" w:hAnsiTheme="minorHAnsi" w:cstheme="minorHAnsi"/>
          <w:i/>
          <w:sz w:val="20"/>
        </w:rPr>
      </w:pPr>
      <w:r w:rsidRPr="00F406A5">
        <w:rPr>
          <w:rFonts w:asciiTheme="minorHAnsi" w:hAnsiTheme="minorHAnsi" w:cstheme="minorHAnsi"/>
          <w:i/>
          <w:sz w:val="20"/>
        </w:rPr>
        <w:t xml:space="preserve">  </w:t>
      </w:r>
    </w:p>
    <w:tbl>
      <w:tblPr>
        <w:tblW w:w="8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3207"/>
      </w:tblGrid>
      <w:tr w:rsidR="00F02E68" w:rsidRPr="00F406A5" w14:paraId="5DFFA16C" w14:textId="77777777" w:rsidTr="009633C6">
        <w:trPr>
          <w:trHeight w:val="402"/>
          <w:tblHeader/>
        </w:trPr>
        <w:tc>
          <w:tcPr>
            <w:tcW w:w="549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34BDD0D" w14:textId="77777777" w:rsidR="00F02E68" w:rsidRPr="00F406A5" w:rsidRDefault="00F02E68" w:rsidP="0061391D">
            <w:pPr>
              <w:pStyle w:val="BodyText"/>
              <w:jc w:val="center"/>
              <w:rPr>
                <w:rFonts w:asciiTheme="minorHAnsi" w:hAnsiTheme="minorHAnsi" w:cstheme="minorHAnsi"/>
                <w:b/>
                <w:sz w:val="20"/>
              </w:rPr>
            </w:pPr>
            <w:r w:rsidRPr="00F406A5">
              <w:rPr>
                <w:rFonts w:asciiTheme="minorHAnsi" w:hAnsiTheme="minorHAnsi" w:cstheme="minorHAnsi"/>
                <w:b/>
                <w:sz w:val="20"/>
              </w:rPr>
              <w:t>DELIVERABLES</w:t>
            </w:r>
          </w:p>
        </w:tc>
        <w:tc>
          <w:tcPr>
            <w:tcW w:w="320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506C18C8" w14:textId="77777777" w:rsidR="00F02E68" w:rsidRPr="00F406A5" w:rsidRDefault="00F02E68" w:rsidP="0061391D">
            <w:pPr>
              <w:pStyle w:val="BodyText"/>
              <w:jc w:val="center"/>
              <w:rPr>
                <w:rFonts w:asciiTheme="minorHAnsi" w:hAnsiTheme="minorHAnsi" w:cstheme="minorHAnsi"/>
                <w:b/>
                <w:sz w:val="20"/>
              </w:rPr>
            </w:pPr>
            <w:r w:rsidRPr="00F406A5">
              <w:rPr>
                <w:rFonts w:asciiTheme="minorHAnsi" w:hAnsiTheme="minorHAnsi" w:cstheme="minorHAnsi"/>
                <w:b/>
                <w:sz w:val="20"/>
              </w:rPr>
              <w:t>DUE DATES</w:t>
            </w:r>
          </w:p>
        </w:tc>
      </w:tr>
      <w:tr w:rsidR="00F02E68" w:rsidRPr="00F406A5" w14:paraId="5C430620" w14:textId="77777777" w:rsidTr="009633C6">
        <w:trPr>
          <w:trHeight w:val="780"/>
        </w:trPr>
        <w:tc>
          <w:tcPr>
            <w:tcW w:w="5490" w:type="dxa"/>
            <w:tcBorders>
              <w:top w:val="single" w:sz="12" w:space="0" w:color="auto"/>
            </w:tcBorders>
            <w:vAlign w:val="center"/>
          </w:tcPr>
          <w:p w14:paraId="32E0943C" w14:textId="77777777" w:rsidR="00F02E68" w:rsidRPr="00F406A5" w:rsidRDefault="00F02E68" w:rsidP="0061391D">
            <w:pPr>
              <w:pStyle w:val="BodyText"/>
              <w:rPr>
                <w:rFonts w:asciiTheme="minorHAnsi" w:hAnsiTheme="minorHAnsi" w:cstheme="minorHAnsi"/>
                <w:sz w:val="20"/>
              </w:rPr>
            </w:pPr>
            <w:r w:rsidRPr="00F406A5">
              <w:rPr>
                <w:rFonts w:asciiTheme="minorHAnsi" w:hAnsiTheme="minorHAnsi" w:cstheme="minorHAnsi"/>
                <w:sz w:val="20"/>
              </w:rPr>
              <w:t>Project kick-off meeting and development of a draft Project Management Plan.</w:t>
            </w:r>
          </w:p>
        </w:tc>
        <w:tc>
          <w:tcPr>
            <w:tcW w:w="3207" w:type="dxa"/>
            <w:tcBorders>
              <w:top w:val="single" w:sz="12" w:space="0" w:color="auto"/>
            </w:tcBorders>
            <w:vAlign w:val="center"/>
          </w:tcPr>
          <w:p w14:paraId="6CA3A021" w14:textId="77777777" w:rsidR="00F02E68" w:rsidRPr="00F406A5" w:rsidRDefault="00F02E68" w:rsidP="0061391D">
            <w:pPr>
              <w:pStyle w:val="BodyText"/>
              <w:jc w:val="center"/>
              <w:rPr>
                <w:rFonts w:asciiTheme="minorHAnsi" w:hAnsiTheme="minorHAnsi" w:cstheme="minorHAnsi"/>
                <w:sz w:val="20"/>
              </w:rPr>
            </w:pPr>
            <w:r w:rsidRPr="00F406A5">
              <w:rPr>
                <w:rFonts w:asciiTheme="minorHAnsi" w:hAnsiTheme="minorHAnsi" w:cstheme="minorHAnsi"/>
                <w:sz w:val="20"/>
              </w:rPr>
              <w:t>August 2021</w:t>
            </w:r>
          </w:p>
        </w:tc>
      </w:tr>
      <w:tr w:rsidR="00F02E68" w:rsidRPr="00F406A5" w14:paraId="1DA441B2" w14:textId="77777777" w:rsidTr="009633C6">
        <w:trPr>
          <w:trHeight w:val="1070"/>
        </w:trPr>
        <w:tc>
          <w:tcPr>
            <w:tcW w:w="5490" w:type="dxa"/>
            <w:vAlign w:val="center"/>
          </w:tcPr>
          <w:p w14:paraId="124EE872" w14:textId="77777777" w:rsidR="00F02E68" w:rsidRPr="00F406A5" w:rsidRDefault="00F02E68" w:rsidP="0061391D">
            <w:pPr>
              <w:pStyle w:val="BodyText"/>
              <w:rPr>
                <w:rFonts w:asciiTheme="minorHAnsi" w:hAnsiTheme="minorHAnsi" w:cstheme="minorHAnsi"/>
                <w:sz w:val="20"/>
              </w:rPr>
            </w:pPr>
            <w:r w:rsidRPr="00F406A5">
              <w:rPr>
                <w:rFonts w:asciiTheme="minorHAnsi" w:hAnsiTheme="minorHAnsi" w:cstheme="minorHAnsi"/>
                <w:sz w:val="20"/>
              </w:rPr>
              <w:t xml:space="preserve">Final Project Management Plan </w:t>
            </w:r>
          </w:p>
        </w:tc>
        <w:tc>
          <w:tcPr>
            <w:tcW w:w="3207" w:type="dxa"/>
            <w:vAlign w:val="center"/>
          </w:tcPr>
          <w:p w14:paraId="783829B0" w14:textId="77777777" w:rsidR="00F02E68" w:rsidRPr="00F406A5" w:rsidRDefault="00F02E68" w:rsidP="0061391D">
            <w:pPr>
              <w:pStyle w:val="BodyText"/>
              <w:jc w:val="center"/>
              <w:rPr>
                <w:rFonts w:asciiTheme="minorHAnsi" w:hAnsiTheme="minorHAnsi" w:cstheme="minorHAnsi"/>
                <w:sz w:val="20"/>
              </w:rPr>
            </w:pPr>
            <w:r w:rsidRPr="00F406A5">
              <w:rPr>
                <w:rFonts w:asciiTheme="minorHAnsi" w:hAnsiTheme="minorHAnsi" w:cstheme="minorHAnsi"/>
                <w:sz w:val="20"/>
              </w:rPr>
              <w:t>September 2021</w:t>
            </w:r>
          </w:p>
        </w:tc>
      </w:tr>
      <w:tr w:rsidR="00F02E68" w:rsidRPr="00F406A5" w14:paraId="43A2B5DE" w14:textId="77777777" w:rsidTr="009633C6">
        <w:trPr>
          <w:trHeight w:val="710"/>
        </w:trPr>
        <w:tc>
          <w:tcPr>
            <w:tcW w:w="5490" w:type="dxa"/>
            <w:vAlign w:val="center"/>
          </w:tcPr>
          <w:p w14:paraId="41790DC6" w14:textId="77777777" w:rsidR="00F02E68" w:rsidRPr="00F406A5" w:rsidRDefault="00F02E68" w:rsidP="0061391D">
            <w:pPr>
              <w:pStyle w:val="BodyText"/>
              <w:rPr>
                <w:rFonts w:asciiTheme="minorHAnsi" w:hAnsiTheme="minorHAnsi" w:cstheme="minorHAnsi"/>
                <w:sz w:val="20"/>
              </w:rPr>
            </w:pPr>
            <w:r w:rsidRPr="00F406A5">
              <w:rPr>
                <w:rFonts w:asciiTheme="minorHAnsi" w:hAnsiTheme="minorHAnsi" w:cstheme="minorHAnsi"/>
                <w:sz w:val="20"/>
              </w:rPr>
              <w:t>Weekly Project Status Reports</w:t>
            </w:r>
          </w:p>
        </w:tc>
        <w:tc>
          <w:tcPr>
            <w:tcW w:w="3207" w:type="dxa"/>
            <w:vAlign w:val="center"/>
          </w:tcPr>
          <w:p w14:paraId="5C12430A" w14:textId="77777777" w:rsidR="00F02E68" w:rsidRPr="00F406A5" w:rsidRDefault="00F02E68" w:rsidP="0061391D">
            <w:pPr>
              <w:pStyle w:val="BodyText"/>
              <w:jc w:val="center"/>
              <w:rPr>
                <w:rFonts w:asciiTheme="minorHAnsi" w:hAnsiTheme="minorHAnsi" w:cstheme="minorHAnsi"/>
                <w:sz w:val="20"/>
              </w:rPr>
            </w:pPr>
            <w:r w:rsidRPr="00F406A5">
              <w:rPr>
                <w:rFonts w:asciiTheme="minorHAnsi" w:hAnsiTheme="minorHAnsi" w:cstheme="minorHAnsi"/>
                <w:sz w:val="20"/>
              </w:rPr>
              <w:t>Weekly</w:t>
            </w:r>
          </w:p>
        </w:tc>
      </w:tr>
      <w:tr w:rsidR="00F02E68" w:rsidRPr="00F406A5" w14:paraId="4F6AC490" w14:textId="77777777" w:rsidTr="009633C6">
        <w:trPr>
          <w:trHeight w:val="800"/>
        </w:trPr>
        <w:tc>
          <w:tcPr>
            <w:tcW w:w="5490" w:type="dxa"/>
            <w:vAlign w:val="center"/>
          </w:tcPr>
          <w:p w14:paraId="5427DA51" w14:textId="77777777" w:rsidR="00F02E68" w:rsidRPr="00F406A5" w:rsidRDefault="00F02E68" w:rsidP="0061391D">
            <w:pPr>
              <w:pStyle w:val="BodyText"/>
              <w:rPr>
                <w:rFonts w:asciiTheme="minorHAnsi" w:hAnsiTheme="minorHAnsi" w:cstheme="minorHAnsi"/>
                <w:sz w:val="20"/>
              </w:rPr>
            </w:pPr>
            <w:r w:rsidRPr="00F406A5">
              <w:rPr>
                <w:rFonts w:asciiTheme="minorHAnsi" w:hAnsiTheme="minorHAnsi" w:cstheme="minorHAnsi"/>
                <w:sz w:val="20"/>
              </w:rPr>
              <w:t>Valuation and review of draft Reports for each court.</w:t>
            </w:r>
          </w:p>
        </w:tc>
        <w:tc>
          <w:tcPr>
            <w:tcW w:w="3207" w:type="dxa"/>
            <w:vAlign w:val="center"/>
          </w:tcPr>
          <w:p w14:paraId="17EF3902" w14:textId="77777777" w:rsidR="00F02E68" w:rsidRPr="00F406A5" w:rsidRDefault="00F02E68" w:rsidP="0061391D">
            <w:pPr>
              <w:pStyle w:val="BodyText"/>
              <w:jc w:val="center"/>
              <w:rPr>
                <w:rFonts w:asciiTheme="minorHAnsi" w:hAnsiTheme="minorHAnsi" w:cstheme="minorHAnsi"/>
                <w:sz w:val="20"/>
              </w:rPr>
            </w:pPr>
            <w:r w:rsidRPr="00F406A5">
              <w:rPr>
                <w:rFonts w:asciiTheme="minorHAnsi" w:hAnsiTheme="minorHAnsi" w:cstheme="minorHAnsi"/>
                <w:sz w:val="20"/>
              </w:rPr>
              <w:t>On a flow basis</w:t>
            </w:r>
          </w:p>
        </w:tc>
      </w:tr>
      <w:tr w:rsidR="00F02E68" w:rsidRPr="00F406A5" w14:paraId="2ECB9F2F" w14:textId="77777777" w:rsidTr="009633C6">
        <w:trPr>
          <w:trHeight w:val="710"/>
        </w:trPr>
        <w:tc>
          <w:tcPr>
            <w:tcW w:w="5490" w:type="dxa"/>
            <w:vAlign w:val="center"/>
          </w:tcPr>
          <w:p w14:paraId="4E03A30D" w14:textId="77777777" w:rsidR="00F02E68" w:rsidRPr="00F406A5" w:rsidRDefault="00F02E68" w:rsidP="0061391D">
            <w:pPr>
              <w:pStyle w:val="BodyText"/>
              <w:rPr>
                <w:rFonts w:asciiTheme="minorHAnsi" w:hAnsiTheme="minorHAnsi" w:cstheme="minorHAnsi"/>
                <w:sz w:val="20"/>
              </w:rPr>
            </w:pPr>
            <w:r w:rsidRPr="00F406A5">
              <w:rPr>
                <w:rFonts w:asciiTheme="minorHAnsi" w:hAnsiTheme="minorHAnsi" w:cstheme="minorHAnsi"/>
                <w:sz w:val="20"/>
              </w:rPr>
              <w:t>Submission of final Reports accompanied by data base and support documentation files.</w:t>
            </w:r>
          </w:p>
        </w:tc>
        <w:tc>
          <w:tcPr>
            <w:tcW w:w="3207" w:type="dxa"/>
            <w:vAlign w:val="center"/>
          </w:tcPr>
          <w:p w14:paraId="7C930249" w14:textId="77777777" w:rsidR="00F02E68" w:rsidRPr="00F406A5" w:rsidRDefault="00F02E68" w:rsidP="0061391D">
            <w:pPr>
              <w:pStyle w:val="BodyText"/>
              <w:jc w:val="center"/>
              <w:rPr>
                <w:rFonts w:asciiTheme="minorHAnsi" w:hAnsiTheme="minorHAnsi" w:cstheme="minorHAnsi"/>
                <w:sz w:val="20"/>
              </w:rPr>
            </w:pPr>
            <w:r w:rsidRPr="00F406A5">
              <w:rPr>
                <w:rFonts w:asciiTheme="minorHAnsi" w:hAnsiTheme="minorHAnsi" w:cstheme="minorHAnsi"/>
                <w:sz w:val="20"/>
              </w:rPr>
              <w:t>May 2022</w:t>
            </w:r>
          </w:p>
        </w:tc>
      </w:tr>
      <w:tr w:rsidR="00F02E68" w:rsidRPr="00F406A5" w14:paraId="326143E1" w14:textId="77777777" w:rsidTr="009633C6">
        <w:trPr>
          <w:trHeight w:val="980"/>
        </w:trPr>
        <w:tc>
          <w:tcPr>
            <w:tcW w:w="5490" w:type="dxa"/>
            <w:vAlign w:val="center"/>
          </w:tcPr>
          <w:p w14:paraId="54A6A0DE" w14:textId="77777777" w:rsidR="00F02E68" w:rsidRPr="00F406A5" w:rsidRDefault="00F02E68" w:rsidP="0061391D">
            <w:pPr>
              <w:pStyle w:val="BodyText"/>
              <w:rPr>
                <w:rFonts w:asciiTheme="minorHAnsi" w:hAnsiTheme="minorHAnsi" w:cstheme="minorHAnsi"/>
                <w:sz w:val="20"/>
              </w:rPr>
            </w:pPr>
            <w:r w:rsidRPr="00F406A5">
              <w:rPr>
                <w:rFonts w:asciiTheme="minorHAnsi" w:hAnsiTheme="minorHAnsi" w:cstheme="minorHAnsi"/>
                <w:sz w:val="20"/>
              </w:rPr>
              <w:t>Process improvement and recommendations for next GASB 74/75 compliance cycle.</w:t>
            </w:r>
          </w:p>
        </w:tc>
        <w:tc>
          <w:tcPr>
            <w:tcW w:w="3207" w:type="dxa"/>
            <w:vAlign w:val="center"/>
          </w:tcPr>
          <w:p w14:paraId="177659D7" w14:textId="77777777" w:rsidR="00F02E68" w:rsidRPr="00F406A5" w:rsidRDefault="00F02E68" w:rsidP="0061391D">
            <w:pPr>
              <w:pStyle w:val="BodyText"/>
              <w:jc w:val="center"/>
              <w:rPr>
                <w:rFonts w:asciiTheme="minorHAnsi" w:hAnsiTheme="minorHAnsi" w:cstheme="minorHAnsi"/>
                <w:sz w:val="20"/>
              </w:rPr>
            </w:pPr>
            <w:r w:rsidRPr="00F406A5">
              <w:rPr>
                <w:rFonts w:asciiTheme="minorHAnsi" w:hAnsiTheme="minorHAnsi" w:cstheme="minorHAnsi"/>
                <w:sz w:val="20"/>
              </w:rPr>
              <w:t>August 2022</w:t>
            </w:r>
          </w:p>
        </w:tc>
      </w:tr>
    </w:tbl>
    <w:p w14:paraId="13BE9B1C" w14:textId="77777777" w:rsidR="00C4177B" w:rsidRPr="00C4177B" w:rsidRDefault="00C4177B" w:rsidP="00F02E68">
      <w:pPr>
        <w:pStyle w:val="ListParagraph"/>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528E279C" w:rsidR="000033AA" w:rsidRPr="009633C6" w:rsidRDefault="009633C6" w:rsidP="00846E22">
      <w:pPr>
        <w:pStyle w:val="ListParagraph"/>
        <w:numPr>
          <w:ilvl w:val="0"/>
          <w:numId w:val="21"/>
        </w:numPr>
        <w:spacing w:before="120" w:after="120"/>
        <w:ind w:left="1260"/>
        <w:rPr>
          <w:rFonts w:asciiTheme="minorHAnsi" w:hAnsiTheme="minorHAnsi" w:cstheme="minorHAnsi"/>
          <w:i/>
          <w:sz w:val="20"/>
        </w:rPr>
      </w:pPr>
      <w:r w:rsidRPr="009633C6">
        <w:rPr>
          <w:rFonts w:asciiTheme="minorHAnsi" w:hAnsiTheme="minorHAnsi" w:cstheme="minorHAnsi"/>
          <w:b/>
          <w:bCs/>
          <w:iCs/>
          <w:sz w:val="20"/>
        </w:rPr>
        <w:t>Timeliness:</w:t>
      </w:r>
      <w:r w:rsidRPr="009633C6">
        <w:rPr>
          <w:rFonts w:asciiTheme="minorHAnsi" w:hAnsiTheme="minorHAnsi" w:cstheme="minorHAnsi"/>
          <w:iCs/>
          <w:sz w:val="20"/>
        </w:rPr>
        <w:t xml:space="preserve">  </w:t>
      </w:r>
      <w:r w:rsidRPr="009633C6">
        <w:rPr>
          <w:rFonts w:asciiTheme="minorHAnsi" w:hAnsiTheme="minorHAnsi" w:cstheme="minorHAnsi"/>
          <w:i/>
          <w:sz w:val="20"/>
        </w:rPr>
        <w:t xml:space="preserve"> </w:t>
      </w:r>
      <w:r w:rsidRPr="009633C6">
        <w:rPr>
          <w:sz w:val="20"/>
        </w:rPr>
        <w:t xml:space="preserve">The Services were </w:t>
      </w:r>
      <w:proofErr w:type="gramStart"/>
      <w:r w:rsidRPr="009633C6">
        <w:rPr>
          <w:sz w:val="20"/>
        </w:rPr>
        <w:t>completed</w:t>
      </w:r>
      <w:proofErr w:type="gramEnd"/>
      <w:r w:rsidRPr="009633C6">
        <w:rPr>
          <w:sz w:val="20"/>
        </w:rPr>
        <w:t xml:space="preserve"> and the Deliverables were delivered on time.</w:t>
      </w:r>
      <w:r w:rsidR="003145FD" w:rsidRPr="009633C6">
        <w:rPr>
          <w:rFonts w:asciiTheme="minorHAnsi" w:hAnsiTheme="minorHAnsi" w:cstheme="minorHAnsi"/>
          <w:i/>
          <w:sz w:val="20"/>
        </w:rPr>
        <w:t xml:space="preserve">  </w:t>
      </w:r>
    </w:p>
    <w:p w14:paraId="264E7149" w14:textId="77777777" w:rsidR="009633C6" w:rsidRPr="009633C6" w:rsidRDefault="009633C6" w:rsidP="009633C6">
      <w:pPr>
        <w:pStyle w:val="ListParagraph"/>
        <w:numPr>
          <w:ilvl w:val="0"/>
          <w:numId w:val="21"/>
        </w:numPr>
        <w:spacing w:before="120" w:after="120"/>
        <w:ind w:left="1260"/>
        <w:rPr>
          <w:sz w:val="20"/>
        </w:rPr>
      </w:pPr>
      <w:r w:rsidRPr="009633C6">
        <w:rPr>
          <w:b/>
          <w:bCs/>
          <w:sz w:val="20"/>
        </w:rPr>
        <w:t>Completeness:</w:t>
      </w:r>
      <w:r w:rsidRPr="009633C6">
        <w:rPr>
          <w:sz w:val="20"/>
        </w:rPr>
        <w:t xml:space="preserve">  The Services and Deliverables contained the materials and features required in the Agreement. </w:t>
      </w:r>
    </w:p>
    <w:p w14:paraId="58522B57" w14:textId="4769E62A" w:rsidR="00570F30" w:rsidRPr="009633C6" w:rsidRDefault="009633C6" w:rsidP="00846E22">
      <w:pPr>
        <w:pStyle w:val="ListParagraph"/>
        <w:numPr>
          <w:ilvl w:val="0"/>
          <w:numId w:val="21"/>
        </w:numPr>
        <w:spacing w:before="120" w:after="120"/>
        <w:ind w:left="1260"/>
        <w:rPr>
          <w:rFonts w:asciiTheme="minorHAnsi" w:hAnsiTheme="minorHAnsi" w:cstheme="minorHAnsi"/>
          <w:i/>
          <w:sz w:val="20"/>
        </w:rPr>
      </w:pPr>
      <w:r w:rsidRPr="009633C6">
        <w:rPr>
          <w:b/>
          <w:bCs/>
          <w:sz w:val="20"/>
        </w:rPr>
        <w:t>Technical accuracy:</w:t>
      </w:r>
      <w:r w:rsidRPr="009633C6">
        <w:rPr>
          <w:sz w:val="20"/>
        </w:rPr>
        <w:t xml:space="preserve">  The Services and Deliverables are accurate as measured against commonly accepted standards.</w:t>
      </w:r>
    </w:p>
    <w:p w14:paraId="73EBDFF8" w14:textId="77777777" w:rsidR="00927DC6" w:rsidRPr="00927DC6" w:rsidRDefault="00927DC6" w:rsidP="009633C6">
      <w:pPr>
        <w:pStyle w:val="ListParagraph"/>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lastRenderedPageBreak/>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63AEB8A" w14:textId="77777777" w:rsidR="00B15A09" w:rsidRPr="00B15A09" w:rsidRDefault="00B15A09" w:rsidP="00B15A09">
      <w:pPr>
        <w:spacing w:before="120" w:after="120"/>
        <w:ind w:left="936"/>
        <w:rPr>
          <w:rFonts w:asciiTheme="minorHAnsi" w:hAnsiTheme="minorHAnsi" w:cstheme="minorHAnsi"/>
          <w:sz w:val="20"/>
        </w:rPr>
      </w:pPr>
    </w:p>
    <w:p w14:paraId="7D6B0923" w14:textId="77777777" w:rsidR="00B15A09" w:rsidRPr="00B15A09" w:rsidRDefault="00B15A09" w:rsidP="00B15A09">
      <w:pPr>
        <w:spacing w:before="120" w:after="120"/>
        <w:ind w:left="936"/>
        <w:rPr>
          <w:rFonts w:asciiTheme="minorHAnsi" w:hAnsiTheme="minorHAnsi" w:cstheme="minorHAnsi"/>
          <w:sz w:val="20"/>
        </w:rPr>
      </w:pPr>
    </w:p>
    <w:p w14:paraId="0E4A7529"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4" w:name="_Ref52292790"/>
      <w:bookmarkStart w:id="5" w:name="_Ref55633268"/>
      <w:bookmarkStart w:id="6" w:name="_Ref55895797"/>
      <w:bookmarkStart w:id="7"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4"/>
      <w:bookmarkEnd w:id="5"/>
      <w:bookmarkEnd w:id="6"/>
      <w:bookmarkEnd w:id="7"/>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Pr="00EB1815"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Compensatio</w:t>
      </w:r>
      <w:r w:rsidRPr="00EB1815">
        <w:rPr>
          <w:rFonts w:asciiTheme="minorHAnsi" w:hAnsiTheme="minorHAnsi" w:cstheme="minorHAnsi"/>
          <w:b/>
          <w:bCs/>
          <w:sz w:val="20"/>
        </w:rPr>
        <w:t xml:space="preserve">n for Services.  </w:t>
      </w:r>
    </w:p>
    <w:p w14:paraId="1B127F4B" w14:textId="1B44F971" w:rsidR="00C36343" w:rsidRPr="00EB1815" w:rsidRDefault="0061391D" w:rsidP="0061391D">
      <w:pPr>
        <w:spacing w:before="120" w:after="120"/>
        <w:ind w:left="360"/>
        <w:rPr>
          <w:rFonts w:asciiTheme="minorHAnsi" w:hAnsiTheme="minorHAnsi" w:cstheme="minorHAnsi"/>
          <w:b/>
          <w:bCs/>
          <w:sz w:val="20"/>
        </w:rPr>
      </w:pPr>
      <w:r w:rsidRPr="00EB1815">
        <w:rPr>
          <w:rFonts w:asciiTheme="minorHAnsi" w:hAnsiTheme="minorHAnsi" w:cstheme="minorHAnsi"/>
          <w:b/>
          <w:bCs/>
          <w:sz w:val="20"/>
        </w:rPr>
        <w:t>2.1</w:t>
      </w:r>
      <w:r w:rsidRPr="00EB1815">
        <w:rPr>
          <w:rFonts w:asciiTheme="minorHAnsi" w:hAnsiTheme="minorHAnsi" w:cstheme="minorHAnsi"/>
          <w:b/>
          <w:bCs/>
          <w:sz w:val="20"/>
        </w:rPr>
        <w:tab/>
      </w:r>
      <w:r w:rsidR="00270F4F" w:rsidRPr="00EB1815">
        <w:rPr>
          <w:rFonts w:asciiTheme="minorHAnsi" w:hAnsiTheme="minorHAnsi" w:cstheme="minorHAnsi"/>
          <w:b/>
          <w:bCs/>
          <w:sz w:val="20"/>
        </w:rPr>
        <w:t>Amount.</w:t>
      </w:r>
      <w:r w:rsidR="00270F4F" w:rsidRPr="00EB1815">
        <w:rPr>
          <w:rFonts w:asciiTheme="minorHAnsi" w:hAnsiTheme="minorHAnsi" w:cstheme="minorHAnsi"/>
          <w:bCs/>
          <w:sz w:val="20"/>
        </w:rPr>
        <w:t xml:space="preserve">  </w:t>
      </w:r>
      <w:r w:rsidR="00B6312C" w:rsidRPr="00EB1815">
        <w:rPr>
          <w:rFonts w:asciiTheme="minorHAnsi" w:hAnsiTheme="minorHAnsi" w:cstheme="minorHAnsi"/>
          <w:bCs/>
          <w:sz w:val="20"/>
        </w:rPr>
        <w:t xml:space="preserve">Contractor will invoice the </w:t>
      </w:r>
      <w:r w:rsidR="005C5EAE" w:rsidRPr="00EB1815">
        <w:rPr>
          <w:rFonts w:asciiTheme="minorHAnsi" w:hAnsiTheme="minorHAnsi" w:cstheme="minorHAnsi"/>
          <w:bCs/>
          <w:sz w:val="20"/>
        </w:rPr>
        <w:t>following amounts for Services or Deliverables</w:t>
      </w:r>
      <w:r w:rsidR="00B6312C" w:rsidRPr="00EB1815">
        <w:rPr>
          <w:rFonts w:asciiTheme="minorHAnsi" w:hAnsiTheme="minorHAnsi" w:cstheme="minorHAnsi"/>
          <w:bCs/>
          <w:sz w:val="20"/>
        </w:rPr>
        <w:t xml:space="preserve"> that the </w:t>
      </w:r>
      <w:r w:rsidR="00323CD0" w:rsidRPr="00EB1815">
        <w:rPr>
          <w:rFonts w:asciiTheme="minorHAnsi" w:hAnsiTheme="minorHAnsi" w:cstheme="minorHAnsi"/>
          <w:bCs/>
          <w:sz w:val="20"/>
        </w:rPr>
        <w:t>JBE</w:t>
      </w:r>
      <w:r w:rsidR="00B6312C" w:rsidRPr="00EB1815">
        <w:rPr>
          <w:rFonts w:asciiTheme="minorHAnsi" w:hAnsiTheme="minorHAnsi" w:cstheme="minorHAnsi"/>
          <w:bCs/>
          <w:sz w:val="20"/>
        </w:rPr>
        <w:t xml:space="preserve"> has accepted:  </w:t>
      </w:r>
    </w:p>
    <w:p w14:paraId="08954D0C" w14:textId="77777777" w:rsidR="00B476D7" w:rsidRPr="00EB1815" w:rsidRDefault="00E165F5" w:rsidP="00B476D7">
      <w:pPr>
        <w:pStyle w:val="ListParagraph"/>
        <w:spacing w:before="120" w:after="120"/>
        <w:ind w:left="1260"/>
        <w:rPr>
          <w:rFonts w:asciiTheme="minorHAnsi" w:hAnsiTheme="minorHAnsi" w:cstheme="minorHAnsi"/>
          <w:i/>
          <w:sz w:val="20"/>
        </w:rPr>
      </w:pPr>
      <w:r w:rsidRPr="00EB1815">
        <w:rPr>
          <w:rFonts w:asciiTheme="minorHAnsi" w:hAnsiTheme="minorHAnsi" w:cstheme="minorHAnsi"/>
          <w:bCs/>
          <w:i/>
          <w:sz w:val="20"/>
          <w:lang w:bidi="en-US"/>
        </w:rPr>
        <w:t xml:space="preserve">  </w:t>
      </w:r>
      <w:r w:rsidR="00B476D7" w:rsidRPr="00EB1815">
        <w:rPr>
          <w:rFonts w:asciiTheme="minorHAnsi" w:hAnsiTheme="minorHAnsi" w:cstheme="minorHAnsi"/>
          <w:i/>
          <w:sz w:val="20"/>
        </w:rPr>
        <w:t xml:space="preserve"> </w:t>
      </w:r>
    </w:p>
    <w:tbl>
      <w:tblPr>
        <w:tblW w:w="82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2250"/>
        <w:gridCol w:w="2250"/>
      </w:tblGrid>
      <w:tr w:rsidR="00B476D7" w:rsidRPr="00EB1815" w14:paraId="72269150" w14:textId="5E756E18" w:rsidTr="00B476D7">
        <w:trPr>
          <w:trHeight w:val="402"/>
          <w:tblHeader/>
        </w:trPr>
        <w:tc>
          <w:tcPr>
            <w:tcW w:w="3747"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62B97310" w14:textId="77777777" w:rsidR="00B476D7" w:rsidRPr="00EB1815" w:rsidRDefault="00B476D7" w:rsidP="0061391D">
            <w:pPr>
              <w:pStyle w:val="BodyText"/>
              <w:jc w:val="center"/>
              <w:rPr>
                <w:rFonts w:asciiTheme="minorHAnsi" w:hAnsiTheme="minorHAnsi" w:cstheme="minorHAnsi"/>
                <w:b/>
                <w:sz w:val="20"/>
              </w:rPr>
            </w:pPr>
            <w:r w:rsidRPr="00EB1815">
              <w:rPr>
                <w:rFonts w:asciiTheme="minorHAnsi" w:hAnsiTheme="minorHAnsi" w:cstheme="minorHAnsi"/>
                <w:b/>
                <w:sz w:val="20"/>
              </w:rPr>
              <w:t>DELIVERABLES</w:t>
            </w:r>
          </w:p>
        </w:tc>
        <w:tc>
          <w:tcPr>
            <w:tcW w:w="225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F80255E" w14:textId="1F9FB9F6" w:rsidR="00B476D7" w:rsidRPr="00EB1815" w:rsidRDefault="00B476D7" w:rsidP="0061391D">
            <w:pPr>
              <w:pStyle w:val="BodyText"/>
              <w:jc w:val="center"/>
              <w:rPr>
                <w:rFonts w:asciiTheme="minorHAnsi" w:hAnsiTheme="minorHAnsi" w:cstheme="minorHAnsi"/>
                <w:b/>
                <w:sz w:val="20"/>
              </w:rPr>
            </w:pPr>
            <w:r w:rsidRPr="00EB1815">
              <w:rPr>
                <w:rFonts w:asciiTheme="minorHAnsi" w:hAnsiTheme="minorHAnsi" w:cstheme="minorHAnsi"/>
                <w:b/>
                <w:sz w:val="20"/>
              </w:rPr>
              <w:t>MAXIMUM FIRM FIXED AMOUNT</w:t>
            </w:r>
          </w:p>
        </w:tc>
        <w:tc>
          <w:tcPr>
            <w:tcW w:w="225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5A0D6B54" w14:textId="584FFE3B" w:rsidR="00B476D7" w:rsidRPr="00EB1815" w:rsidRDefault="00B476D7" w:rsidP="0061391D">
            <w:pPr>
              <w:pStyle w:val="BodyText"/>
              <w:jc w:val="center"/>
              <w:rPr>
                <w:rFonts w:asciiTheme="minorHAnsi" w:hAnsiTheme="minorHAnsi" w:cstheme="minorHAnsi"/>
                <w:b/>
                <w:sz w:val="20"/>
              </w:rPr>
            </w:pPr>
            <w:r w:rsidRPr="00EB1815">
              <w:rPr>
                <w:rFonts w:asciiTheme="minorHAnsi" w:hAnsiTheme="minorHAnsi" w:cstheme="minorHAnsi"/>
                <w:b/>
                <w:sz w:val="20"/>
              </w:rPr>
              <w:t>INVOICE DUE DATE</w:t>
            </w:r>
          </w:p>
        </w:tc>
      </w:tr>
      <w:tr w:rsidR="00B476D7" w:rsidRPr="00EB1815" w14:paraId="2882BB33" w14:textId="4FDB62D6" w:rsidTr="00B476D7">
        <w:trPr>
          <w:trHeight w:val="780"/>
        </w:trPr>
        <w:tc>
          <w:tcPr>
            <w:tcW w:w="3747" w:type="dxa"/>
            <w:tcBorders>
              <w:top w:val="single" w:sz="12" w:space="0" w:color="auto"/>
            </w:tcBorders>
            <w:vAlign w:val="center"/>
          </w:tcPr>
          <w:p w14:paraId="4CA1A82B" w14:textId="77777777" w:rsidR="00B476D7" w:rsidRPr="00EB1815" w:rsidRDefault="00B476D7" w:rsidP="0061391D">
            <w:pPr>
              <w:pStyle w:val="BodyText"/>
              <w:rPr>
                <w:rFonts w:asciiTheme="minorHAnsi" w:hAnsiTheme="minorHAnsi" w:cstheme="minorHAnsi"/>
                <w:sz w:val="20"/>
              </w:rPr>
            </w:pPr>
            <w:r w:rsidRPr="00EB1815">
              <w:rPr>
                <w:rFonts w:asciiTheme="minorHAnsi" w:hAnsiTheme="minorHAnsi" w:cstheme="minorHAnsi"/>
                <w:sz w:val="20"/>
              </w:rPr>
              <w:t>Project kick-off meeting and development of a draft Project Management Plan.</w:t>
            </w:r>
          </w:p>
        </w:tc>
        <w:tc>
          <w:tcPr>
            <w:tcW w:w="2250" w:type="dxa"/>
            <w:tcBorders>
              <w:top w:val="single" w:sz="12" w:space="0" w:color="auto"/>
            </w:tcBorders>
            <w:vAlign w:val="center"/>
          </w:tcPr>
          <w:p w14:paraId="70BD4812" w14:textId="4790B86B"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c>
          <w:tcPr>
            <w:tcW w:w="2250" w:type="dxa"/>
            <w:tcBorders>
              <w:top w:val="single" w:sz="12" w:space="0" w:color="auto"/>
            </w:tcBorders>
          </w:tcPr>
          <w:p w14:paraId="15B4DA83" w14:textId="77777777" w:rsidR="00B476D7" w:rsidRPr="00EB1815" w:rsidRDefault="00B476D7" w:rsidP="0061391D">
            <w:pPr>
              <w:pStyle w:val="BodyText"/>
              <w:jc w:val="center"/>
              <w:rPr>
                <w:rFonts w:asciiTheme="minorHAnsi" w:hAnsiTheme="minorHAnsi" w:cstheme="minorHAnsi"/>
                <w:sz w:val="20"/>
              </w:rPr>
            </w:pPr>
          </w:p>
          <w:p w14:paraId="2E6B861B" w14:textId="5E946724"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r>
      <w:tr w:rsidR="00B476D7" w:rsidRPr="00EB1815" w14:paraId="7E46DFB9" w14:textId="6E0495E5" w:rsidTr="00B476D7">
        <w:trPr>
          <w:trHeight w:val="1070"/>
        </w:trPr>
        <w:tc>
          <w:tcPr>
            <w:tcW w:w="3747" w:type="dxa"/>
            <w:vAlign w:val="center"/>
          </w:tcPr>
          <w:p w14:paraId="3A54534B" w14:textId="77777777" w:rsidR="00B476D7" w:rsidRPr="00EB1815" w:rsidRDefault="00B476D7" w:rsidP="0061391D">
            <w:pPr>
              <w:pStyle w:val="BodyText"/>
              <w:rPr>
                <w:rFonts w:asciiTheme="minorHAnsi" w:hAnsiTheme="minorHAnsi" w:cstheme="minorHAnsi"/>
                <w:sz w:val="20"/>
              </w:rPr>
            </w:pPr>
            <w:r w:rsidRPr="00EB1815">
              <w:rPr>
                <w:rFonts w:asciiTheme="minorHAnsi" w:hAnsiTheme="minorHAnsi" w:cstheme="minorHAnsi"/>
                <w:sz w:val="20"/>
              </w:rPr>
              <w:t xml:space="preserve">Final Project Management Plan </w:t>
            </w:r>
          </w:p>
        </w:tc>
        <w:tc>
          <w:tcPr>
            <w:tcW w:w="2250" w:type="dxa"/>
            <w:vAlign w:val="center"/>
          </w:tcPr>
          <w:p w14:paraId="500C2DD3" w14:textId="28E55C3D"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c>
          <w:tcPr>
            <w:tcW w:w="2250" w:type="dxa"/>
          </w:tcPr>
          <w:p w14:paraId="47857C32" w14:textId="77777777" w:rsidR="00B476D7" w:rsidRPr="00EB1815" w:rsidRDefault="00B476D7" w:rsidP="0061391D">
            <w:pPr>
              <w:pStyle w:val="BodyText"/>
              <w:jc w:val="center"/>
              <w:rPr>
                <w:rFonts w:asciiTheme="minorHAnsi" w:hAnsiTheme="minorHAnsi" w:cstheme="minorHAnsi"/>
                <w:sz w:val="20"/>
              </w:rPr>
            </w:pPr>
          </w:p>
          <w:p w14:paraId="40F75519" w14:textId="770C455F"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r>
      <w:tr w:rsidR="00B476D7" w:rsidRPr="00EB1815" w14:paraId="26B74997" w14:textId="6B8870ED" w:rsidTr="00B476D7">
        <w:trPr>
          <w:trHeight w:val="710"/>
        </w:trPr>
        <w:tc>
          <w:tcPr>
            <w:tcW w:w="3747" w:type="dxa"/>
            <w:vAlign w:val="center"/>
          </w:tcPr>
          <w:p w14:paraId="0001C7E1" w14:textId="77777777" w:rsidR="00B476D7" w:rsidRPr="00EB1815" w:rsidRDefault="00B476D7" w:rsidP="0061391D">
            <w:pPr>
              <w:pStyle w:val="BodyText"/>
              <w:rPr>
                <w:rFonts w:asciiTheme="minorHAnsi" w:hAnsiTheme="minorHAnsi" w:cstheme="minorHAnsi"/>
                <w:sz w:val="20"/>
              </w:rPr>
            </w:pPr>
            <w:r w:rsidRPr="00EB1815">
              <w:rPr>
                <w:rFonts w:asciiTheme="minorHAnsi" w:hAnsiTheme="minorHAnsi" w:cstheme="minorHAnsi"/>
                <w:sz w:val="20"/>
              </w:rPr>
              <w:t>Weekly Project Status Reports</w:t>
            </w:r>
          </w:p>
        </w:tc>
        <w:tc>
          <w:tcPr>
            <w:tcW w:w="2250" w:type="dxa"/>
            <w:vAlign w:val="center"/>
          </w:tcPr>
          <w:p w14:paraId="5F5DA607" w14:textId="02105A0B"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c>
          <w:tcPr>
            <w:tcW w:w="2250" w:type="dxa"/>
          </w:tcPr>
          <w:p w14:paraId="0009E882" w14:textId="4FA5D564" w:rsidR="00B476D7" w:rsidRPr="00EB1815" w:rsidRDefault="00B476D7" w:rsidP="0061391D">
            <w:pPr>
              <w:pStyle w:val="BodyText"/>
              <w:jc w:val="center"/>
              <w:rPr>
                <w:rFonts w:asciiTheme="minorHAnsi" w:hAnsiTheme="minorHAnsi" w:cstheme="minorHAnsi"/>
                <w:sz w:val="20"/>
              </w:rPr>
            </w:pPr>
          </w:p>
          <w:p w14:paraId="27F82DF4" w14:textId="7707AE32"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p w14:paraId="6C6133EC" w14:textId="493349DF" w:rsidR="00B476D7" w:rsidRPr="00EB1815" w:rsidRDefault="00B476D7" w:rsidP="0061391D">
            <w:pPr>
              <w:pStyle w:val="BodyText"/>
              <w:jc w:val="center"/>
              <w:rPr>
                <w:rFonts w:asciiTheme="minorHAnsi" w:hAnsiTheme="minorHAnsi" w:cstheme="minorHAnsi"/>
                <w:sz w:val="20"/>
              </w:rPr>
            </w:pPr>
          </w:p>
        </w:tc>
      </w:tr>
      <w:tr w:rsidR="00B476D7" w:rsidRPr="00EB1815" w14:paraId="53B300AB" w14:textId="6811E070" w:rsidTr="00B476D7">
        <w:trPr>
          <w:trHeight w:val="800"/>
        </w:trPr>
        <w:tc>
          <w:tcPr>
            <w:tcW w:w="3747" w:type="dxa"/>
            <w:vAlign w:val="center"/>
          </w:tcPr>
          <w:p w14:paraId="608EEE89" w14:textId="77777777" w:rsidR="00B476D7" w:rsidRPr="00EB1815" w:rsidRDefault="00B476D7" w:rsidP="0061391D">
            <w:pPr>
              <w:pStyle w:val="BodyText"/>
              <w:rPr>
                <w:rFonts w:asciiTheme="minorHAnsi" w:hAnsiTheme="minorHAnsi" w:cstheme="minorHAnsi"/>
                <w:sz w:val="20"/>
              </w:rPr>
            </w:pPr>
            <w:r w:rsidRPr="00EB1815">
              <w:rPr>
                <w:rFonts w:asciiTheme="minorHAnsi" w:hAnsiTheme="minorHAnsi" w:cstheme="minorHAnsi"/>
                <w:sz w:val="20"/>
              </w:rPr>
              <w:t>Valuation and review of draft Reports for each court.</w:t>
            </w:r>
          </w:p>
        </w:tc>
        <w:tc>
          <w:tcPr>
            <w:tcW w:w="2250" w:type="dxa"/>
            <w:vAlign w:val="center"/>
          </w:tcPr>
          <w:p w14:paraId="6661DEF3" w14:textId="485B0F38"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c>
          <w:tcPr>
            <w:tcW w:w="2250" w:type="dxa"/>
          </w:tcPr>
          <w:p w14:paraId="2FDF2E70" w14:textId="77777777" w:rsidR="00B476D7" w:rsidRPr="00EB1815" w:rsidRDefault="00B476D7" w:rsidP="0061391D">
            <w:pPr>
              <w:pStyle w:val="BodyText"/>
              <w:jc w:val="center"/>
              <w:rPr>
                <w:rFonts w:asciiTheme="minorHAnsi" w:hAnsiTheme="minorHAnsi" w:cstheme="minorHAnsi"/>
                <w:sz w:val="20"/>
              </w:rPr>
            </w:pPr>
          </w:p>
          <w:p w14:paraId="10DC24B2" w14:textId="2005425A"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r>
      <w:tr w:rsidR="00B476D7" w:rsidRPr="00EB1815" w14:paraId="7F078B37" w14:textId="68788BBD" w:rsidTr="00B476D7">
        <w:trPr>
          <w:trHeight w:val="710"/>
        </w:trPr>
        <w:tc>
          <w:tcPr>
            <w:tcW w:w="3747" w:type="dxa"/>
            <w:vAlign w:val="center"/>
          </w:tcPr>
          <w:p w14:paraId="152D8BA5" w14:textId="77777777" w:rsidR="00B476D7" w:rsidRPr="00EB1815" w:rsidRDefault="00B476D7" w:rsidP="0061391D">
            <w:pPr>
              <w:pStyle w:val="BodyText"/>
              <w:rPr>
                <w:rFonts w:asciiTheme="minorHAnsi" w:hAnsiTheme="minorHAnsi" w:cstheme="minorHAnsi"/>
                <w:sz w:val="20"/>
              </w:rPr>
            </w:pPr>
            <w:r w:rsidRPr="00EB1815">
              <w:rPr>
                <w:rFonts w:asciiTheme="minorHAnsi" w:hAnsiTheme="minorHAnsi" w:cstheme="minorHAnsi"/>
                <w:sz w:val="20"/>
              </w:rPr>
              <w:t>Submission of final Reports accompanied by data base and support documentation files.</w:t>
            </w:r>
          </w:p>
        </w:tc>
        <w:tc>
          <w:tcPr>
            <w:tcW w:w="2250" w:type="dxa"/>
            <w:vAlign w:val="center"/>
          </w:tcPr>
          <w:p w14:paraId="0F530585" w14:textId="6863AC2A"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c>
          <w:tcPr>
            <w:tcW w:w="2250" w:type="dxa"/>
          </w:tcPr>
          <w:p w14:paraId="1AB14A3C" w14:textId="77777777" w:rsidR="00B476D7" w:rsidRPr="00EB1815" w:rsidRDefault="00B476D7" w:rsidP="0061391D">
            <w:pPr>
              <w:pStyle w:val="BodyText"/>
              <w:jc w:val="center"/>
              <w:rPr>
                <w:rFonts w:asciiTheme="minorHAnsi" w:hAnsiTheme="minorHAnsi" w:cstheme="minorHAnsi"/>
                <w:sz w:val="20"/>
              </w:rPr>
            </w:pPr>
          </w:p>
          <w:p w14:paraId="7395D202" w14:textId="1E79B238"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r>
      <w:tr w:rsidR="00B476D7" w:rsidRPr="00F406A5" w14:paraId="778033AA" w14:textId="55A69CB3" w:rsidTr="00B476D7">
        <w:trPr>
          <w:trHeight w:val="980"/>
        </w:trPr>
        <w:tc>
          <w:tcPr>
            <w:tcW w:w="3747" w:type="dxa"/>
            <w:vAlign w:val="center"/>
          </w:tcPr>
          <w:p w14:paraId="5F74BD42" w14:textId="77777777" w:rsidR="00B476D7" w:rsidRPr="00EB1815" w:rsidRDefault="00B476D7" w:rsidP="0061391D">
            <w:pPr>
              <w:pStyle w:val="BodyText"/>
              <w:rPr>
                <w:rFonts w:asciiTheme="minorHAnsi" w:hAnsiTheme="minorHAnsi" w:cstheme="minorHAnsi"/>
                <w:sz w:val="20"/>
              </w:rPr>
            </w:pPr>
            <w:r w:rsidRPr="00EB1815">
              <w:rPr>
                <w:rFonts w:asciiTheme="minorHAnsi" w:hAnsiTheme="minorHAnsi" w:cstheme="minorHAnsi"/>
                <w:sz w:val="20"/>
              </w:rPr>
              <w:t>Process improvement and recommendations for next GASB 74/75 compliance cycle.</w:t>
            </w:r>
          </w:p>
        </w:tc>
        <w:tc>
          <w:tcPr>
            <w:tcW w:w="2250" w:type="dxa"/>
            <w:vAlign w:val="center"/>
          </w:tcPr>
          <w:p w14:paraId="1C8D659F" w14:textId="52D0A96A"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c>
          <w:tcPr>
            <w:tcW w:w="2250" w:type="dxa"/>
          </w:tcPr>
          <w:p w14:paraId="2BD6B1AE" w14:textId="77777777" w:rsidR="00B476D7" w:rsidRPr="00EB1815" w:rsidRDefault="00B476D7" w:rsidP="0061391D">
            <w:pPr>
              <w:pStyle w:val="BodyText"/>
              <w:jc w:val="center"/>
              <w:rPr>
                <w:rFonts w:asciiTheme="minorHAnsi" w:hAnsiTheme="minorHAnsi" w:cstheme="minorHAnsi"/>
                <w:sz w:val="20"/>
              </w:rPr>
            </w:pPr>
          </w:p>
          <w:p w14:paraId="73D6502C" w14:textId="666B2FB5" w:rsidR="00B476D7" w:rsidRPr="00EB1815" w:rsidRDefault="00B476D7" w:rsidP="0061391D">
            <w:pPr>
              <w:pStyle w:val="BodyText"/>
              <w:jc w:val="center"/>
              <w:rPr>
                <w:rFonts w:asciiTheme="minorHAnsi" w:hAnsiTheme="minorHAnsi" w:cstheme="minorHAnsi"/>
                <w:sz w:val="20"/>
              </w:rPr>
            </w:pPr>
            <w:r w:rsidRPr="00EB1815">
              <w:rPr>
                <w:rFonts w:asciiTheme="minorHAnsi" w:hAnsiTheme="minorHAnsi" w:cstheme="minorHAnsi"/>
                <w:sz w:val="20"/>
              </w:rPr>
              <w:t>TBD</w:t>
            </w:r>
          </w:p>
        </w:tc>
      </w:tr>
    </w:tbl>
    <w:p w14:paraId="2FAA2388" w14:textId="0C4AF5B9" w:rsidR="00E165F5" w:rsidRPr="00B476D7" w:rsidRDefault="00E165F5" w:rsidP="00B476D7">
      <w:pPr>
        <w:spacing w:before="120" w:after="120"/>
        <w:ind w:left="720"/>
        <w:rPr>
          <w:rFonts w:asciiTheme="minorHAnsi" w:hAnsiTheme="minorHAnsi" w:cstheme="minorHAnsi"/>
          <w:bCs/>
          <w:iCs/>
          <w:sz w:val="20"/>
          <w:lang w:bidi="en-US"/>
        </w:rPr>
      </w:pPr>
    </w:p>
    <w:p w14:paraId="2D21F698" w14:textId="77777777" w:rsidR="00C36343" w:rsidRPr="00EC158B" w:rsidRDefault="00C36343" w:rsidP="00B476D7">
      <w:pPr>
        <w:spacing w:before="120" w:after="120"/>
        <w:ind w:left="720"/>
        <w:rPr>
          <w:rFonts w:asciiTheme="minorHAnsi" w:hAnsiTheme="minorHAnsi" w:cstheme="minorHAnsi"/>
          <w:bCs/>
          <w:i/>
          <w:sz w:val="20"/>
          <w:lang w:bidi="en-US"/>
        </w:rPr>
      </w:pPr>
    </w:p>
    <w:p w14:paraId="0AFDE510" w14:textId="469E169A" w:rsidR="00604041" w:rsidRPr="00604041" w:rsidRDefault="0061391D" w:rsidP="0061391D">
      <w:pPr>
        <w:spacing w:before="120" w:after="120"/>
        <w:ind w:left="360"/>
        <w:rPr>
          <w:rFonts w:asciiTheme="minorHAnsi" w:hAnsiTheme="minorHAnsi" w:cstheme="minorHAnsi"/>
          <w:b/>
          <w:bCs/>
          <w:sz w:val="20"/>
        </w:rPr>
      </w:pPr>
      <w:r>
        <w:rPr>
          <w:rFonts w:asciiTheme="minorHAnsi" w:hAnsiTheme="minorHAnsi" w:cstheme="minorHAnsi"/>
          <w:b/>
          <w:bCs/>
          <w:sz w:val="20"/>
        </w:rPr>
        <w:t>2.2</w:t>
      </w:r>
      <w:r>
        <w:rPr>
          <w:rFonts w:asciiTheme="minorHAnsi" w:hAnsiTheme="minorHAnsi" w:cstheme="minorHAnsi"/>
          <w:b/>
          <w:bCs/>
          <w:sz w:val="20"/>
        </w:rPr>
        <w:tab/>
      </w:r>
      <w:r w:rsidR="00270F4F">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37FF4CAF" w:rsidR="00604041" w:rsidRPr="00604041" w:rsidRDefault="0061391D" w:rsidP="0061391D">
      <w:pPr>
        <w:spacing w:before="120" w:after="120"/>
        <w:ind w:left="360"/>
        <w:rPr>
          <w:rFonts w:asciiTheme="minorHAnsi" w:hAnsiTheme="minorHAnsi" w:cstheme="minorHAnsi"/>
          <w:b/>
          <w:bCs/>
          <w:sz w:val="20"/>
        </w:rPr>
      </w:pPr>
      <w:r>
        <w:rPr>
          <w:rFonts w:asciiTheme="minorHAnsi" w:hAnsiTheme="minorHAnsi" w:cstheme="minorHAnsi"/>
          <w:b/>
          <w:bCs/>
          <w:sz w:val="20"/>
        </w:rPr>
        <w:t>2.3</w:t>
      </w:r>
      <w:r>
        <w:rPr>
          <w:rFonts w:asciiTheme="minorHAnsi" w:hAnsiTheme="minorHAnsi" w:cstheme="minorHAnsi"/>
          <w:b/>
          <w:bCs/>
          <w:sz w:val="20"/>
        </w:rPr>
        <w:tab/>
      </w:r>
      <w:r w:rsidR="00604041" w:rsidRPr="00604041">
        <w:rPr>
          <w:rFonts w:asciiTheme="minorHAnsi" w:hAnsiTheme="minorHAnsi" w:cstheme="minorHAnsi"/>
          <w:b/>
          <w:bCs/>
          <w:sz w:val="20"/>
        </w:rPr>
        <w:t xml:space="preserve">No Advance Payment.  </w:t>
      </w:r>
      <w:r w:rsidR="00604041">
        <w:rPr>
          <w:rFonts w:asciiTheme="minorHAnsi" w:hAnsiTheme="minorHAnsi" w:cstheme="minorHAnsi"/>
          <w:bCs/>
          <w:sz w:val="20"/>
        </w:rPr>
        <w:t>T</w:t>
      </w:r>
      <w:r w:rsidR="00604041" w:rsidRPr="00041323">
        <w:rPr>
          <w:sz w:val="20"/>
        </w:rPr>
        <w:t xml:space="preserve">he </w:t>
      </w:r>
      <w:r w:rsidR="00323CD0">
        <w:rPr>
          <w:sz w:val="20"/>
        </w:rPr>
        <w:t>JBE</w:t>
      </w:r>
      <w:r w:rsidR="00604041" w:rsidRPr="00041323">
        <w:rPr>
          <w:sz w:val="20"/>
        </w:rPr>
        <w:t xml:space="preserve"> will not make any advance payment for Services.</w:t>
      </w:r>
    </w:p>
    <w:p w14:paraId="1A4F5A98" w14:textId="7E11653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548FB526" w:rsidR="00C36343" w:rsidRPr="0061391D" w:rsidRDefault="0061391D" w:rsidP="0061391D">
      <w:pPr>
        <w:spacing w:before="120" w:after="120"/>
        <w:ind w:left="720" w:hanging="360"/>
        <w:rPr>
          <w:rFonts w:asciiTheme="minorHAnsi" w:hAnsiTheme="minorHAnsi" w:cstheme="minorHAnsi"/>
          <w:sz w:val="20"/>
        </w:rPr>
      </w:pPr>
      <w:r>
        <w:rPr>
          <w:rFonts w:asciiTheme="minorHAnsi" w:hAnsiTheme="minorHAnsi" w:cstheme="minorHAnsi"/>
          <w:b/>
          <w:bCs/>
          <w:sz w:val="20"/>
        </w:rPr>
        <w:t>3.1</w:t>
      </w:r>
      <w:r>
        <w:rPr>
          <w:rFonts w:asciiTheme="minorHAnsi" w:hAnsiTheme="minorHAnsi" w:cstheme="minorHAnsi"/>
          <w:b/>
          <w:bCs/>
          <w:sz w:val="20"/>
        </w:rPr>
        <w:tab/>
      </w:r>
      <w:r w:rsidR="00C36343" w:rsidRPr="0061391D">
        <w:rPr>
          <w:rFonts w:asciiTheme="minorHAnsi" w:hAnsiTheme="minorHAnsi" w:cstheme="minorHAnsi"/>
          <w:b/>
          <w:bCs/>
          <w:sz w:val="20"/>
        </w:rPr>
        <w:t xml:space="preserve">Allowable Expenses. </w:t>
      </w:r>
      <w:r w:rsidR="00C36343" w:rsidRPr="0061391D">
        <w:rPr>
          <w:rFonts w:asciiTheme="minorHAnsi" w:hAnsiTheme="minorHAnsi" w:cstheme="minorHAnsi"/>
          <w:bCs/>
          <w:sz w:val="20"/>
        </w:rPr>
        <w:t xml:space="preserve">Contractor may submit for reimbursement, without mark-up, only the following categories of expense: </w:t>
      </w:r>
    </w:p>
    <w:p w14:paraId="52BC5652"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E485904"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588B9E08" w14:textId="57307941" w:rsidR="00C36343" w:rsidRPr="0061391D" w:rsidRDefault="0061391D" w:rsidP="0061391D">
      <w:pPr>
        <w:spacing w:before="120" w:after="120"/>
        <w:ind w:left="720" w:hanging="360"/>
        <w:rPr>
          <w:rFonts w:asciiTheme="minorHAnsi" w:hAnsiTheme="minorHAnsi" w:cstheme="minorHAnsi"/>
          <w:b/>
          <w:bCs/>
          <w:sz w:val="20"/>
        </w:rPr>
      </w:pPr>
      <w:r>
        <w:rPr>
          <w:rFonts w:asciiTheme="minorHAnsi" w:hAnsiTheme="minorHAnsi" w:cstheme="minorHAnsi"/>
          <w:b/>
          <w:bCs/>
          <w:sz w:val="20"/>
        </w:rPr>
        <w:t>3.2</w:t>
      </w:r>
      <w:r>
        <w:rPr>
          <w:rFonts w:asciiTheme="minorHAnsi" w:hAnsiTheme="minorHAnsi" w:cstheme="minorHAnsi"/>
          <w:b/>
          <w:bCs/>
          <w:sz w:val="20"/>
        </w:rPr>
        <w:tab/>
      </w:r>
      <w:r w:rsidR="006C6263" w:rsidRPr="0061391D">
        <w:rPr>
          <w:rFonts w:asciiTheme="minorHAnsi" w:hAnsiTheme="minorHAnsi" w:cstheme="minorHAnsi"/>
          <w:b/>
          <w:bCs/>
          <w:sz w:val="20"/>
        </w:rPr>
        <w:t>Limit</w:t>
      </w:r>
      <w:r w:rsidR="00C36343" w:rsidRPr="0061391D">
        <w:rPr>
          <w:rFonts w:asciiTheme="minorHAnsi" w:hAnsiTheme="minorHAnsi" w:cstheme="minorHAnsi"/>
          <w:b/>
          <w:bCs/>
          <w:sz w:val="20"/>
        </w:rPr>
        <w:t xml:space="preserve"> on Travel Expenses. </w:t>
      </w:r>
      <w:r w:rsidR="0090796F" w:rsidRPr="0061391D">
        <w:rPr>
          <w:rFonts w:asciiTheme="minorHAnsi" w:hAnsiTheme="minorHAnsi" w:cstheme="minorHAnsi"/>
          <w:bCs/>
          <w:sz w:val="20"/>
        </w:rPr>
        <w:t>If travel expenses are allowed under Section 4.1 above: (</w:t>
      </w:r>
      <w:proofErr w:type="spellStart"/>
      <w:r w:rsidR="0090796F" w:rsidRPr="0061391D">
        <w:rPr>
          <w:rFonts w:asciiTheme="minorHAnsi" w:hAnsiTheme="minorHAnsi" w:cstheme="minorHAnsi"/>
          <w:bCs/>
          <w:sz w:val="20"/>
        </w:rPr>
        <w:t>i</w:t>
      </w:r>
      <w:proofErr w:type="spellEnd"/>
      <w:r w:rsidR="0090796F" w:rsidRPr="0061391D">
        <w:rPr>
          <w:rFonts w:asciiTheme="minorHAnsi" w:hAnsiTheme="minorHAnsi" w:cstheme="minorHAnsi"/>
          <w:bCs/>
          <w:sz w:val="20"/>
        </w:rPr>
        <w:t>) a</w:t>
      </w:r>
      <w:r w:rsidR="00C36343" w:rsidRPr="0061391D">
        <w:rPr>
          <w:rFonts w:asciiTheme="minorHAnsi" w:hAnsiTheme="minorHAnsi" w:cstheme="minorHAnsi"/>
          <w:bCs/>
          <w:sz w:val="20"/>
        </w:rPr>
        <w:t xml:space="preserve">ll travel is subject to </w:t>
      </w:r>
      <w:r w:rsidR="00146BA3" w:rsidRPr="0061391D">
        <w:rPr>
          <w:rFonts w:asciiTheme="minorHAnsi" w:hAnsiTheme="minorHAnsi" w:cstheme="minorHAnsi"/>
          <w:bCs/>
          <w:sz w:val="20"/>
        </w:rPr>
        <w:t xml:space="preserve">written </w:t>
      </w:r>
      <w:r w:rsidR="00C36343" w:rsidRPr="0061391D">
        <w:rPr>
          <w:rFonts w:asciiTheme="minorHAnsi" w:hAnsiTheme="minorHAnsi" w:cstheme="minorHAnsi"/>
          <w:bCs/>
          <w:sz w:val="20"/>
        </w:rPr>
        <w:t xml:space="preserve">preauthorization and approval by the </w:t>
      </w:r>
      <w:r w:rsidR="00323CD0" w:rsidRPr="0061391D">
        <w:rPr>
          <w:rFonts w:asciiTheme="minorHAnsi" w:hAnsiTheme="minorHAnsi" w:cstheme="minorHAnsi"/>
          <w:bCs/>
          <w:sz w:val="20"/>
        </w:rPr>
        <w:t>JBE</w:t>
      </w:r>
      <w:r w:rsidR="0090796F" w:rsidRPr="0061391D">
        <w:rPr>
          <w:rFonts w:asciiTheme="minorHAnsi" w:hAnsiTheme="minorHAnsi" w:cstheme="minorHAnsi"/>
          <w:bCs/>
          <w:sz w:val="20"/>
        </w:rPr>
        <w:t>, and (ii) a</w:t>
      </w:r>
      <w:r w:rsidR="00FD42B0" w:rsidRPr="0061391D">
        <w:rPr>
          <w:rFonts w:asciiTheme="minorHAnsi" w:hAnsiTheme="minorHAnsi" w:cstheme="minorHAnsi"/>
          <w:bCs/>
          <w:sz w:val="20"/>
        </w:rPr>
        <w:t xml:space="preserve">ll travel expenses are limited to the maximum amounts set forth in the </w:t>
      </w:r>
      <w:r w:rsidR="00323CD0" w:rsidRPr="0061391D">
        <w:rPr>
          <w:rFonts w:asciiTheme="minorHAnsi" w:hAnsiTheme="minorHAnsi" w:cstheme="minorHAnsi"/>
          <w:bCs/>
          <w:sz w:val="20"/>
        </w:rPr>
        <w:t>JBE</w:t>
      </w:r>
      <w:r w:rsidR="00FD42B0" w:rsidRPr="0061391D">
        <w:rPr>
          <w:rFonts w:asciiTheme="minorHAnsi" w:hAnsiTheme="minorHAnsi" w:cstheme="minorHAnsi"/>
          <w:bCs/>
          <w:sz w:val="20"/>
        </w:rPr>
        <w:t xml:space="preserve">’s travel expense policy.  </w:t>
      </w:r>
    </w:p>
    <w:p w14:paraId="7F3A7FDB" w14:textId="496FE640" w:rsidR="00C36343" w:rsidRPr="0061391D" w:rsidRDefault="0061391D" w:rsidP="0061391D">
      <w:pPr>
        <w:spacing w:before="120" w:after="120"/>
        <w:ind w:left="720" w:hanging="360"/>
        <w:rPr>
          <w:rFonts w:asciiTheme="minorHAnsi" w:hAnsiTheme="minorHAnsi" w:cstheme="minorHAnsi"/>
          <w:b/>
          <w:bCs/>
          <w:sz w:val="20"/>
        </w:rPr>
      </w:pPr>
      <w:r>
        <w:rPr>
          <w:rFonts w:asciiTheme="minorHAnsi" w:hAnsiTheme="minorHAnsi" w:cstheme="minorHAnsi"/>
          <w:b/>
          <w:bCs/>
          <w:sz w:val="20"/>
        </w:rPr>
        <w:t>3.3</w:t>
      </w:r>
      <w:r>
        <w:rPr>
          <w:rFonts w:asciiTheme="minorHAnsi" w:hAnsiTheme="minorHAnsi" w:cstheme="minorHAnsi"/>
          <w:b/>
          <w:bCs/>
          <w:sz w:val="20"/>
        </w:rPr>
        <w:tab/>
      </w:r>
      <w:r w:rsidR="006C6263" w:rsidRPr="0061391D">
        <w:rPr>
          <w:rFonts w:asciiTheme="minorHAnsi" w:hAnsiTheme="minorHAnsi" w:cstheme="minorHAnsi"/>
          <w:b/>
          <w:bCs/>
          <w:sz w:val="20"/>
        </w:rPr>
        <w:t>Expense Limit</w:t>
      </w:r>
      <w:r w:rsidR="00C36343" w:rsidRPr="0061391D">
        <w:rPr>
          <w:rFonts w:asciiTheme="minorHAnsi" w:hAnsiTheme="minorHAnsi" w:cstheme="minorHAnsi"/>
          <w:b/>
          <w:bCs/>
          <w:sz w:val="20"/>
        </w:rPr>
        <w:t xml:space="preserve">. </w:t>
      </w:r>
      <w:r w:rsidR="00C36343" w:rsidRPr="0061391D">
        <w:rPr>
          <w:rFonts w:asciiTheme="minorHAnsi" w:hAnsiTheme="minorHAnsi" w:cstheme="minorHAnsi"/>
          <w:bCs/>
          <w:sz w:val="20"/>
        </w:rPr>
        <w:t xml:space="preserve">Contractor shall not invoice the </w:t>
      </w:r>
      <w:r w:rsidR="00323CD0" w:rsidRPr="0061391D">
        <w:rPr>
          <w:rFonts w:asciiTheme="minorHAnsi" w:hAnsiTheme="minorHAnsi" w:cstheme="minorHAnsi"/>
          <w:bCs/>
          <w:sz w:val="20"/>
        </w:rPr>
        <w:t>JBE</w:t>
      </w:r>
      <w:r w:rsidR="00C36343" w:rsidRPr="0061391D">
        <w:rPr>
          <w:rFonts w:asciiTheme="minorHAnsi" w:hAnsiTheme="minorHAnsi" w:cstheme="minorHAnsi"/>
          <w:bCs/>
          <w:sz w:val="20"/>
        </w:rPr>
        <w:t xml:space="preserve">, and the </w:t>
      </w:r>
      <w:r w:rsidR="00323CD0" w:rsidRPr="0061391D">
        <w:rPr>
          <w:rFonts w:asciiTheme="minorHAnsi" w:hAnsiTheme="minorHAnsi" w:cstheme="minorHAnsi"/>
          <w:bCs/>
          <w:sz w:val="20"/>
        </w:rPr>
        <w:t>JBE</w:t>
      </w:r>
      <w:r w:rsidR="00C36343" w:rsidRPr="0061391D">
        <w:rPr>
          <w:rFonts w:asciiTheme="minorHAnsi" w:hAnsiTheme="minorHAnsi" w:cstheme="minorHAnsi"/>
          <w:bCs/>
          <w:sz w:val="20"/>
        </w:rPr>
        <w:t xml:space="preserve"> </w:t>
      </w:r>
      <w:r w:rsidR="00335894" w:rsidRPr="0061391D">
        <w:rPr>
          <w:rFonts w:asciiTheme="minorHAnsi" w:hAnsiTheme="minorHAnsi" w:cstheme="minorHAnsi"/>
          <w:bCs/>
          <w:sz w:val="20"/>
        </w:rPr>
        <w:t>has no obligation to</w:t>
      </w:r>
      <w:r w:rsidR="00C36343" w:rsidRPr="0061391D">
        <w:rPr>
          <w:rFonts w:asciiTheme="minorHAnsi" w:hAnsiTheme="minorHAnsi" w:cstheme="minorHAnsi"/>
          <w:bCs/>
          <w:sz w:val="20"/>
        </w:rPr>
        <w:t xml:space="preserve"> reimburse Contractor, for expenses of any type that exceed in the aggregate the amount of</w:t>
      </w:r>
      <w:r w:rsidR="00C34EDA" w:rsidRPr="0061391D">
        <w:rPr>
          <w:rFonts w:asciiTheme="minorHAnsi" w:hAnsiTheme="minorHAnsi" w:cstheme="minorHAnsi"/>
          <w:bCs/>
          <w:sz w:val="20"/>
        </w:rPr>
        <w:t xml:space="preserve">: </w:t>
      </w:r>
      <w:r w:rsidR="00C36343" w:rsidRPr="0061391D">
        <w:rPr>
          <w:rFonts w:asciiTheme="minorHAnsi" w:hAnsiTheme="minorHAnsi" w:cstheme="minorHAnsi"/>
          <w:bCs/>
          <w:sz w:val="20"/>
        </w:rPr>
        <w:t>$</w:t>
      </w:r>
      <w:r w:rsidR="00C34EDA" w:rsidRPr="0061391D">
        <w:rPr>
          <w:b/>
          <w:sz w:val="20"/>
          <w:highlight w:val="yellow"/>
        </w:rPr>
        <w:t>[Dollar amount]</w:t>
      </w:r>
      <w:r w:rsidR="00055BF3" w:rsidRPr="0061391D">
        <w:rPr>
          <w:rFonts w:asciiTheme="minorHAnsi" w:hAnsiTheme="minorHAnsi" w:cstheme="minorHAnsi"/>
          <w:bCs/>
          <w:sz w:val="20"/>
        </w:rPr>
        <w:t xml:space="preserve"> </w:t>
      </w:r>
      <w:r w:rsidR="00C34EDA" w:rsidRPr="0061391D">
        <w:rPr>
          <w:rFonts w:asciiTheme="minorHAnsi" w:hAnsiTheme="minorHAnsi" w:cstheme="minorHAnsi"/>
          <w:bCs/>
          <w:sz w:val="20"/>
        </w:rPr>
        <w:t>for the Initial Term and $</w:t>
      </w:r>
      <w:r w:rsidR="00C34EDA" w:rsidRPr="0061391D">
        <w:rPr>
          <w:b/>
          <w:sz w:val="20"/>
          <w:highlight w:val="yellow"/>
        </w:rPr>
        <w:t>[Dollar amount]</w:t>
      </w:r>
      <w:r w:rsidR="00C34EDA" w:rsidRPr="0061391D">
        <w:rPr>
          <w:rFonts w:asciiTheme="minorHAnsi" w:hAnsiTheme="minorHAnsi" w:cstheme="minorHAnsi"/>
          <w:bCs/>
          <w:sz w:val="20"/>
        </w:rPr>
        <w:t xml:space="preserve"> for the Option Term</w:t>
      </w:r>
      <w:r w:rsidR="00C36343" w:rsidRPr="0061391D">
        <w:rPr>
          <w:rFonts w:asciiTheme="minorHAnsi" w:hAnsiTheme="minorHAnsi" w:cstheme="minorHAnsi"/>
          <w:bCs/>
          <w:sz w:val="20"/>
        </w:rPr>
        <w:t xml:space="preserve">. </w:t>
      </w:r>
    </w:p>
    <w:p w14:paraId="0247E46E" w14:textId="351AC0F4" w:rsidR="00C36343" w:rsidRPr="0061391D" w:rsidRDefault="0061391D" w:rsidP="0061391D">
      <w:pPr>
        <w:spacing w:before="120" w:after="120"/>
        <w:ind w:left="720" w:hanging="270"/>
        <w:rPr>
          <w:rFonts w:asciiTheme="minorHAnsi" w:hAnsiTheme="minorHAnsi" w:cstheme="minorHAnsi"/>
          <w:b/>
          <w:bCs/>
          <w:sz w:val="20"/>
        </w:rPr>
      </w:pPr>
      <w:r>
        <w:rPr>
          <w:rFonts w:asciiTheme="minorHAnsi" w:hAnsiTheme="minorHAnsi" w:cstheme="minorHAnsi"/>
          <w:b/>
          <w:bCs/>
          <w:sz w:val="20"/>
        </w:rPr>
        <w:t>3.4</w:t>
      </w:r>
      <w:r>
        <w:rPr>
          <w:rFonts w:asciiTheme="minorHAnsi" w:hAnsiTheme="minorHAnsi" w:cstheme="minorHAnsi"/>
          <w:b/>
          <w:bCs/>
          <w:sz w:val="20"/>
        </w:rPr>
        <w:tab/>
      </w:r>
      <w:r w:rsidR="00C36343" w:rsidRPr="0061391D">
        <w:rPr>
          <w:rFonts w:asciiTheme="minorHAnsi" w:hAnsiTheme="minorHAnsi" w:cstheme="minorHAnsi"/>
          <w:b/>
          <w:bCs/>
          <w:sz w:val="20"/>
        </w:rPr>
        <w:t>Required Certification.</w:t>
      </w:r>
      <w:r w:rsidR="00C36343" w:rsidRPr="0061391D">
        <w:rPr>
          <w:rFonts w:asciiTheme="minorHAnsi" w:hAnsiTheme="minorHAnsi" w:cstheme="minorHAnsi"/>
          <w:bCs/>
          <w:sz w:val="20"/>
        </w:rPr>
        <w:t xml:space="preserve">  </w:t>
      </w:r>
      <w:r w:rsidR="003158EB" w:rsidRPr="0061391D">
        <w:rPr>
          <w:rFonts w:asciiTheme="minorHAnsi" w:hAnsiTheme="minorHAnsi" w:cstheme="minorHAnsi"/>
          <w:bCs/>
          <w:sz w:val="20"/>
        </w:rPr>
        <w:t xml:space="preserve">Contractor must include with any request for reimbursement from the </w:t>
      </w:r>
      <w:r w:rsidR="00323CD0" w:rsidRPr="0061391D">
        <w:rPr>
          <w:rFonts w:asciiTheme="minorHAnsi" w:hAnsiTheme="minorHAnsi" w:cstheme="minorHAnsi"/>
          <w:bCs/>
          <w:sz w:val="20"/>
        </w:rPr>
        <w:t>JBE</w:t>
      </w:r>
      <w:r w:rsidR="003158EB" w:rsidRPr="0061391D">
        <w:rPr>
          <w:rFonts w:asciiTheme="minorHAnsi" w:hAnsiTheme="minorHAnsi" w:cstheme="minorHAnsi"/>
          <w:bCs/>
          <w:sz w:val="20"/>
        </w:rPr>
        <w:t xml:space="preserve"> a certification that </w:t>
      </w:r>
      <w:r w:rsidR="00445058" w:rsidRPr="0061391D">
        <w:rPr>
          <w:rFonts w:asciiTheme="minorHAnsi" w:hAnsiTheme="minorHAnsi" w:cstheme="minorHAnsi"/>
          <w:bCs/>
          <w:sz w:val="20"/>
        </w:rPr>
        <w:t>Contractor</w:t>
      </w:r>
      <w:r w:rsidR="003158EB" w:rsidRPr="0061391D">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sidRPr="0061391D">
        <w:rPr>
          <w:rFonts w:asciiTheme="minorHAnsi" w:hAnsiTheme="minorHAnsi" w:cstheme="minorHAnsi"/>
          <w:bCs/>
          <w:sz w:val="20"/>
        </w:rPr>
        <w:t>JBE</w:t>
      </w:r>
      <w:r w:rsidR="003158EB" w:rsidRPr="0061391D">
        <w:rPr>
          <w:rFonts w:asciiTheme="minorHAnsi" w:hAnsiTheme="minorHAnsi" w:cstheme="minorHAnsi"/>
          <w:bCs/>
          <w:sz w:val="20"/>
        </w:rPr>
        <w:t xml:space="preserve"> was sought for these costs, and Contractor will provide those records to the Attorney General upon request.  </w:t>
      </w:r>
    </w:p>
    <w:p w14:paraId="1B130AC8" w14:textId="501A7BD3" w:rsidR="0070078B" w:rsidRPr="0070078B" w:rsidRDefault="0061391D" w:rsidP="0061391D">
      <w:pPr>
        <w:spacing w:before="120" w:after="120"/>
        <w:rPr>
          <w:rFonts w:asciiTheme="minorHAnsi" w:hAnsiTheme="minorHAnsi" w:cstheme="minorHAnsi"/>
          <w:bCs/>
          <w:sz w:val="20"/>
        </w:rPr>
      </w:pPr>
      <w:r>
        <w:rPr>
          <w:rFonts w:asciiTheme="minorHAnsi" w:hAnsiTheme="minorHAnsi" w:cstheme="minorHAnsi"/>
          <w:b/>
          <w:bCs/>
          <w:sz w:val="20"/>
        </w:rPr>
        <w:t xml:space="preserve">4.  </w:t>
      </w:r>
      <w:r w:rsidR="00DC5733" w:rsidRPr="0070078B">
        <w:rPr>
          <w:rFonts w:asciiTheme="minorHAnsi" w:hAnsiTheme="minorHAnsi" w:cstheme="minorHAnsi"/>
          <w:b/>
          <w:bCs/>
          <w:sz w:val="20"/>
        </w:rPr>
        <w:t>Invoicing and Payment</w:t>
      </w:r>
    </w:p>
    <w:p w14:paraId="575D3EF9" w14:textId="77777777" w:rsidR="00DD0673" w:rsidRPr="00DD0673" w:rsidRDefault="00DD0673" w:rsidP="00DD0673">
      <w:pPr>
        <w:pStyle w:val="ListParagraph"/>
        <w:numPr>
          <w:ilvl w:val="0"/>
          <w:numId w:val="13"/>
        </w:numPr>
        <w:spacing w:before="120" w:after="120"/>
        <w:rPr>
          <w:rFonts w:asciiTheme="minorHAnsi" w:hAnsiTheme="minorHAnsi" w:cstheme="minorHAnsi"/>
          <w:b/>
          <w:bCs/>
          <w:vanish/>
          <w:sz w:val="20"/>
        </w:rPr>
      </w:pPr>
    </w:p>
    <w:p w14:paraId="449164B0" w14:textId="74BB2D05" w:rsidR="00884DE5" w:rsidRPr="0070078B" w:rsidRDefault="000A7FBF" w:rsidP="000A7FBF">
      <w:pPr>
        <w:spacing w:before="120" w:after="120"/>
        <w:ind w:left="720" w:hanging="360"/>
        <w:rPr>
          <w:rFonts w:asciiTheme="minorHAnsi" w:hAnsiTheme="minorHAnsi" w:cstheme="minorHAnsi"/>
          <w:bCs/>
          <w:sz w:val="20"/>
        </w:rPr>
      </w:pPr>
      <w:r>
        <w:rPr>
          <w:rFonts w:asciiTheme="minorHAnsi" w:hAnsiTheme="minorHAnsi" w:cstheme="minorHAnsi"/>
          <w:b/>
          <w:bCs/>
          <w:sz w:val="20"/>
        </w:rPr>
        <w:t>4.1</w:t>
      </w:r>
      <w:r>
        <w:rPr>
          <w:rFonts w:asciiTheme="minorHAnsi" w:hAnsiTheme="minorHAnsi" w:cstheme="minorHAnsi"/>
          <w:b/>
          <w:bCs/>
          <w:sz w:val="20"/>
        </w:rPr>
        <w:tab/>
      </w:r>
      <w:r w:rsidR="002968EA" w:rsidRPr="0070078B">
        <w:rPr>
          <w:rFonts w:asciiTheme="minorHAnsi" w:hAnsiTheme="minorHAnsi" w:cstheme="minorHAnsi"/>
          <w:b/>
          <w:bCs/>
          <w:sz w:val="20"/>
        </w:rPr>
        <w:t xml:space="preserve">Invoicing. </w:t>
      </w:r>
      <w:r w:rsidR="002968EA"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002968EA"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002968EA"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002968EA" w:rsidRPr="0070078B">
        <w:rPr>
          <w:rFonts w:asciiTheme="minorHAnsi" w:hAnsiTheme="minorHAnsi" w:cstheme="minorHAnsi"/>
          <w:bCs/>
          <w:sz w:val="20"/>
        </w:rPr>
        <w:t xml:space="preserve"> from time to time. </w:t>
      </w:r>
    </w:p>
    <w:p w14:paraId="18D0901A" w14:textId="157AC8AF" w:rsidR="001524A0" w:rsidRDefault="000A7FBF" w:rsidP="000A7FBF">
      <w:pPr>
        <w:spacing w:before="120" w:after="120"/>
        <w:ind w:left="720" w:hanging="360"/>
        <w:rPr>
          <w:sz w:val="20"/>
        </w:rPr>
        <w:sectPr w:rsidR="001524A0" w:rsidSect="00001542">
          <w:pgSz w:w="12240" w:h="15840"/>
          <w:pgMar w:top="1440" w:right="1440" w:bottom="1440" w:left="1440" w:header="720" w:footer="720" w:gutter="0"/>
          <w:pgNumType w:start="1"/>
          <w:cols w:space="720"/>
          <w:docGrid w:linePitch="360"/>
        </w:sectPr>
      </w:pPr>
      <w:r>
        <w:rPr>
          <w:b/>
          <w:sz w:val="20"/>
        </w:rPr>
        <w:t>4.2</w:t>
      </w:r>
      <w:r>
        <w:rPr>
          <w:b/>
          <w:sz w:val="20"/>
        </w:rPr>
        <w:tab/>
      </w:r>
      <w:r w:rsidR="00884DE5"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sidR="00884DE5">
        <w:rPr>
          <w:sz w:val="20"/>
        </w:rPr>
        <w:t>from Contractor after a</w:t>
      </w:r>
      <w:r w:rsidR="005B0639" w:rsidRPr="00041323">
        <w:rPr>
          <w:sz w:val="20"/>
        </w:rPr>
        <w:t>cceptance</w:t>
      </w:r>
      <w:r w:rsidR="00884DE5">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BEA60F8" w14:textId="77777777" w:rsidR="0061391D"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0996BB53" w14:textId="51A49873" w:rsidR="0061391D" w:rsidRPr="0061391D" w:rsidRDefault="00FC1AEF" w:rsidP="0061391D">
      <w:pPr>
        <w:spacing w:before="120" w:after="120"/>
        <w:ind w:left="720"/>
        <w:jc w:val="both"/>
        <w:rPr>
          <w:sz w:val="20"/>
        </w:rPr>
      </w:pPr>
      <w:r>
        <w:rPr>
          <w:rFonts w:asciiTheme="minorHAnsi" w:hAnsiTheme="minorHAnsi" w:cstheme="minorHAnsi"/>
          <w:bCs/>
          <w:sz w:val="20"/>
        </w:rPr>
        <w:t xml:space="preserve">  </w:t>
      </w:r>
      <w:r w:rsidRPr="0061391D">
        <w:rPr>
          <w:rFonts w:asciiTheme="minorHAnsi" w:hAnsiTheme="minorHAnsi" w:cstheme="minorHAnsi"/>
          <w:bCs/>
          <w:sz w:val="20"/>
        </w:rPr>
        <w:t xml:space="preserve">  </w:t>
      </w:r>
      <w:r w:rsidR="0061391D" w:rsidRPr="00EB1815">
        <w:rPr>
          <w:sz w:val="20"/>
        </w:rPr>
        <w:t xml:space="preserve">The payment term is </w:t>
      </w:r>
      <w:r w:rsidR="0061391D" w:rsidRPr="00EB1815">
        <w:rPr>
          <w:b/>
          <w:bCs/>
          <w:sz w:val="20"/>
        </w:rPr>
        <w:t>Net 60</w:t>
      </w:r>
      <w:r w:rsidR="0061391D" w:rsidRPr="00EB1815">
        <w:rPr>
          <w:sz w:val="20"/>
        </w:rPr>
        <w:t xml:space="preserve"> from date of acceptance of the deliverable(s) and receipt of correct invoice.</w:t>
      </w:r>
    </w:p>
    <w:p w14:paraId="4F3F9BBB" w14:textId="3DBB5D46" w:rsidR="002968EA" w:rsidRPr="00EC158B" w:rsidRDefault="000A7FBF" w:rsidP="000A7FBF">
      <w:pPr>
        <w:spacing w:before="120" w:after="120"/>
        <w:ind w:left="720" w:hanging="360"/>
        <w:rPr>
          <w:rFonts w:asciiTheme="minorHAnsi" w:hAnsiTheme="minorHAnsi" w:cstheme="minorHAnsi"/>
          <w:bCs/>
          <w:sz w:val="20"/>
        </w:rPr>
      </w:pPr>
      <w:r>
        <w:rPr>
          <w:rFonts w:asciiTheme="minorHAnsi" w:hAnsiTheme="minorHAnsi" w:cstheme="minorHAnsi"/>
          <w:b/>
          <w:bCs/>
          <w:sz w:val="20"/>
        </w:rPr>
        <w:t>4.3</w:t>
      </w:r>
      <w:r>
        <w:rPr>
          <w:rFonts w:asciiTheme="minorHAnsi" w:hAnsiTheme="minorHAnsi" w:cstheme="minorHAnsi"/>
          <w:b/>
          <w:bCs/>
          <w:sz w:val="20"/>
        </w:rPr>
        <w:tab/>
      </w:r>
      <w:r w:rsidR="002968EA">
        <w:rPr>
          <w:rFonts w:asciiTheme="minorHAnsi" w:hAnsiTheme="minorHAnsi" w:cstheme="minorHAnsi"/>
          <w:b/>
          <w:bCs/>
          <w:sz w:val="20"/>
        </w:rPr>
        <w:t xml:space="preserve">No Implied </w:t>
      </w:r>
      <w:r w:rsidR="002968EA" w:rsidRPr="00A00A65">
        <w:rPr>
          <w:rFonts w:asciiTheme="minorHAnsi" w:hAnsiTheme="minorHAnsi" w:cstheme="minorHAnsi"/>
          <w:b/>
          <w:bCs/>
          <w:sz w:val="20"/>
        </w:rPr>
        <w:t>Acceptance.</w:t>
      </w:r>
      <w:r w:rsidR="002968EA">
        <w:rPr>
          <w:rFonts w:asciiTheme="minorHAnsi" w:hAnsiTheme="minorHAnsi" w:cstheme="minorHAnsi"/>
          <w:bCs/>
          <w:sz w:val="20"/>
        </w:rPr>
        <w:t xml:space="preserve">  </w:t>
      </w:r>
      <w:r w:rsidR="002968EA" w:rsidRPr="00A00A65">
        <w:rPr>
          <w:rFonts w:asciiTheme="minorHAnsi" w:hAnsiTheme="minorHAnsi" w:cstheme="minorHAnsi"/>
          <w:bCs/>
          <w:sz w:val="20"/>
        </w:rPr>
        <w:t>Payment does not imply acceptance of Contractor’s invoice, Goods, Services, or Deliverables. Contractor shall immediately refund any payment made in error.</w:t>
      </w:r>
      <w:r w:rsidR="002968EA">
        <w:rPr>
          <w:rFonts w:asciiTheme="minorHAnsi" w:hAnsiTheme="minorHAnsi" w:cstheme="minorHAnsi"/>
          <w:bCs/>
          <w:sz w:val="20"/>
        </w:rPr>
        <w:t xml:space="preserve"> </w:t>
      </w:r>
      <w:r w:rsidR="002968EA" w:rsidRPr="00B6312C">
        <w:rPr>
          <w:rFonts w:asciiTheme="minorHAnsi" w:hAnsiTheme="minorHAnsi" w:cstheme="minorHAnsi"/>
          <w:bCs/>
          <w:sz w:val="20"/>
        </w:rPr>
        <w:t xml:space="preserve">The </w:t>
      </w:r>
      <w:r w:rsidR="00323CD0">
        <w:rPr>
          <w:rFonts w:asciiTheme="minorHAnsi" w:hAnsiTheme="minorHAnsi" w:cstheme="minorHAnsi"/>
          <w:bCs/>
          <w:sz w:val="20"/>
        </w:rPr>
        <w:t>JBE</w:t>
      </w:r>
      <w:r w:rsidR="002968EA"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002968EA"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002968EA"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002968EA" w:rsidRPr="00B6312C">
        <w:rPr>
          <w:rFonts w:asciiTheme="minorHAnsi" w:hAnsiTheme="minorHAnsi" w:cstheme="minorHAnsi"/>
          <w:bCs/>
          <w:sz w:val="20"/>
        </w:rPr>
        <w:t xml:space="preserve">  </w:t>
      </w:r>
    </w:p>
    <w:p w14:paraId="56462EC6" w14:textId="4876460F" w:rsidR="0070078B" w:rsidRPr="0070078B" w:rsidRDefault="000A7FBF" w:rsidP="000A7FBF">
      <w:pPr>
        <w:spacing w:before="120" w:after="120"/>
        <w:ind w:left="270" w:hanging="270"/>
        <w:rPr>
          <w:rFonts w:asciiTheme="minorHAnsi" w:hAnsiTheme="minorHAnsi" w:cstheme="minorHAnsi"/>
          <w:bCs/>
          <w:sz w:val="20"/>
        </w:rPr>
      </w:pPr>
      <w:r>
        <w:rPr>
          <w:b/>
          <w:sz w:val="20"/>
        </w:rPr>
        <w:t xml:space="preserve">5.  </w:t>
      </w:r>
      <w:r w:rsidR="0070078B" w:rsidRPr="0070078B">
        <w:rPr>
          <w:b/>
          <w:sz w:val="20"/>
        </w:rPr>
        <w:t>Taxes.</w:t>
      </w:r>
      <w:r w:rsidR="0070078B">
        <w:rPr>
          <w:sz w:val="20"/>
        </w:rPr>
        <w:t xml:space="preserve">  </w:t>
      </w:r>
      <w:r w:rsidR="0070078B" w:rsidRPr="00041323">
        <w:rPr>
          <w:sz w:val="20"/>
        </w:rPr>
        <w:t xml:space="preserve">Unless otherwise required by law, the </w:t>
      </w:r>
      <w:r w:rsidR="00323CD0">
        <w:rPr>
          <w:sz w:val="20"/>
        </w:rPr>
        <w:t>JBE</w:t>
      </w:r>
      <w:r w:rsidR="0070078B" w:rsidRPr="00041323">
        <w:rPr>
          <w:sz w:val="20"/>
        </w:rPr>
        <w:t xml:space="preserve"> is exempt from federal excise taxes and no payment will be </w:t>
      </w:r>
      <w:bookmarkStart w:id="8" w:name="_GoBack"/>
      <w:bookmarkEnd w:id="8"/>
      <w:r w:rsidR="0070078B" w:rsidRPr="00041323">
        <w:rPr>
          <w:sz w:val="20"/>
        </w:rPr>
        <w:t xml:space="preserve">made for any personal property taxes levied on Contractor or on any taxes levied on employee wages. The </w:t>
      </w:r>
      <w:r w:rsidR="00323CD0">
        <w:rPr>
          <w:sz w:val="20"/>
        </w:rPr>
        <w:t>JBE</w:t>
      </w:r>
      <w:r w:rsidR="0070078B" w:rsidRPr="00041323">
        <w:rPr>
          <w:sz w:val="20"/>
        </w:rPr>
        <w:t xml:space="preserve"> shall only pay for any state or local sales, service, use, or similar taxes imposed on the Services rendered or equipment, parts or software supplied to the </w:t>
      </w:r>
      <w:r w:rsidR="00323CD0">
        <w:rPr>
          <w:sz w:val="20"/>
        </w:rPr>
        <w:t>JBE</w:t>
      </w:r>
      <w:r w:rsidR="0070078B" w:rsidRPr="00041323">
        <w:rPr>
          <w:sz w:val="20"/>
        </w:rPr>
        <w:t xml:space="preserve"> pursuant to this Agreement</w:t>
      </w:r>
      <w:r w:rsidR="0070078B">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9"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9"/>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w:t>
      </w:r>
      <w:r w:rsidR="00E77106" w:rsidRPr="002D7DFA">
        <w:rPr>
          <w:rFonts w:asciiTheme="minorHAnsi" w:hAnsiTheme="minorHAnsi" w:cstheme="minorHAnsi"/>
          <w:bCs/>
          <w:sz w:val="20"/>
        </w:rPr>
        <w:lastRenderedPageBreak/>
        <w:t>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w:t>
      </w:r>
      <w:r w:rsidR="008110B5">
        <w:rPr>
          <w:rFonts w:asciiTheme="minorHAnsi" w:hAnsiTheme="minorHAnsi" w:cstheme="minorHAnsi"/>
          <w:sz w:val="20"/>
        </w:rPr>
        <w:lastRenderedPageBreak/>
        <w:t xml:space="preserve">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61391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61391D">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61391D">
            <w:pPr>
              <w:keepNext/>
              <w:spacing w:line="480" w:lineRule="auto"/>
              <w:rPr>
                <w:rFonts w:cs="Arial"/>
                <w:sz w:val="20"/>
              </w:rPr>
            </w:pPr>
            <w:r w:rsidRPr="00C337CA">
              <w:rPr>
                <w:rFonts w:cs="Arial"/>
                <w:i/>
                <w:iCs/>
                <w:sz w:val="20"/>
              </w:rPr>
              <w:t>Federal ID Number </w:t>
            </w:r>
          </w:p>
        </w:tc>
      </w:tr>
      <w:tr w:rsidR="00C337CA" w:rsidRPr="00C337CA" w14:paraId="0358BF68" w14:textId="77777777" w:rsidTr="0061391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61391D">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61391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61391D">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61391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61391D">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61391D">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61391D">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556C2" w14:textId="77777777" w:rsidR="0061391D" w:rsidRDefault="0061391D" w:rsidP="00437785">
      <w:r>
        <w:separator/>
      </w:r>
    </w:p>
  </w:endnote>
  <w:endnote w:type="continuationSeparator" w:id="0">
    <w:p w14:paraId="5EBF99D1" w14:textId="77777777" w:rsidR="0061391D" w:rsidRDefault="0061391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61391D" w:rsidRDefault="0061391D"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61391D" w:rsidRDefault="0061391D"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61391D" w:rsidRDefault="0061391D" w:rsidP="00896EE8">
    <w:pPr>
      <w:pStyle w:val="Footer"/>
      <w:jc w:val="right"/>
    </w:pPr>
    <w:r>
      <w:rPr>
        <w:sz w:val="16"/>
        <w:szCs w:val="16"/>
      </w:rPr>
      <w:t>rev Dec. 2019</w:t>
    </w:r>
    <w:r>
      <w:rPr>
        <w:b/>
        <w:sz w:val="16"/>
        <w:szCs w:val="16"/>
      </w:rPr>
      <w:tab/>
    </w:r>
    <w:r>
      <w:rPr>
        <w:b/>
        <w:sz w:val="16"/>
        <w:szCs w:val="16"/>
      </w:rPr>
      <w:tab/>
    </w:r>
  </w:p>
  <w:p w14:paraId="12629BF0" w14:textId="77777777" w:rsidR="0061391D" w:rsidRDefault="0061391D"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61391D" w:rsidRDefault="0061391D"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61391D" w:rsidRPr="008953BE" w:rsidRDefault="0061391D">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61391D" w:rsidRDefault="0061391D"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61391D" w:rsidRPr="008953BE" w:rsidRDefault="0061391D">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61391D" w:rsidRDefault="0061391D"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61391D" w:rsidRDefault="0061391D"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61391D" w:rsidRDefault="0061391D"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61391D" w:rsidRDefault="0061391D"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61391D" w:rsidRDefault="0061391D"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61391D" w:rsidRDefault="006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C6FA6" w14:textId="77777777" w:rsidR="0061391D" w:rsidRDefault="0061391D" w:rsidP="00437785">
      <w:r>
        <w:separator/>
      </w:r>
    </w:p>
  </w:footnote>
  <w:footnote w:type="continuationSeparator" w:id="0">
    <w:p w14:paraId="7653F3DB" w14:textId="77777777" w:rsidR="0061391D" w:rsidRDefault="0061391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61391D" w:rsidRPr="003E52BA" w:rsidRDefault="0061391D"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61391D" w:rsidRDefault="0061391D">
    <w:pPr>
      <w:ind w:left="-86"/>
      <w:rPr>
        <w:rFonts w:ascii="Arial" w:eastAsia="Times New Roman" w:hAnsi="Arial"/>
        <w:b/>
        <w:sz w:val="22"/>
      </w:rPr>
    </w:pPr>
  </w:p>
  <w:p w14:paraId="054033CB" w14:textId="77777777" w:rsidR="0061391D" w:rsidRPr="000D2618" w:rsidRDefault="0061391D"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02E7" w14:textId="77777777" w:rsidR="0061391D" w:rsidRPr="003B3C0B" w:rsidRDefault="0061391D"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3E1"/>
    <w:multiLevelType w:val="multilevel"/>
    <w:tmpl w:val="7DCEDFBA"/>
    <w:numStyleLink w:val="Style1"/>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59D525C"/>
    <w:multiLevelType w:val="multilevel"/>
    <w:tmpl w:val="7DCEDFBA"/>
    <w:styleLink w:val="Style1"/>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D5F0D8F"/>
    <w:multiLevelType w:val="multilevel"/>
    <w:tmpl w:val="B696494E"/>
    <w:lvl w:ilvl="0">
      <w:start w:val="2"/>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36935E3"/>
    <w:multiLevelType w:val="multilevel"/>
    <w:tmpl w:val="8CB43B54"/>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5877511"/>
    <w:multiLevelType w:val="multilevel"/>
    <w:tmpl w:val="2528CB18"/>
    <w:numStyleLink w:val="MOUList"/>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9"/>
  </w:num>
  <w:num w:numId="2">
    <w:abstractNumId w:val="7"/>
  </w:num>
  <w:num w:numId="3">
    <w:abstractNumId w:val="27"/>
  </w:num>
  <w:num w:numId="4">
    <w:abstractNumId w:val="12"/>
  </w:num>
  <w:num w:numId="5">
    <w:abstractNumId w:val="8"/>
  </w:num>
  <w:num w:numId="6">
    <w:abstractNumId w:val="6"/>
  </w:num>
  <w:num w:numId="7">
    <w:abstractNumId w:val="16"/>
  </w:num>
  <w:num w:numId="8">
    <w:abstractNumId w:val="17"/>
  </w:num>
  <w:num w:numId="9">
    <w:abstractNumId w:val="5"/>
  </w:num>
  <w:num w:numId="10">
    <w:abstractNumId w:val="20"/>
  </w:num>
  <w:num w:numId="11">
    <w:abstractNumId w:val="4"/>
  </w:num>
  <w:num w:numId="12">
    <w:abstractNumId w:val="25"/>
  </w:num>
  <w:num w:numId="13">
    <w:abstractNumId w:val="29"/>
  </w:num>
  <w:num w:numId="14">
    <w:abstractNumId w:val="28"/>
  </w:num>
  <w:num w:numId="15">
    <w:abstractNumId w:val="3"/>
  </w:num>
  <w:num w:numId="16">
    <w:abstractNumId w:val="1"/>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26"/>
  </w:num>
  <w:num w:numId="21">
    <w:abstractNumId w:val="13"/>
  </w:num>
  <w:num w:numId="22">
    <w:abstractNumId w:val="10"/>
  </w:num>
  <w:num w:numId="23">
    <w:abstractNumId w:val="15"/>
  </w:num>
  <w:num w:numId="24">
    <w:abstractNumId w:val="11"/>
  </w:num>
  <w:num w:numId="25">
    <w:abstractNumId w:val="30"/>
  </w:num>
  <w:num w:numId="26">
    <w:abstractNumId w:val="19"/>
  </w:num>
  <w:num w:numId="27">
    <w:abstractNumId w:val="2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2"/>
  </w:num>
  <w:num w:numId="29">
    <w:abstractNumId w:val="31"/>
  </w:num>
  <w:num w:numId="30">
    <w:abstractNumId w:val="23"/>
  </w:num>
  <w:num w:numId="31">
    <w:abstractNumId w:val="2"/>
  </w:num>
  <w:num w:numId="32">
    <w:abstractNumId w:val="0"/>
    <w:lvlOverride w:ilvl="0">
      <w:lvl w:ilvl="0">
        <w:start w:val="2"/>
        <w:numFmt w:val="decimal"/>
        <w:lvlText w:val="%1"/>
        <w:lvlJc w:val="left"/>
        <w:pPr>
          <w:ind w:left="480" w:hanging="480"/>
        </w:pPr>
        <w:rPr>
          <w:rFonts w:hint="default"/>
        </w:rPr>
      </w:lvl>
    </w:lvlOverride>
    <w:lvlOverride w:ilvl="1">
      <w:lvl w:ilvl="1">
        <w:start w:val="2"/>
        <w:numFmt w:val="decimal"/>
        <w:lvlText w:val="%1.%2"/>
        <w:lvlJc w:val="left"/>
        <w:pPr>
          <w:ind w:left="1560" w:hanging="480"/>
        </w:pPr>
        <w:rPr>
          <w:rFonts w:hint="default"/>
        </w:rPr>
      </w:lvl>
    </w:lvlOverride>
    <w:lvlOverride w:ilvl="2">
      <w:lvl w:ilvl="2">
        <w:start w:val="3"/>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3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6AA9"/>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A7FBF"/>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779BD"/>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1391D"/>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2202"/>
    <w:rsid w:val="00757CD3"/>
    <w:rsid w:val="0076656F"/>
    <w:rsid w:val="00767122"/>
    <w:rsid w:val="00775B4F"/>
    <w:rsid w:val="00781159"/>
    <w:rsid w:val="00786481"/>
    <w:rsid w:val="00786FF7"/>
    <w:rsid w:val="007879BE"/>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7EB"/>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2682B"/>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2C3F"/>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B3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3C6"/>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476D7"/>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0673"/>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1815"/>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2E68"/>
    <w:rsid w:val="00F06159"/>
    <w:rsid w:val="00F12C84"/>
    <w:rsid w:val="00F15A5A"/>
    <w:rsid w:val="00F23294"/>
    <w:rsid w:val="00F27B51"/>
    <w:rsid w:val="00F36081"/>
    <w:rsid w:val="00F406A5"/>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rsid w:val="00752202"/>
    <w:rPr>
      <w:color w:val="0000FF"/>
      <w:u w:val="single"/>
    </w:rPr>
  </w:style>
  <w:style w:type="numbering" w:customStyle="1" w:styleId="Style1">
    <w:name w:val="Style1"/>
    <w:uiPriority w:val="99"/>
    <w:rsid w:val="008B1B3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ata.bls.gov/timeseries/CUUR0000SA0?output_view=pct_12mths" TargetMode="Externa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41F6-D231-4E87-B503-71ADEDA6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10558</Words>
  <Characters>60181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2020-10-15T18:31:00Z</dcterms:created>
  <dcterms:modified xsi:type="dcterms:W3CDTF">2020-10-15T18:45:00Z</dcterms:modified>
</cp:coreProperties>
</file>