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C37FF7" w:rsidRPr="003C6219" w:rsidTr="00B80CC9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3C6219" w:rsidRDefault="00C37FF7" w:rsidP="00B80CC9">
            <w:pPr>
              <w:rPr>
                <w:rFonts w:ascii="Arial" w:hAnsi="Arial" w:cs="Arial"/>
              </w:rPr>
            </w:pPr>
            <w:r w:rsidRPr="003C6219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3C6219" w:rsidRDefault="00C37FF7" w:rsidP="00B80CC9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3C6219" w:rsidRDefault="00C37FF7" w:rsidP="00B80CC9">
            <w:pPr>
              <w:pStyle w:val="JCCReportCoverTitle"/>
              <w:rPr>
                <w:rFonts w:ascii="Arial" w:hAnsi="Arial" w:cs="Arial"/>
              </w:rPr>
            </w:pPr>
            <w:r w:rsidRPr="003C6219">
              <w:rPr>
                <w:rFonts w:ascii="Arial" w:hAnsi="Arial" w:cs="Arial"/>
                <w:color w:val="073873"/>
              </w:rPr>
              <w:t>REQUEST FOR PROPOSAL</w:t>
            </w:r>
            <w:r w:rsidR="004425FB" w:rsidRPr="003C6219">
              <w:rPr>
                <w:rFonts w:ascii="Arial" w:hAnsi="Arial" w:cs="Arial"/>
                <w:color w:val="073873"/>
              </w:rPr>
              <w:t>S</w:t>
            </w:r>
          </w:p>
          <w:p w:rsidR="00C37FF7" w:rsidRPr="003C6219" w:rsidRDefault="00C37FF7" w:rsidP="00B80CC9">
            <w:pPr>
              <w:pStyle w:val="JCCReportCoverSpacer"/>
              <w:rPr>
                <w:rFonts w:ascii="Arial" w:hAnsi="Arial" w:cs="Arial"/>
              </w:rPr>
            </w:pPr>
            <w:r w:rsidRPr="003C6219">
              <w:rPr>
                <w:rFonts w:ascii="Arial" w:hAnsi="Arial" w:cs="Arial"/>
              </w:rPr>
              <w:t xml:space="preserve"> </w:t>
            </w:r>
          </w:p>
        </w:tc>
      </w:tr>
      <w:tr w:rsidR="00C37FF7" w:rsidRPr="003C6219" w:rsidTr="00B80CC9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3C6219" w:rsidRDefault="00C37FF7" w:rsidP="00B80CC9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3C6219" w:rsidRDefault="00C37FF7" w:rsidP="00B80CC9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3C6219" w:rsidRDefault="00C37FF7" w:rsidP="00B80CC9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3C6219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C37FF7" w:rsidRPr="003C6219" w:rsidRDefault="00C37FF7" w:rsidP="00B80CC9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564872" w:rsidRPr="003C6219" w:rsidRDefault="00C37FF7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 w:rsidRPr="003C6219">
              <w:rPr>
                <w:rFonts w:ascii="Arial" w:hAnsi="Arial" w:cs="Arial"/>
                <w:b/>
                <w:szCs w:val="28"/>
              </w:rPr>
              <w:t>Regarding:</w:t>
            </w:r>
            <w:r w:rsidRPr="003C6219">
              <w:rPr>
                <w:rFonts w:ascii="Arial" w:hAnsi="Arial" w:cs="Arial"/>
                <w:b/>
                <w:szCs w:val="28"/>
              </w:rPr>
              <w:br/>
            </w:r>
          </w:p>
          <w:p w:rsidR="000619B0" w:rsidRPr="003C6219" w:rsidRDefault="000619B0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 w:rsidRPr="003C6219">
              <w:rPr>
                <w:rFonts w:ascii="Arial" w:hAnsi="Arial" w:cs="Arial"/>
                <w:caps w:val="0"/>
                <w:szCs w:val="28"/>
              </w:rPr>
              <w:t>Questions and Answers</w:t>
            </w:r>
          </w:p>
          <w:p w:rsidR="00C37FF7" w:rsidRPr="003C6219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 w:rsidRPr="003C6219">
              <w:rPr>
                <w:rFonts w:ascii="Arial" w:hAnsi="Arial" w:cs="Arial"/>
                <w:caps w:val="0"/>
                <w:szCs w:val="28"/>
              </w:rPr>
              <w:t>RFP No. CPAS-201101-RB,</w:t>
            </w:r>
          </w:p>
          <w:p w:rsidR="00564872" w:rsidRPr="003C6219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Cs w:val="28"/>
              </w:rPr>
            </w:pPr>
            <w:r w:rsidRPr="003C6219">
              <w:rPr>
                <w:rFonts w:ascii="Arial" w:hAnsi="Arial" w:cs="Arial"/>
                <w:caps w:val="0"/>
                <w:szCs w:val="28"/>
              </w:rPr>
              <w:t>Court Interpreter Exam Administration</w:t>
            </w:r>
          </w:p>
          <w:p w:rsidR="00564872" w:rsidRPr="003C6219" w:rsidRDefault="00564872" w:rsidP="00B80CC9">
            <w:pPr>
              <w:pStyle w:val="JCCReportCoverSubhead"/>
              <w:spacing w:line="240" w:lineRule="auto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:rsidR="00C37FF7" w:rsidRPr="003C6219" w:rsidRDefault="00C37FF7" w:rsidP="00B80C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Pr="003C6219" w:rsidRDefault="00C37FF7" w:rsidP="00B80C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3C6219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PROPOSALS DUE:  </w:t>
            </w:r>
          </w:p>
          <w:p w:rsidR="00C37FF7" w:rsidRPr="003C6219" w:rsidRDefault="00CD5B24" w:rsidP="00B80C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  <w:r w:rsidRPr="003C6219">
              <w:rPr>
                <w:rFonts w:ascii="Arial" w:hAnsi="Arial" w:cs="Arial"/>
                <w:sz w:val="28"/>
                <w:szCs w:val="28"/>
              </w:rPr>
              <w:t xml:space="preserve">February </w:t>
            </w:r>
            <w:r w:rsidR="00EE463D" w:rsidRPr="003C6219">
              <w:rPr>
                <w:rFonts w:ascii="Arial" w:hAnsi="Arial" w:cs="Arial"/>
                <w:sz w:val="28"/>
                <w:szCs w:val="28"/>
              </w:rPr>
              <w:t>21</w:t>
            </w:r>
            <w:r w:rsidRPr="003C6219">
              <w:rPr>
                <w:rFonts w:ascii="Arial" w:hAnsi="Arial" w:cs="Arial"/>
                <w:sz w:val="28"/>
                <w:szCs w:val="28"/>
              </w:rPr>
              <w:t>, 2012</w:t>
            </w:r>
            <w:r w:rsidR="006629E2" w:rsidRPr="003C6219">
              <w:rPr>
                <w:rFonts w:ascii="Arial" w:hAnsi="Arial" w:cs="Arial"/>
                <w:sz w:val="28"/>
                <w:szCs w:val="28"/>
              </w:rPr>
              <w:t>,</w:t>
            </w:r>
            <w:r w:rsidRPr="003C621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C37FF7" w:rsidRPr="003C6219">
              <w:rPr>
                <w:rFonts w:ascii="Arial" w:hAnsi="Arial" w:cs="Arial"/>
                <w:bCs/>
                <w:sz w:val="28"/>
                <w:szCs w:val="28"/>
              </w:rPr>
              <w:t>n</w:t>
            </w:r>
            <w:r w:rsidR="00C37FF7" w:rsidRPr="003C6219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o later than </w:t>
            </w:r>
            <w:r w:rsidR="00EE463D" w:rsidRPr="003C621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close of business.</w:t>
            </w:r>
          </w:p>
          <w:p w:rsidR="00C37FF7" w:rsidRPr="003C6219" w:rsidRDefault="00C37FF7" w:rsidP="00B80C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DB5D7F" w:rsidRPr="003C6219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 w:rsidRPr="003C6219">
        <w:rPr>
          <w:rFonts w:ascii="Arial" w:hAnsi="Arial" w:cs="Arial"/>
        </w:rPr>
        <w:br/>
      </w:r>
      <w:r w:rsidRPr="003C6219">
        <w:rPr>
          <w:rFonts w:ascii="Arial" w:hAnsi="Arial" w:cs="Arial"/>
        </w:rPr>
        <w:tab/>
      </w:r>
    </w:p>
    <w:p w:rsidR="00DB5D7F" w:rsidRPr="003C6219" w:rsidRDefault="00DB5D7F">
      <w:pPr>
        <w:spacing w:line="276" w:lineRule="auto"/>
        <w:rPr>
          <w:rFonts w:ascii="Arial" w:hAnsi="Arial" w:cs="Arial"/>
        </w:rPr>
      </w:pPr>
      <w:r w:rsidRPr="003C6219">
        <w:rPr>
          <w:rFonts w:ascii="Arial" w:hAnsi="Arial" w:cs="Arial"/>
        </w:rPr>
        <w:br w:type="page"/>
      </w:r>
    </w:p>
    <w:p w:rsidR="00564872" w:rsidRPr="003C6219" w:rsidRDefault="00564872" w:rsidP="00564872">
      <w:pPr>
        <w:autoSpaceDE w:val="0"/>
        <w:autoSpaceDN w:val="0"/>
        <w:adjustRightInd w:val="0"/>
        <w:spacing w:after="240"/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With regard to the above referenced RFP, can you please indicate if the selected vendor will retain the entire exam fee detailed on page 7, Section 2</w:t>
      </w:r>
      <w:r w:rsidR="00EE463D" w:rsidRPr="003C6219">
        <w:rPr>
          <w:rFonts w:asciiTheme="minorHAnsi" w:hAnsiTheme="minorHAnsi" w:cstheme="minorHAnsi"/>
          <w:color w:val="0000FF"/>
        </w:rPr>
        <w:t>, paragraph 2.2:</w:t>
      </w:r>
      <w:r w:rsidRPr="003C6219">
        <w:rPr>
          <w:rFonts w:asciiTheme="minorHAnsi" w:hAnsiTheme="minorHAnsi" w:cstheme="minorHAnsi"/>
          <w:color w:val="0000FF"/>
        </w:rPr>
        <w:t>  If a portion is retained by the State, please indicate the amount retained for each exam.</w:t>
      </w:r>
    </w:p>
    <w:p w:rsidR="000619B0" w:rsidRPr="003C6219" w:rsidRDefault="000619B0" w:rsidP="00AA1E42">
      <w:pPr>
        <w:rPr>
          <w:rFonts w:asciiTheme="minorHAnsi" w:hAnsiTheme="minorHAnsi" w:cstheme="minorHAnsi"/>
          <w:color w:val="0000FF"/>
        </w:rPr>
      </w:pPr>
    </w:p>
    <w:p w:rsidR="00A47985" w:rsidRPr="003C6219" w:rsidRDefault="00A47985" w:rsidP="00D74207">
      <w:pPr>
        <w:ind w:left="720"/>
        <w:rPr>
          <w:rFonts w:asciiTheme="minorHAnsi" w:hAnsiTheme="minorHAnsi" w:cstheme="minorHAnsi"/>
        </w:rPr>
      </w:pPr>
      <w:r w:rsidRPr="003C6219">
        <w:t>Answer:</w:t>
      </w:r>
      <w:r w:rsidRPr="003C6219">
        <w:rPr>
          <w:rFonts w:asciiTheme="minorHAnsi" w:hAnsiTheme="minorHAnsi" w:cstheme="minorHAnsi"/>
          <w:color w:val="0000FF"/>
        </w:rPr>
        <w:t xml:space="preserve"> </w:t>
      </w:r>
      <w:r w:rsidRPr="003C6219">
        <w:rPr>
          <w:rFonts w:asciiTheme="minorHAnsi" w:hAnsiTheme="minorHAnsi" w:cstheme="minorHAnsi"/>
        </w:rPr>
        <w:t xml:space="preserve">Yes.  The selected vendor will retain the entire exam fee. </w:t>
      </w:r>
      <w:r w:rsidR="00573896" w:rsidRPr="003C6219">
        <w:rPr>
          <w:rFonts w:asciiTheme="minorHAnsi" w:hAnsiTheme="minorHAnsi" w:cstheme="minorHAnsi"/>
        </w:rPr>
        <w:t xml:space="preserve"> Please refer to </w:t>
      </w:r>
      <w:r w:rsidR="005B0A60" w:rsidRPr="003C6219">
        <w:rPr>
          <w:rFonts w:asciiTheme="minorHAnsi" w:hAnsiTheme="minorHAnsi" w:cstheme="minorHAnsi"/>
        </w:rPr>
        <w:t xml:space="preserve">the following </w:t>
      </w:r>
      <w:r w:rsidR="00EE463D" w:rsidRPr="003C6219">
        <w:rPr>
          <w:rFonts w:asciiTheme="minorHAnsi" w:hAnsiTheme="minorHAnsi" w:cstheme="minorHAnsi"/>
        </w:rPr>
        <w:t xml:space="preserve">provisions in the </w:t>
      </w:r>
      <w:r w:rsidR="00764455" w:rsidRPr="003C6219">
        <w:rPr>
          <w:rFonts w:asciiTheme="minorHAnsi" w:hAnsiTheme="minorHAnsi" w:cstheme="minorHAnsi"/>
        </w:rPr>
        <w:t xml:space="preserve">revised </w:t>
      </w:r>
      <w:r w:rsidR="005B0A60" w:rsidRPr="003C6219">
        <w:rPr>
          <w:rFonts w:asciiTheme="minorHAnsi" w:hAnsiTheme="minorHAnsi" w:cstheme="minorHAnsi"/>
        </w:rPr>
        <w:t>RFP Documents</w:t>
      </w:r>
      <w:r w:rsidR="00EE463D" w:rsidRPr="003C6219">
        <w:rPr>
          <w:rFonts w:asciiTheme="minorHAnsi" w:hAnsiTheme="minorHAnsi" w:cstheme="minorHAnsi"/>
        </w:rPr>
        <w:t xml:space="preserve"> in Addendum </w:t>
      </w:r>
      <w:r w:rsidR="00A925A2" w:rsidRPr="003C6219">
        <w:rPr>
          <w:rFonts w:asciiTheme="minorHAnsi" w:hAnsiTheme="minorHAnsi" w:cstheme="minorHAnsi"/>
        </w:rPr>
        <w:t>3</w:t>
      </w:r>
      <w:r w:rsidR="005B0A60" w:rsidRPr="003C6219">
        <w:rPr>
          <w:rFonts w:asciiTheme="minorHAnsi" w:hAnsiTheme="minorHAnsi" w:cstheme="minorHAnsi"/>
        </w:rPr>
        <w:t>:</w:t>
      </w:r>
      <w:r w:rsidR="00D74207" w:rsidRPr="003C6219">
        <w:rPr>
          <w:rFonts w:asciiTheme="minorHAnsi" w:hAnsiTheme="minorHAnsi" w:cstheme="minorHAnsi"/>
        </w:rPr>
        <w:t xml:space="preserve"> </w:t>
      </w:r>
      <w:r w:rsidR="005B0A60" w:rsidRPr="003C6219">
        <w:rPr>
          <w:rFonts w:asciiTheme="minorHAnsi" w:hAnsiTheme="minorHAnsi" w:cstheme="minorHAnsi"/>
        </w:rPr>
        <w:t xml:space="preserve">RFP Revision 1, </w:t>
      </w:r>
      <w:r w:rsidR="00573896" w:rsidRPr="003C6219">
        <w:rPr>
          <w:rFonts w:asciiTheme="minorHAnsi" w:hAnsiTheme="minorHAnsi" w:cstheme="minorHAnsi"/>
        </w:rPr>
        <w:t>Section 2.2</w:t>
      </w:r>
      <w:r w:rsidR="00EE463D" w:rsidRPr="003C6219">
        <w:rPr>
          <w:rFonts w:asciiTheme="minorHAnsi" w:hAnsiTheme="minorHAnsi" w:cstheme="minorHAnsi"/>
        </w:rPr>
        <w:t xml:space="preserve">, </w:t>
      </w:r>
      <w:r w:rsidR="005B0A60" w:rsidRPr="003C6219">
        <w:rPr>
          <w:rFonts w:asciiTheme="minorHAnsi" w:hAnsiTheme="minorHAnsi" w:cstheme="minorHAnsi"/>
        </w:rPr>
        <w:t>and Attachment 2, AOC Standard Terms and Conditions, Revision 2, Exhibit B,</w:t>
      </w:r>
      <w:r w:rsidR="00573896" w:rsidRPr="003C6219">
        <w:rPr>
          <w:rFonts w:asciiTheme="minorHAnsi" w:hAnsiTheme="minorHAnsi" w:cstheme="minorHAnsi"/>
        </w:rPr>
        <w:t xml:space="preserve"> Section 3.1. </w:t>
      </w:r>
    </w:p>
    <w:p w:rsidR="003C41B1" w:rsidRPr="003C6219" w:rsidRDefault="003C41B1" w:rsidP="00AA1E42">
      <w:pPr>
        <w:rPr>
          <w:rFonts w:asciiTheme="minorHAnsi" w:hAnsiTheme="minorHAnsi" w:cstheme="minorHAnsi"/>
          <w:color w:val="0000FF"/>
        </w:rPr>
      </w:pPr>
    </w:p>
    <w:p w:rsidR="00764455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The RFP requires Oral Proficiency Testing in English and other languages. </w:t>
      </w:r>
    </w:p>
    <w:p w:rsidR="00764455" w:rsidRPr="003C6219" w:rsidRDefault="00764455" w:rsidP="00764455">
      <w:pPr>
        <w:ind w:left="360"/>
        <w:rPr>
          <w:rFonts w:asciiTheme="minorHAnsi" w:hAnsiTheme="minorHAnsi" w:cstheme="minorHAnsi"/>
          <w:color w:val="0000FF"/>
        </w:rPr>
      </w:pPr>
    </w:p>
    <w:p w:rsidR="0057297E" w:rsidRPr="003C6219" w:rsidRDefault="000619B0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Has a minimum proficiency level (or ‘passing grade’</w:t>
      </w:r>
      <w:r w:rsidR="00EE463D" w:rsidRPr="003C6219">
        <w:rPr>
          <w:rFonts w:asciiTheme="minorHAnsi" w:hAnsiTheme="minorHAnsi" w:cstheme="minorHAnsi"/>
          <w:color w:val="0000FF"/>
        </w:rPr>
        <w:t>)</w:t>
      </w:r>
      <w:r w:rsidRPr="003C6219">
        <w:rPr>
          <w:rFonts w:asciiTheme="minorHAnsi" w:hAnsiTheme="minorHAnsi" w:cstheme="minorHAnsi"/>
          <w:color w:val="0000FF"/>
        </w:rPr>
        <w:t xml:space="preserve"> already been established for this screening</w:t>
      </w:r>
      <w:r w:rsidR="00764455" w:rsidRPr="003C6219">
        <w:rPr>
          <w:rFonts w:asciiTheme="minorHAnsi" w:hAnsiTheme="minorHAnsi" w:cstheme="minorHAnsi"/>
          <w:color w:val="0000FF"/>
        </w:rPr>
        <w:t>?</w:t>
      </w:r>
    </w:p>
    <w:p w:rsidR="00764455" w:rsidRPr="003C6219" w:rsidRDefault="00764455" w:rsidP="00764455">
      <w:pPr>
        <w:ind w:left="1080"/>
        <w:rPr>
          <w:rFonts w:asciiTheme="minorHAnsi" w:hAnsiTheme="minorHAnsi" w:cstheme="minorHAnsi"/>
          <w:color w:val="0000FF"/>
        </w:rPr>
      </w:pPr>
    </w:p>
    <w:p w:rsidR="0057297E" w:rsidRPr="003C6219" w:rsidRDefault="00FC2A28">
      <w:pPr>
        <w:ind w:left="720"/>
      </w:pPr>
      <w:r w:rsidRPr="003C6219">
        <w:t>Answer: A minimum proficiency level has not been established</w:t>
      </w:r>
      <w:r w:rsidR="00D70026" w:rsidRPr="003C6219">
        <w:t>.</w:t>
      </w:r>
    </w:p>
    <w:p w:rsidR="00764455" w:rsidRPr="003C6219" w:rsidRDefault="00764455" w:rsidP="00764455">
      <w:pPr>
        <w:ind w:left="720"/>
      </w:pPr>
    </w:p>
    <w:p w:rsidR="0057297E" w:rsidRPr="003C6219" w:rsidRDefault="00764455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O</w:t>
      </w:r>
      <w:r w:rsidR="000619B0" w:rsidRPr="003C6219">
        <w:rPr>
          <w:rFonts w:asciiTheme="minorHAnsi" w:hAnsiTheme="minorHAnsi" w:cstheme="minorHAnsi"/>
          <w:color w:val="0000FF"/>
        </w:rPr>
        <w:t xml:space="preserve">r must the vendor provide one? </w:t>
      </w:r>
    </w:p>
    <w:p w:rsidR="000619B0" w:rsidRPr="003C6219" w:rsidRDefault="000619B0" w:rsidP="00AA1E42">
      <w:pPr>
        <w:rPr>
          <w:rFonts w:asciiTheme="minorHAnsi" w:hAnsiTheme="minorHAnsi" w:cstheme="minorHAnsi"/>
          <w:color w:val="0000FF"/>
        </w:rPr>
      </w:pPr>
    </w:p>
    <w:p w:rsidR="00817FA1" w:rsidRPr="003C6219" w:rsidRDefault="00764455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A925A2" w:rsidRPr="003C6219">
        <w:rPr>
          <w:rFonts w:asciiTheme="minorHAnsi" w:hAnsiTheme="minorHAnsi" w:cstheme="minorHAnsi"/>
        </w:rPr>
        <w:t>As set forth in paragraph</w:t>
      </w:r>
      <w:r w:rsidR="005D0821" w:rsidRPr="003C6219">
        <w:rPr>
          <w:rFonts w:asciiTheme="minorHAnsi" w:hAnsiTheme="minorHAnsi" w:cstheme="minorHAnsi"/>
        </w:rPr>
        <w:t xml:space="preserve"> 7.1.5.2</w:t>
      </w:r>
      <w:r w:rsidR="00A925A2" w:rsidRPr="003C6219">
        <w:rPr>
          <w:rFonts w:asciiTheme="minorHAnsi" w:hAnsiTheme="minorHAnsi" w:cstheme="minorHAnsi"/>
        </w:rPr>
        <w:t xml:space="preserve"> of RFP Revision </w:t>
      </w:r>
      <w:r w:rsidR="003C6219">
        <w:rPr>
          <w:rFonts w:asciiTheme="minorHAnsi" w:hAnsiTheme="minorHAnsi" w:cstheme="minorHAnsi"/>
        </w:rPr>
        <w:t>2</w:t>
      </w:r>
      <w:r w:rsidR="00A925A2" w:rsidRPr="003C6219">
        <w:rPr>
          <w:rFonts w:asciiTheme="minorHAnsi" w:hAnsiTheme="minorHAnsi" w:cstheme="minorHAnsi"/>
        </w:rPr>
        <w:t xml:space="preserve"> </w:t>
      </w:r>
      <w:r w:rsidR="005D0821" w:rsidRPr="003C6219">
        <w:rPr>
          <w:rFonts w:asciiTheme="minorHAnsi" w:hAnsiTheme="minorHAnsi" w:cstheme="minorHAnsi"/>
        </w:rPr>
        <w:t>t</w:t>
      </w:r>
      <w:r w:rsidR="00397C6A" w:rsidRPr="003C6219">
        <w:rPr>
          <w:rFonts w:asciiTheme="minorHAnsi" w:hAnsiTheme="minorHAnsi" w:cstheme="minorHAnsi"/>
        </w:rPr>
        <w:t xml:space="preserve">he vendor </w:t>
      </w:r>
      <w:r w:rsidR="00CF649C" w:rsidRPr="003C6219">
        <w:rPr>
          <w:rFonts w:asciiTheme="minorHAnsi" w:hAnsiTheme="minorHAnsi" w:cstheme="minorHAnsi"/>
        </w:rPr>
        <w:t xml:space="preserve">must propose a method for </w:t>
      </w:r>
      <w:r w:rsidR="00397C6A" w:rsidRPr="003C6219">
        <w:rPr>
          <w:rFonts w:asciiTheme="minorHAnsi" w:hAnsiTheme="minorHAnsi" w:cstheme="minorHAnsi"/>
        </w:rPr>
        <w:t>establish</w:t>
      </w:r>
      <w:r w:rsidR="00CF649C" w:rsidRPr="003C6219">
        <w:rPr>
          <w:rFonts w:asciiTheme="minorHAnsi" w:hAnsiTheme="minorHAnsi" w:cstheme="minorHAnsi"/>
        </w:rPr>
        <w:t>ing</w:t>
      </w:r>
      <w:r w:rsidR="00397C6A" w:rsidRPr="003C6219">
        <w:rPr>
          <w:rFonts w:asciiTheme="minorHAnsi" w:hAnsiTheme="minorHAnsi" w:cstheme="minorHAnsi"/>
        </w:rPr>
        <w:t xml:space="preserve"> a minimum proficiency level on selected oral proficiency exams.</w:t>
      </w:r>
      <w:r w:rsidR="00C352E3" w:rsidRPr="003C6219">
        <w:rPr>
          <w:rFonts w:asciiTheme="minorHAnsi" w:hAnsiTheme="minorHAnsi" w:cstheme="minorHAnsi"/>
        </w:rPr>
        <w:t xml:space="preserve"> </w:t>
      </w:r>
      <w:r w:rsidR="00817FA1" w:rsidRPr="003C6219">
        <w:rPr>
          <w:rFonts w:asciiTheme="minorHAnsi" w:hAnsiTheme="minorHAnsi" w:cstheme="minorHAnsi"/>
        </w:rPr>
        <w:t>The</w:t>
      </w:r>
      <w:r w:rsidR="00CF649C" w:rsidRPr="003C6219">
        <w:rPr>
          <w:rFonts w:asciiTheme="minorHAnsi" w:hAnsiTheme="minorHAnsi" w:cstheme="minorHAnsi"/>
        </w:rPr>
        <w:t xml:space="preserve"> establishment of a minimum proficiency level, or “cut-score</w:t>
      </w:r>
      <w:r w:rsidR="008E7DDF" w:rsidRPr="003C6219">
        <w:rPr>
          <w:rFonts w:asciiTheme="minorHAnsi" w:hAnsiTheme="minorHAnsi" w:cstheme="minorHAnsi"/>
        </w:rPr>
        <w:t>,”</w:t>
      </w:r>
      <w:r w:rsidR="00CF649C" w:rsidRPr="003C6219">
        <w:rPr>
          <w:rFonts w:asciiTheme="minorHAnsi" w:hAnsiTheme="minorHAnsi" w:cstheme="minorHAnsi"/>
        </w:rPr>
        <w:t xml:space="preserve"> should ensu</w:t>
      </w:r>
      <w:r w:rsidR="008E7DDF" w:rsidRPr="003C6219">
        <w:rPr>
          <w:rFonts w:asciiTheme="minorHAnsi" w:hAnsiTheme="minorHAnsi" w:cstheme="minorHAnsi"/>
        </w:rPr>
        <w:t>r</w:t>
      </w:r>
      <w:r w:rsidR="00CF649C" w:rsidRPr="003C6219">
        <w:rPr>
          <w:rFonts w:asciiTheme="minorHAnsi" w:hAnsiTheme="minorHAnsi" w:cstheme="minorHAnsi"/>
        </w:rPr>
        <w:t xml:space="preserve">e functional equivalence with the </w:t>
      </w:r>
      <w:r w:rsidR="008E7DDF" w:rsidRPr="003C6219">
        <w:rPr>
          <w:rFonts w:asciiTheme="minorHAnsi" w:hAnsiTheme="minorHAnsi" w:cstheme="minorHAnsi"/>
        </w:rPr>
        <w:t>minimum standards of competence required for the English-only oral proficiency</w:t>
      </w:r>
      <w:r w:rsidR="00A80BFE" w:rsidRPr="003C6219">
        <w:rPr>
          <w:rFonts w:asciiTheme="minorHAnsi" w:hAnsiTheme="minorHAnsi" w:cstheme="minorHAnsi"/>
        </w:rPr>
        <w:t xml:space="preserve"> exam</w:t>
      </w:r>
      <w:r w:rsidR="008E7DDF" w:rsidRPr="003C6219">
        <w:rPr>
          <w:rFonts w:asciiTheme="minorHAnsi" w:hAnsiTheme="minorHAnsi" w:cstheme="minorHAnsi"/>
        </w:rPr>
        <w:t xml:space="preserve"> currently used with Registered interpreters.  </w:t>
      </w:r>
      <w:r w:rsidR="005B4357" w:rsidRPr="003C6219">
        <w:rPr>
          <w:rFonts w:asciiTheme="minorHAnsi" w:hAnsiTheme="minorHAnsi" w:cstheme="minorHAnsi"/>
        </w:rPr>
        <w:t xml:space="preserve">  For complete information on the minimum standards of competence required for the English-only oral proficiency exam currently used for Registered interpreters, please see Attachment</w:t>
      </w:r>
      <w:r w:rsidR="00D6671D" w:rsidRPr="003C6219">
        <w:rPr>
          <w:rFonts w:asciiTheme="minorHAnsi" w:hAnsiTheme="minorHAnsi" w:cstheme="minorHAnsi"/>
        </w:rPr>
        <w:t xml:space="preserve"> 10</w:t>
      </w:r>
      <w:r w:rsidR="00BB0599" w:rsidRPr="003C6219">
        <w:rPr>
          <w:rFonts w:asciiTheme="minorHAnsi" w:hAnsiTheme="minorHAnsi" w:cstheme="minorHAnsi"/>
        </w:rPr>
        <w:t>.</w:t>
      </w:r>
      <w:r w:rsidR="00817FA1" w:rsidRPr="003C6219">
        <w:rPr>
          <w:rFonts w:asciiTheme="minorHAnsi" w:hAnsiTheme="minorHAnsi" w:cstheme="minorHAnsi"/>
        </w:rPr>
        <w:t xml:space="preserve">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E107AA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Can a vendor </w:t>
      </w:r>
      <w:r w:rsidR="000619B0" w:rsidRPr="003C6219">
        <w:rPr>
          <w:rFonts w:asciiTheme="minorHAnsi" w:hAnsiTheme="minorHAnsi" w:cstheme="minorHAnsi"/>
          <w:color w:val="0000FF"/>
        </w:rPr>
        <w:t xml:space="preserve">bid on </w:t>
      </w:r>
      <w:r w:rsidRPr="003C6219">
        <w:rPr>
          <w:rFonts w:asciiTheme="minorHAnsi" w:hAnsiTheme="minorHAnsi" w:cstheme="minorHAnsi"/>
          <w:color w:val="0000FF"/>
        </w:rPr>
        <w:t xml:space="preserve">a </w:t>
      </w:r>
      <w:r w:rsidR="000619B0" w:rsidRPr="003C6219">
        <w:rPr>
          <w:rFonts w:asciiTheme="minorHAnsi" w:hAnsiTheme="minorHAnsi" w:cstheme="minorHAnsi"/>
          <w:color w:val="0000FF"/>
        </w:rPr>
        <w:t>portion of the RFP?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97984" w:rsidRPr="003C6219" w:rsidRDefault="00AA1E42" w:rsidP="00A47985">
      <w:pPr>
        <w:widowControl w:val="0"/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E107AA" w:rsidRPr="003C6219">
        <w:rPr>
          <w:rFonts w:asciiTheme="minorHAnsi" w:hAnsiTheme="minorHAnsi" w:cstheme="minorHAnsi"/>
        </w:rPr>
        <w:t xml:space="preserve"> </w:t>
      </w:r>
      <w:r w:rsidR="009C66F1" w:rsidRPr="003C6219">
        <w:rPr>
          <w:rFonts w:asciiTheme="minorHAnsi" w:hAnsiTheme="minorHAnsi" w:cstheme="minorHAnsi"/>
        </w:rPr>
        <w:t>A v</w:t>
      </w:r>
      <w:r w:rsidR="00E107AA" w:rsidRPr="003C6219">
        <w:rPr>
          <w:rFonts w:asciiTheme="minorHAnsi" w:hAnsiTheme="minorHAnsi" w:cstheme="minorHAnsi"/>
        </w:rPr>
        <w:t>endor</w:t>
      </w:r>
      <w:r w:rsidR="009C66F1" w:rsidRPr="003C6219">
        <w:rPr>
          <w:rFonts w:asciiTheme="minorHAnsi" w:hAnsiTheme="minorHAnsi" w:cstheme="minorHAnsi"/>
        </w:rPr>
        <w:t xml:space="preserve"> must </w:t>
      </w:r>
      <w:r w:rsidR="00C10A3D" w:rsidRPr="003C6219">
        <w:rPr>
          <w:rFonts w:asciiTheme="minorHAnsi" w:hAnsiTheme="minorHAnsi" w:cstheme="minorHAnsi"/>
        </w:rPr>
        <w:t>propose on</w:t>
      </w:r>
      <w:r w:rsidR="009C66F1" w:rsidRPr="003C6219">
        <w:rPr>
          <w:rFonts w:asciiTheme="minorHAnsi" w:hAnsiTheme="minorHAnsi" w:cstheme="minorHAnsi"/>
        </w:rPr>
        <w:t xml:space="preserve"> all parts of the RFP in its proposal</w:t>
      </w:r>
      <w:r w:rsidR="0099139E" w:rsidRPr="003C6219">
        <w:rPr>
          <w:rFonts w:asciiTheme="minorHAnsi" w:hAnsiTheme="minorHAnsi" w:cstheme="minorHAnsi"/>
        </w:rPr>
        <w:t>.</w:t>
      </w:r>
      <w:r w:rsidR="009C66F1" w:rsidRPr="003C6219">
        <w:rPr>
          <w:rFonts w:asciiTheme="minorHAnsi" w:hAnsiTheme="minorHAnsi" w:cstheme="minorHAnsi"/>
        </w:rPr>
        <w:t xml:space="preserve"> </w:t>
      </w:r>
      <w:r w:rsidR="00C10A3D" w:rsidRPr="003C6219">
        <w:rPr>
          <w:rFonts w:asciiTheme="minorHAnsi" w:hAnsiTheme="minorHAnsi" w:cstheme="minorHAnsi"/>
        </w:rPr>
        <w:t>A</w:t>
      </w:r>
      <w:r w:rsidR="00E107AA" w:rsidRPr="003C6219">
        <w:rPr>
          <w:rFonts w:asciiTheme="minorHAnsi" w:hAnsiTheme="minorHAnsi" w:cstheme="minorHAnsi"/>
        </w:rPr>
        <w:t xml:space="preserve"> vendor may subcontract services as set forth in Attachment 2, </w:t>
      </w:r>
      <w:r w:rsidR="001B3C0B" w:rsidRPr="003C6219">
        <w:rPr>
          <w:rFonts w:asciiTheme="minorHAnsi" w:hAnsiTheme="minorHAnsi" w:cstheme="minorHAnsi"/>
          <w:bCs/>
        </w:rPr>
        <w:t xml:space="preserve">AOC Standard Terms and Conditions Revision 2, </w:t>
      </w:r>
      <w:r w:rsidR="009C66F1" w:rsidRPr="003C6219">
        <w:rPr>
          <w:rFonts w:asciiTheme="minorHAnsi" w:hAnsiTheme="minorHAnsi" w:cstheme="minorHAnsi"/>
        </w:rPr>
        <w:t>Exhibit C, Paragraph 19, entitled “Subcontracting”</w:t>
      </w:r>
      <w:r w:rsidR="00FC7AB4" w:rsidRPr="003C6219">
        <w:rPr>
          <w:rFonts w:asciiTheme="minorHAnsi" w:hAnsiTheme="minorHAnsi" w:cstheme="minorHAnsi"/>
        </w:rPr>
        <w:t>, but must be proposed in the vendor’s proposal</w:t>
      </w:r>
      <w:r w:rsidR="009C66F1" w:rsidRPr="003C6219">
        <w:rPr>
          <w:rFonts w:asciiTheme="minorHAnsi" w:hAnsiTheme="minorHAnsi" w:cstheme="minorHAnsi"/>
        </w:rPr>
        <w:t>.</w:t>
      </w:r>
    </w:p>
    <w:p w:rsidR="00A97984" w:rsidRPr="003C6219" w:rsidRDefault="00A97984" w:rsidP="00A47985">
      <w:pPr>
        <w:widowControl w:val="0"/>
        <w:ind w:left="720"/>
        <w:rPr>
          <w:rFonts w:asciiTheme="minorHAnsi" w:hAnsiTheme="minorHAnsi" w:cstheme="minorHAnsi"/>
        </w:rPr>
      </w:pP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Is the OPS administered on demand?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37596E" w:rsidRPr="003C6219" w:rsidRDefault="00AA1E42" w:rsidP="0037596E">
      <w:pPr>
        <w:pStyle w:val="ExhibitC2"/>
        <w:numPr>
          <w:ilvl w:val="0"/>
          <w:numId w:val="0"/>
        </w:numPr>
        <w:tabs>
          <w:tab w:val="left" w:pos="720"/>
        </w:tabs>
        <w:ind w:left="720"/>
        <w:rPr>
          <w:bCs/>
          <w:noProof w:val="0"/>
          <w:szCs w:val="24"/>
        </w:rPr>
      </w:pPr>
      <w:r w:rsidRPr="003C6219">
        <w:rPr>
          <w:bCs/>
          <w:noProof w:val="0"/>
          <w:szCs w:val="24"/>
        </w:rPr>
        <w:t xml:space="preserve">Answer: </w:t>
      </w:r>
      <w:r w:rsidR="00382F6E" w:rsidRPr="003C6219">
        <w:rPr>
          <w:bCs/>
          <w:noProof w:val="0"/>
          <w:szCs w:val="24"/>
        </w:rPr>
        <w:t xml:space="preserve">The </w:t>
      </w:r>
      <w:r w:rsidR="001B3C0B" w:rsidRPr="003C6219">
        <w:rPr>
          <w:bCs/>
          <w:noProof w:val="0"/>
          <w:szCs w:val="24"/>
        </w:rPr>
        <w:t xml:space="preserve">AOC prefers to have the scheduling of </w:t>
      </w:r>
      <w:r w:rsidR="00382F6E" w:rsidRPr="003C6219">
        <w:rPr>
          <w:bCs/>
          <w:noProof w:val="0"/>
          <w:szCs w:val="24"/>
        </w:rPr>
        <w:t xml:space="preserve">OPS on demand. </w:t>
      </w:r>
      <w:r w:rsidR="00A97984" w:rsidRPr="003C6219">
        <w:rPr>
          <w:bCs/>
          <w:noProof w:val="0"/>
          <w:szCs w:val="24"/>
        </w:rPr>
        <w:t xml:space="preserve">As set forth in </w:t>
      </w:r>
      <w:r w:rsidR="0037596E" w:rsidRPr="003C6219">
        <w:rPr>
          <w:bCs/>
          <w:noProof w:val="0"/>
          <w:szCs w:val="24"/>
        </w:rPr>
        <w:t xml:space="preserve">Attachment 2, AOC Standard Terms and Conditions Revision </w:t>
      </w:r>
      <w:r w:rsidR="00A97984" w:rsidRPr="003C6219">
        <w:rPr>
          <w:bCs/>
          <w:noProof w:val="0"/>
          <w:szCs w:val="24"/>
        </w:rPr>
        <w:t>2</w:t>
      </w:r>
      <w:r w:rsidR="0037596E" w:rsidRPr="003C6219">
        <w:rPr>
          <w:bCs/>
          <w:noProof w:val="0"/>
          <w:szCs w:val="24"/>
        </w:rPr>
        <w:t xml:space="preserve">, </w:t>
      </w:r>
      <w:r w:rsidR="00A97984" w:rsidRPr="003C6219">
        <w:rPr>
          <w:bCs/>
          <w:noProof w:val="0"/>
          <w:szCs w:val="24"/>
        </w:rPr>
        <w:t xml:space="preserve">Exhibit A, </w:t>
      </w:r>
      <w:r w:rsidR="004A6848" w:rsidRPr="003C6219">
        <w:rPr>
          <w:bCs/>
          <w:noProof w:val="0"/>
          <w:szCs w:val="24"/>
        </w:rPr>
        <w:t>paragraph</w:t>
      </w:r>
      <w:r w:rsidR="0037596E" w:rsidRPr="003C6219">
        <w:rPr>
          <w:bCs/>
          <w:noProof w:val="0"/>
          <w:szCs w:val="24"/>
        </w:rPr>
        <w:t xml:space="preserve"> 2.6.1.1: Bilingual oral proficiency screening exams should be administered at least twice per calendar year, but preferably on demand.</w:t>
      </w:r>
    </w:p>
    <w:p w:rsidR="0037596E" w:rsidRPr="003C6219" w:rsidRDefault="0037596E" w:rsidP="0037596E">
      <w:pPr>
        <w:pStyle w:val="ExhibitC2"/>
        <w:numPr>
          <w:ilvl w:val="0"/>
          <w:numId w:val="0"/>
        </w:numPr>
        <w:tabs>
          <w:tab w:val="left" w:pos="720"/>
        </w:tabs>
        <w:ind w:left="720"/>
        <w:rPr>
          <w:bCs/>
          <w:noProof w:val="0"/>
          <w:szCs w:val="24"/>
        </w:rPr>
      </w:pPr>
    </w:p>
    <w:p w:rsidR="00382F6E" w:rsidRPr="003C6219" w:rsidRDefault="00382F6E" w:rsidP="00382F6E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Does [the OPS] need to be administered in a proctored environment?</w:t>
      </w:r>
    </w:p>
    <w:p w:rsidR="00382F6E" w:rsidRPr="003C6219" w:rsidRDefault="00382F6E" w:rsidP="00382F6E">
      <w:pPr>
        <w:ind w:left="360"/>
        <w:rPr>
          <w:rFonts w:asciiTheme="minorHAnsi" w:hAnsiTheme="minorHAnsi" w:cstheme="minorHAnsi"/>
          <w:color w:val="0000FF"/>
        </w:rPr>
      </w:pPr>
    </w:p>
    <w:p w:rsidR="0037596E" w:rsidRPr="003C6219" w:rsidRDefault="004A6848" w:rsidP="0037596E">
      <w:pPr>
        <w:widowControl w:val="0"/>
        <w:ind w:left="720"/>
        <w:rPr>
          <w:bCs/>
        </w:rPr>
      </w:pPr>
      <w:r w:rsidRPr="003C6219">
        <w:rPr>
          <w:bCs/>
        </w:rPr>
        <w:t xml:space="preserve">Answer: </w:t>
      </w:r>
      <w:r w:rsidR="001B3C0B" w:rsidRPr="003C6219">
        <w:rPr>
          <w:bCs/>
        </w:rPr>
        <w:t>Not necessarily</w:t>
      </w:r>
      <w:r w:rsidR="0057297E" w:rsidRPr="003C6219">
        <w:rPr>
          <w:bCs/>
        </w:rPr>
        <w:t>, however the</w:t>
      </w:r>
      <w:r w:rsidR="001B3C0B" w:rsidRPr="003C6219">
        <w:rPr>
          <w:bCs/>
        </w:rPr>
        <w:t xml:space="preserve"> vendor should have security measures in place to verify the identity of the candidate, as well as ensure the integrity and confidentiality of the program.</w:t>
      </w:r>
      <w:r w:rsidR="00D70026" w:rsidRPr="003C6219">
        <w:rPr>
          <w:bCs/>
        </w:rPr>
        <w:t xml:space="preserve"> </w:t>
      </w:r>
      <w:r w:rsidR="001B3C0B" w:rsidRPr="003C6219">
        <w:rPr>
          <w:bCs/>
        </w:rPr>
        <w:t xml:space="preserve"> As set forth in the RFP, </w:t>
      </w:r>
      <w:r w:rsidR="00550CC0" w:rsidRPr="003C6219">
        <w:rPr>
          <w:bCs/>
        </w:rPr>
        <w:t>Section 9.10</w:t>
      </w:r>
      <w:r w:rsidRPr="003C6219">
        <w:rPr>
          <w:bCs/>
        </w:rPr>
        <w:t>, S</w:t>
      </w:r>
      <w:r w:rsidR="00550CC0" w:rsidRPr="003C6219">
        <w:rPr>
          <w:bCs/>
        </w:rPr>
        <w:t xml:space="preserve">ervice Provider should have security procedures to ensure integrity and confidentiality of the testing program and its security from unauthorized access; and </w:t>
      </w:r>
      <w:bookmarkStart w:id="0" w:name="_Ref311117890"/>
      <w:r w:rsidR="00550CC0" w:rsidRPr="003C6219">
        <w:rPr>
          <w:bCs/>
        </w:rPr>
        <w:t>a contingency plan for documenting steps to be taken in the event that test security is compromised.</w:t>
      </w:r>
      <w:bookmarkEnd w:id="0"/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Would </w:t>
      </w:r>
      <w:r w:rsidR="00C10A3D" w:rsidRPr="003C6219">
        <w:rPr>
          <w:rFonts w:asciiTheme="minorHAnsi" w:hAnsiTheme="minorHAnsi" w:cstheme="minorHAnsi"/>
          <w:color w:val="0000FF"/>
        </w:rPr>
        <w:t>the AOC</w:t>
      </w:r>
      <w:r w:rsidRPr="003C6219">
        <w:rPr>
          <w:rFonts w:asciiTheme="minorHAnsi" w:hAnsiTheme="minorHAnsi" w:cstheme="minorHAnsi"/>
          <w:color w:val="0000FF"/>
        </w:rPr>
        <w:t xml:space="preserve"> be open to considering solutions that incorporate automated testing (telephone and computer based)?</w:t>
      </w:r>
    </w:p>
    <w:p w:rsidR="0037596E" w:rsidRPr="003C6219" w:rsidRDefault="0037596E" w:rsidP="0037596E">
      <w:pPr>
        <w:rPr>
          <w:rFonts w:asciiTheme="minorHAnsi" w:hAnsiTheme="minorHAnsi" w:cstheme="minorHAnsi"/>
          <w:color w:val="0000FF"/>
        </w:rPr>
      </w:pPr>
    </w:p>
    <w:p w:rsidR="0037596E" w:rsidRPr="003C6219" w:rsidRDefault="0037596E" w:rsidP="004A6848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 </w:t>
      </w:r>
      <w:r w:rsidR="001B3C0B" w:rsidRPr="003C6219">
        <w:rPr>
          <w:rFonts w:asciiTheme="minorHAnsi" w:hAnsiTheme="minorHAnsi" w:cstheme="minorHAnsi"/>
        </w:rPr>
        <w:t>Yes.</w:t>
      </w:r>
      <w:r w:rsidR="00D70026" w:rsidRPr="003C6219">
        <w:rPr>
          <w:rFonts w:asciiTheme="minorHAnsi" w:hAnsiTheme="minorHAnsi" w:cstheme="minorHAnsi"/>
        </w:rPr>
        <w:t xml:space="preserve"> See </w:t>
      </w:r>
      <w:r w:rsidR="004A6848" w:rsidRPr="003C6219">
        <w:rPr>
          <w:rFonts w:asciiTheme="minorHAnsi" w:hAnsiTheme="minorHAnsi" w:cstheme="minorHAnsi"/>
          <w:bCs/>
        </w:rPr>
        <w:t xml:space="preserve">Attachment 2, AOC Standard Terms and Conditions, Revision 2, Exhibit A, </w:t>
      </w:r>
      <w:r w:rsidR="0009442B" w:rsidRPr="003C6219">
        <w:rPr>
          <w:rFonts w:asciiTheme="minorHAnsi" w:hAnsiTheme="minorHAnsi" w:cstheme="minorHAnsi"/>
        </w:rPr>
        <w:t>paragraph</w:t>
      </w:r>
      <w:r w:rsidR="00D70026" w:rsidRPr="003C6219">
        <w:rPr>
          <w:rFonts w:asciiTheme="minorHAnsi" w:hAnsiTheme="minorHAnsi" w:cstheme="minorHAnsi"/>
        </w:rPr>
        <w:t xml:space="preserve"> 2.6.1</w:t>
      </w:r>
      <w:r w:rsidR="0009442B" w:rsidRPr="003C6219">
        <w:rPr>
          <w:rFonts w:asciiTheme="minorHAnsi" w:hAnsiTheme="minorHAnsi" w:cstheme="minorHAnsi"/>
        </w:rPr>
        <w:t>.</w:t>
      </w:r>
      <w:r w:rsidR="00D70026" w:rsidRPr="003C6219">
        <w:rPr>
          <w:rFonts w:asciiTheme="minorHAnsi" w:hAnsiTheme="minorHAnsi" w:cstheme="minorHAnsi"/>
        </w:rPr>
        <w:t>1</w:t>
      </w:r>
      <w:r w:rsidR="004A6848" w:rsidRPr="003C6219">
        <w:rPr>
          <w:rFonts w:asciiTheme="minorHAnsi" w:hAnsiTheme="minorHAnsi" w:cstheme="minorHAnsi"/>
        </w:rPr>
        <w:t>.</w:t>
      </w:r>
    </w:p>
    <w:p w:rsidR="000619B0" w:rsidRPr="003C6219" w:rsidRDefault="000619B0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 Regarding RFP Attachment 2, Exhibit A, Paragraph 2.4.2:  How much time is permitted for the written exam?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397C6A" w:rsidRPr="003C6219">
        <w:rPr>
          <w:rFonts w:asciiTheme="minorHAnsi" w:hAnsiTheme="minorHAnsi" w:cstheme="minorHAnsi"/>
        </w:rPr>
        <w:t xml:space="preserve">Candidates are allowed two hours and fifteen minutes to complete the written exam.  For more information, please see the following Written Exam Overview:  </w:t>
      </w:r>
      <w:hyperlink r:id="rId9" w:history="1">
        <w:r w:rsidR="0089619C" w:rsidRPr="003C6219">
          <w:rPr>
            <w:rStyle w:val="Hyperlink"/>
            <w:rFonts w:asciiTheme="minorHAnsi" w:hAnsiTheme="minorHAnsi" w:cstheme="minorHAnsi"/>
          </w:rPr>
          <w:t>http://www.courts.ca.gov/documents/written-exam-overview.pdf</w:t>
        </w:r>
      </w:hyperlink>
      <w:r w:rsidR="00397C6A" w:rsidRPr="003C6219">
        <w:rPr>
          <w:rFonts w:asciiTheme="minorHAnsi" w:hAnsiTheme="minorHAnsi" w:cstheme="minorHAnsi"/>
        </w:rPr>
        <w:t>.</w:t>
      </w:r>
      <w:r w:rsidR="001721A3" w:rsidRPr="003C6219">
        <w:rPr>
          <w:rFonts w:asciiTheme="minorHAnsi" w:hAnsiTheme="minorHAnsi" w:cstheme="minorHAnsi"/>
        </w:rPr>
        <w:t xml:space="preserve">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 2.5.1: How much time is permitted for the oral exam?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E008B0" w:rsidRPr="003C6219">
        <w:rPr>
          <w:rFonts w:asciiTheme="minorHAnsi" w:hAnsiTheme="minorHAnsi" w:cstheme="minorHAnsi"/>
        </w:rPr>
        <w:t xml:space="preserve"> As set forth in </w:t>
      </w:r>
      <w:r w:rsidR="00537CF1" w:rsidRPr="003C6219">
        <w:rPr>
          <w:rFonts w:asciiTheme="minorHAnsi" w:hAnsiTheme="minorHAnsi" w:cstheme="minorHAnsi"/>
        </w:rPr>
        <w:t xml:space="preserve">RFP Attachment 2, Exhibit A, </w:t>
      </w:r>
      <w:r w:rsidR="00E008B0" w:rsidRPr="003C6219">
        <w:rPr>
          <w:rFonts w:asciiTheme="minorHAnsi" w:hAnsiTheme="minorHAnsi" w:cstheme="minorHAnsi"/>
        </w:rPr>
        <w:t>Paragraph</w:t>
      </w:r>
      <w:r w:rsidR="00537CF1" w:rsidRPr="003C6219">
        <w:rPr>
          <w:rFonts w:asciiTheme="minorHAnsi" w:hAnsiTheme="minorHAnsi" w:cstheme="minorHAnsi"/>
        </w:rPr>
        <w:t>s</w:t>
      </w:r>
      <w:r w:rsidR="00E008B0" w:rsidRPr="003C6219">
        <w:rPr>
          <w:rFonts w:asciiTheme="minorHAnsi" w:hAnsiTheme="minorHAnsi" w:cstheme="minorHAnsi"/>
        </w:rPr>
        <w:t xml:space="preserve"> 2.5.1.4 and 2.5</w:t>
      </w:r>
      <w:r w:rsidR="005A6CBB" w:rsidRPr="003C6219">
        <w:rPr>
          <w:rFonts w:asciiTheme="minorHAnsi" w:hAnsiTheme="minorHAnsi" w:cstheme="minorHAnsi"/>
        </w:rPr>
        <w:t xml:space="preserve">.1.5 as revised per Addendum </w:t>
      </w:r>
      <w:r w:rsidR="00537CF1" w:rsidRPr="003C6219">
        <w:rPr>
          <w:rFonts w:asciiTheme="minorHAnsi" w:hAnsiTheme="minorHAnsi" w:cstheme="minorHAnsi"/>
        </w:rPr>
        <w:t>3</w:t>
      </w:r>
      <w:r w:rsidR="00397C6A" w:rsidRPr="003C6219">
        <w:rPr>
          <w:rFonts w:asciiTheme="minorHAnsi" w:hAnsiTheme="minorHAnsi" w:cstheme="minorHAnsi"/>
        </w:rPr>
        <w:t>:</w:t>
      </w:r>
    </w:p>
    <w:p w:rsidR="00397C6A" w:rsidRPr="003C6219" w:rsidRDefault="00397C6A" w:rsidP="0089619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Sight Translation (English-Foreign Language) </w:t>
      </w:r>
      <w:r w:rsidR="00ED16CA" w:rsidRPr="003C6219">
        <w:rPr>
          <w:rFonts w:asciiTheme="minorHAnsi" w:hAnsiTheme="minorHAnsi" w:cstheme="minorHAnsi"/>
        </w:rPr>
        <w:t>–</w:t>
      </w:r>
      <w:r w:rsidRPr="003C6219">
        <w:rPr>
          <w:rFonts w:asciiTheme="minorHAnsi" w:hAnsiTheme="minorHAnsi" w:cstheme="minorHAnsi"/>
        </w:rPr>
        <w:t xml:space="preserve"> </w:t>
      </w:r>
      <w:r w:rsidR="00ED16CA" w:rsidRPr="003C6219">
        <w:rPr>
          <w:rFonts w:asciiTheme="minorHAnsi" w:hAnsiTheme="minorHAnsi" w:cstheme="minorHAnsi"/>
        </w:rPr>
        <w:t>the examinee is allowed six minutes to complete this part of the exam.</w:t>
      </w:r>
    </w:p>
    <w:p w:rsidR="00ED16CA" w:rsidRPr="003C6219" w:rsidRDefault="00ED16CA" w:rsidP="0089619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>Sight Translation (Foreign Language – English) – the examinee is allowed six minutes to complete this part of the exam.</w:t>
      </w:r>
    </w:p>
    <w:p w:rsidR="0089619C" w:rsidRPr="003C6219" w:rsidRDefault="0089619C" w:rsidP="0089619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>Consecutive Interpreting – this part of the exam takes approximately twenty-two minutes, including preparation and instructions.</w:t>
      </w:r>
    </w:p>
    <w:p w:rsidR="0089619C" w:rsidRPr="003C6219" w:rsidRDefault="0089619C" w:rsidP="0089619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>Simultaneous Interpreting – this part is approximately seven minutes long</w:t>
      </w:r>
      <w:r w:rsidR="00CE2267" w:rsidRPr="003C6219">
        <w:rPr>
          <w:rFonts w:asciiTheme="minorHAnsi" w:hAnsiTheme="minorHAnsi" w:cstheme="minorHAnsi"/>
        </w:rPr>
        <w:t>.</w:t>
      </w:r>
    </w:p>
    <w:p w:rsidR="00E008B0" w:rsidRPr="003C6219" w:rsidRDefault="00E008B0" w:rsidP="00E008B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The English-only oral proficiency exam currently used for registered status takes approximately </w:t>
      </w:r>
      <w:r w:rsidR="0094309E" w:rsidRPr="003C6219">
        <w:rPr>
          <w:rFonts w:asciiTheme="minorHAnsi" w:hAnsiTheme="minorHAnsi" w:cstheme="minorHAnsi"/>
        </w:rPr>
        <w:t>35</w:t>
      </w:r>
      <w:r w:rsidRPr="003C6219">
        <w:rPr>
          <w:rFonts w:asciiTheme="minorHAnsi" w:hAnsiTheme="minorHAnsi" w:cstheme="minorHAnsi"/>
        </w:rPr>
        <w:t>minutes</w:t>
      </w:r>
      <w:r w:rsidR="0094309E" w:rsidRPr="003C6219">
        <w:rPr>
          <w:rFonts w:asciiTheme="minorHAnsi" w:hAnsiTheme="minorHAnsi" w:cstheme="minorHAnsi"/>
        </w:rPr>
        <w:t>, as indicated in 1.3.4 of the RFP.</w:t>
      </w:r>
    </w:p>
    <w:p w:rsidR="0089619C" w:rsidRPr="003C6219" w:rsidRDefault="0089619C" w:rsidP="0089619C">
      <w:pPr>
        <w:rPr>
          <w:rFonts w:asciiTheme="minorHAnsi" w:hAnsiTheme="minorHAnsi" w:cstheme="minorHAnsi"/>
          <w:color w:val="0000FF"/>
        </w:rPr>
      </w:pPr>
    </w:p>
    <w:p w:rsidR="0089619C" w:rsidRPr="003C6219" w:rsidRDefault="0089619C" w:rsidP="004A6848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For more information on the oral interpreting exam, please see the following Oral Exam Overview:  </w:t>
      </w:r>
      <w:hyperlink r:id="rId10" w:history="1">
        <w:r w:rsidRPr="003C6219">
          <w:rPr>
            <w:rStyle w:val="Hyperlink"/>
            <w:rFonts w:asciiTheme="minorHAnsi" w:hAnsiTheme="minorHAnsi" w:cstheme="minorHAnsi"/>
          </w:rPr>
          <w:t>http://www.courts.ca.gov/documents/overview-oralexam.docx</w:t>
        </w:r>
      </w:hyperlink>
    </w:p>
    <w:p w:rsidR="0089619C" w:rsidRPr="003C6219" w:rsidRDefault="0089619C" w:rsidP="0089619C">
      <w:pPr>
        <w:rPr>
          <w:rFonts w:asciiTheme="minorHAnsi" w:hAnsiTheme="minorHAnsi" w:cstheme="minorHAnsi"/>
          <w:color w:val="0000FF"/>
        </w:rPr>
      </w:pPr>
    </w:p>
    <w:p w:rsidR="0089619C" w:rsidRPr="003C6219" w:rsidRDefault="0089619C" w:rsidP="0089619C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 2.5.4 (page A-10): What is the Consortium (or average) rate of pay for a rater, lead rater and rater supervisor?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</w:p>
    <w:p w:rsidR="00A26A2B" w:rsidRPr="003C6219" w:rsidRDefault="00A26A2B" w:rsidP="00D74207">
      <w:pPr>
        <w:rPr>
          <w:rFonts w:asciiTheme="minorHAnsi" w:hAnsiTheme="minorHAnsi" w:cstheme="minorHAnsi"/>
          <w:color w:val="0000FF"/>
        </w:rPr>
      </w:pPr>
    </w:p>
    <w:p w:rsidR="00A26A2B" w:rsidRPr="003C6219" w:rsidRDefault="005A6CBB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Please contact the </w:t>
      </w:r>
      <w:r w:rsidR="00F9118C" w:rsidRPr="003C6219">
        <w:rPr>
          <w:rFonts w:asciiTheme="minorHAnsi" w:hAnsiTheme="minorHAnsi" w:cstheme="minorHAnsi"/>
        </w:rPr>
        <w:t xml:space="preserve">NCSC/Consortium </w:t>
      </w:r>
      <w:r w:rsidRPr="003C6219">
        <w:rPr>
          <w:rFonts w:asciiTheme="minorHAnsi" w:hAnsiTheme="minorHAnsi" w:cstheme="minorHAnsi"/>
        </w:rPr>
        <w:t xml:space="preserve">to obtain rates. </w:t>
      </w:r>
      <w:r w:rsidR="00A26A2B" w:rsidRPr="003C6219">
        <w:rPr>
          <w:rFonts w:asciiTheme="minorHAnsi" w:hAnsiTheme="minorHAnsi" w:cstheme="minorHAnsi"/>
        </w:rPr>
        <w:t xml:space="preserve">The selected service provider </w:t>
      </w:r>
      <w:r w:rsidR="00D70026" w:rsidRPr="003C6219">
        <w:rPr>
          <w:rFonts w:asciiTheme="minorHAnsi" w:hAnsiTheme="minorHAnsi" w:cstheme="minorHAnsi"/>
        </w:rPr>
        <w:t>must</w:t>
      </w:r>
      <w:r w:rsidR="00A26A2B" w:rsidRPr="003C6219">
        <w:rPr>
          <w:rFonts w:asciiTheme="minorHAnsi" w:hAnsiTheme="minorHAnsi" w:cstheme="minorHAnsi"/>
        </w:rPr>
        <w:t xml:space="preserve"> </w:t>
      </w:r>
      <w:r w:rsidR="00D70026" w:rsidRPr="003C6219">
        <w:rPr>
          <w:rFonts w:asciiTheme="minorHAnsi" w:hAnsiTheme="minorHAnsi" w:cstheme="minorHAnsi"/>
        </w:rPr>
        <w:t>use</w:t>
      </w:r>
      <w:r w:rsidR="00A26A2B" w:rsidRPr="003C6219">
        <w:rPr>
          <w:rFonts w:asciiTheme="minorHAnsi" w:hAnsiTheme="minorHAnsi" w:cstheme="minorHAnsi"/>
        </w:rPr>
        <w:t xml:space="preserve"> NCSC/Consortium- approved raters as set forth in </w:t>
      </w:r>
      <w:r w:rsidR="004A6848" w:rsidRPr="003C6219">
        <w:rPr>
          <w:rFonts w:asciiTheme="minorHAnsi" w:hAnsiTheme="minorHAnsi" w:cstheme="minorHAnsi"/>
          <w:bCs/>
        </w:rPr>
        <w:t xml:space="preserve">Attachment 2, AOC Standard Terms and Conditions, Revision 2, Exhibit A, </w:t>
      </w:r>
      <w:r w:rsidR="004A6848" w:rsidRPr="003C6219">
        <w:rPr>
          <w:rFonts w:asciiTheme="minorHAnsi" w:hAnsiTheme="minorHAnsi" w:cstheme="minorHAnsi"/>
        </w:rPr>
        <w:t>paragraph</w:t>
      </w:r>
      <w:r w:rsidR="00D70026" w:rsidRPr="003C6219">
        <w:rPr>
          <w:rFonts w:asciiTheme="minorHAnsi" w:hAnsiTheme="minorHAnsi" w:cstheme="minorHAnsi"/>
        </w:rPr>
        <w:t xml:space="preserve"> 2.5.4.2.5.</w:t>
      </w:r>
    </w:p>
    <w:p w:rsidR="00A26A2B" w:rsidRPr="003C6219" w:rsidRDefault="00A26A2B" w:rsidP="00D74207">
      <w:pPr>
        <w:rPr>
          <w:rFonts w:asciiTheme="minorHAnsi" w:hAnsiTheme="minorHAnsi" w:cstheme="minorHAnsi"/>
          <w:color w:val="0000FF"/>
        </w:rPr>
      </w:pPr>
    </w:p>
    <w:p w:rsidR="00450BAE" w:rsidRPr="003C6219" w:rsidRDefault="00450BAE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>For more information on the rating process, please see the NCSC/Consortium Test Rating Manual:  http://www.ncsconline.org/D_Research/Ratermanual.pdf.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Regarding RFP Attachment 2, Exhibit A, Paragraph 2.5.6 (pages A-11 – A-12):</w:t>
      </w:r>
    </w:p>
    <w:p w:rsidR="000619B0" w:rsidRPr="003C6219" w:rsidRDefault="000619B0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1"/>
          <w:numId w:val="35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Are raters expected to be compensated for rater training? If so, is the selected vendor responsible for this payment?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450BAE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 Raters </w:t>
      </w:r>
      <w:r w:rsidR="0082716D" w:rsidRPr="003C6219">
        <w:rPr>
          <w:rFonts w:asciiTheme="minorHAnsi" w:hAnsiTheme="minorHAnsi" w:cstheme="minorHAnsi"/>
        </w:rPr>
        <w:t xml:space="preserve">are </w:t>
      </w:r>
      <w:r w:rsidRPr="003C6219">
        <w:rPr>
          <w:rFonts w:asciiTheme="minorHAnsi" w:hAnsiTheme="minorHAnsi" w:cstheme="minorHAnsi"/>
        </w:rPr>
        <w:t xml:space="preserve">expected to attend training per </w:t>
      </w:r>
      <w:r w:rsidR="004A6848" w:rsidRPr="003C6219">
        <w:rPr>
          <w:rFonts w:asciiTheme="minorHAnsi" w:hAnsiTheme="minorHAnsi" w:cstheme="minorHAnsi"/>
          <w:bCs/>
        </w:rPr>
        <w:t xml:space="preserve">Attachment 2, AOC Standard Terms and Conditions Revision 2, Exhibit A, paragraph </w:t>
      </w:r>
      <w:r w:rsidR="002F3B47" w:rsidRPr="003C6219">
        <w:rPr>
          <w:rFonts w:asciiTheme="minorHAnsi" w:hAnsiTheme="minorHAnsi" w:cstheme="minorHAnsi"/>
        </w:rPr>
        <w:t>2.5.6</w:t>
      </w:r>
      <w:r w:rsidR="004A6848" w:rsidRPr="003C6219">
        <w:rPr>
          <w:rFonts w:asciiTheme="minorHAnsi" w:hAnsiTheme="minorHAnsi" w:cstheme="minorHAnsi"/>
        </w:rPr>
        <w:t>.</w:t>
      </w:r>
      <w:r w:rsidR="009917C7" w:rsidRPr="003C6219">
        <w:rPr>
          <w:rFonts w:asciiTheme="minorHAnsi" w:hAnsiTheme="minorHAnsi" w:cstheme="minorHAnsi"/>
        </w:rPr>
        <w:t xml:space="preserve">  </w:t>
      </w:r>
      <w:r w:rsidR="00466CA3" w:rsidRPr="003C6219">
        <w:rPr>
          <w:rFonts w:asciiTheme="minorHAnsi" w:hAnsiTheme="minorHAnsi" w:cstheme="minorHAnsi"/>
        </w:rPr>
        <w:t>Although not mandatory, r</w:t>
      </w:r>
      <w:r w:rsidR="009917C7" w:rsidRPr="003C6219">
        <w:rPr>
          <w:rFonts w:asciiTheme="minorHAnsi" w:hAnsiTheme="minorHAnsi" w:cstheme="minorHAnsi"/>
        </w:rPr>
        <w:t>aters</w:t>
      </w:r>
      <w:r w:rsidR="00D559ED" w:rsidRPr="003C6219">
        <w:rPr>
          <w:rFonts w:asciiTheme="minorHAnsi" w:hAnsiTheme="minorHAnsi" w:cstheme="minorHAnsi"/>
        </w:rPr>
        <w:t xml:space="preserve"> </w:t>
      </w:r>
      <w:r w:rsidR="002F3B47" w:rsidRPr="003C6219">
        <w:rPr>
          <w:rFonts w:asciiTheme="minorHAnsi" w:hAnsiTheme="minorHAnsi" w:cstheme="minorHAnsi"/>
        </w:rPr>
        <w:t xml:space="preserve">should </w:t>
      </w:r>
      <w:r w:rsidRPr="003C6219">
        <w:rPr>
          <w:rFonts w:asciiTheme="minorHAnsi" w:hAnsiTheme="minorHAnsi" w:cstheme="minorHAnsi"/>
        </w:rPr>
        <w:t xml:space="preserve">be compensated </w:t>
      </w:r>
      <w:r w:rsidR="00466CA3" w:rsidRPr="003C6219">
        <w:rPr>
          <w:rFonts w:asciiTheme="minorHAnsi" w:hAnsiTheme="minorHAnsi" w:cstheme="minorHAnsi"/>
        </w:rPr>
        <w:t>for their training</w:t>
      </w:r>
      <w:r w:rsidRPr="003C6219">
        <w:rPr>
          <w:rFonts w:asciiTheme="minorHAnsi" w:hAnsiTheme="minorHAnsi" w:cstheme="minorHAnsi"/>
        </w:rPr>
        <w:t xml:space="preserve">.  The selected vendor will </w:t>
      </w:r>
      <w:r w:rsidR="002F3B47" w:rsidRPr="003C6219">
        <w:rPr>
          <w:rFonts w:asciiTheme="minorHAnsi" w:hAnsiTheme="minorHAnsi" w:cstheme="minorHAnsi"/>
        </w:rPr>
        <w:t>be responsible for</w:t>
      </w:r>
      <w:r w:rsidR="00466CA3" w:rsidRPr="003C6219">
        <w:rPr>
          <w:rFonts w:asciiTheme="minorHAnsi" w:hAnsiTheme="minorHAnsi" w:cstheme="minorHAnsi"/>
        </w:rPr>
        <w:t xml:space="preserve"> any </w:t>
      </w:r>
      <w:r w:rsidR="00D70026" w:rsidRPr="003C6219">
        <w:rPr>
          <w:rFonts w:asciiTheme="minorHAnsi" w:hAnsiTheme="minorHAnsi" w:cstheme="minorHAnsi"/>
        </w:rPr>
        <w:t>compensati</w:t>
      </w:r>
      <w:r w:rsidR="00466CA3" w:rsidRPr="003C6219">
        <w:rPr>
          <w:rFonts w:asciiTheme="minorHAnsi" w:hAnsiTheme="minorHAnsi" w:cstheme="minorHAnsi"/>
        </w:rPr>
        <w:t xml:space="preserve">on paid to </w:t>
      </w:r>
      <w:r w:rsidR="00D70026" w:rsidRPr="003C6219">
        <w:rPr>
          <w:rFonts w:asciiTheme="minorHAnsi" w:hAnsiTheme="minorHAnsi" w:cstheme="minorHAnsi"/>
        </w:rPr>
        <w:t>raters for training</w:t>
      </w:r>
      <w:r w:rsidR="00466CA3" w:rsidRPr="003C6219">
        <w:rPr>
          <w:rFonts w:asciiTheme="minorHAnsi" w:hAnsiTheme="minorHAnsi" w:cstheme="minorHAnsi"/>
        </w:rPr>
        <w:t xml:space="preserve">. These </w:t>
      </w:r>
      <w:r w:rsidR="002F3B47" w:rsidRPr="003C6219">
        <w:rPr>
          <w:rFonts w:asciiTheme="minorHAnsi" w:hAnsiTheme="minorHAnsi" w:cstheme="minorHAnsi"/>
        </w:rPr>
        <w:t>payment</w:t>
      </w:r>
      <w:r w:rsidR="00466CA3" w:rsidRPr="003C6219">
        <w:rPr>
          <w:rFonts w:asciiTheme="minorHAnsi" w:hAnsiTheme="minorHAnsi" w:cstheme="minorHAnsi"/>
        </w:rPr>
        <w:t>s, if any, are to be included in</w:t>
      </w:r>
      <w:r w:rsidR="002F3B47" w:rsidRPr="003C6219">
        <w:rPr>
          <w:rFonts w:asciiTheme="minorHAnsi" w:hAnsiTheme="minorHAnsi" w:cstheme="minorHAnsi"/>
        </w:rPr>
        <w:t xml:space="preserve"> </w:t>
      </w:r>
      <w:r w:rsidR="00466CA3" w:rsidRPr="003C6219">
        <w:rPr>
          <w:rFonts w:asciiTheme="minorHAnsi" w:hAnsiTheme="minorHAnsi" w:cstheme="minorHAnsi"/>
        </w:rPr>
        <w:t xml:space="preserve">the fees for </w:t>
      </w:r>
      <w:r w:rsidR="002F3B47" w:rsidRPr="003C6219">
        <w:rPr>
          <w:rFonts w:asciiTheme="minorHAnsi" w:hAnsiTheme="minorHAnsi" w:cstheme="minorHAnsi"/>
        </w:rPr>
        <w:t xml:space="preserve">Deliverable EA-6 </w:t>
      </w:r>
      <w:r w:rsidR="0082716D" w:rsidRPr="003C6219">
        <w:rPr>
          <w:rFonts w:asciiTheme="minorHAnsi" w:hAnsiTheme="minorHAnsi" w:cstheme="minorHAnsi"/>
        </w:rPr>
        <w:t xml:space="preserve">of </w:t>
      </w:r>
      <w:r w:rsidR="002F3B47" w:rsidRPr="003C6219">
        <w:rPr>
          <w:rFonts w:asciiTheme="minorHAnsi" w:hAnsiTheme="minorHAnsi" w:cstheme="minorHAnsi"/>
        </w:rPr>
        <w:t>this RFP.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1"/>
          <w:numId w:val="35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How many hours are required for remote rater training?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2F3B47" w:rsidRPr="003C6219">
        <w:rPr>
          <w:rFonts w:asciiTheme="minorHAnsi" w:hAnsiTheme="minorHAnsi" w:cstheme="minorHAnsi"/>
        </w:rPr>
        <w:t>Remote rater training is approximately one hour</w:t>
      </w:r>
      <w:r w:rsidR="00537CF1" w:rsidRPr="003C6219">
        <w:rPr>
          <w:rFonts w:asciiTheme="minorHAnsi" w:hAnsiTheme="minorHAnsi" w:cstheme="minorHAnsi"/>
        </w:rPr>
        <w:t xml:space="preserve"> as set forth in</w:t>
      </w:r>
      <w:r w:rsidR="005A6CBB" w:rsidRPr="003C6219">
        <w:rPr>
          <w:rFonts w:asciiTheme="minorHAnsi" w:hAnsiTheme="minorHAnsi" w:cstheme="minorHAnsi"/>
        </w:rPr>
        <w:t xml:space="preserve"> </w:t>
      </w:r>
      <w:r w:rsidR="00537CF1" w:rsidRPr="003C6219">
        <w:rPr>
          <w:rFonts w:asciiTheme="minorHAnsi" w:hAnsiTheme="minorHAnsi" w:cstheme="minorHAnsi"/>
          <w:bCs/>
        </w:rPr>
        <w:t xml:space="preserve">Attachment 2, AOC Standard Terms and Conditions Revision 2, Exhibit A, paragraph </w:t>
      </w:r>
      <w:r w:rsidR="00537CF1" w:rsidRPr="003C6219">
        <w:rPr>
          <w:rFonts w:asciiTheme="minorHAnsi" w:hAnsiTheme="minorHAnsi" w:cstheme="minorHAnsi"/>
        </w:rPr>
        <w:t>2.5.6.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1"/>
          <w:numId w:val="35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How many hours are required for in-person rater training?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2F3B47" w:rsidRPr="003C6219">
        <w:rPr>
          <w:rFonts w:asciiTheme="minorHAnsi" w:hAnsiTheme="minorHAnsi" w:cstheme="minorHAnsi"/>
        </w:rPr>
        <w:t>In-person rater training consists of three eight-hour days (total of twenty-four hours)</w:t>
      </w:r>
      <w:r w:rsidR="005A6CBB" w:rsidRPr="003C6219">
        <w:rPr>
          <w:rFonts w:asciiTheme="minorHAnsi" w:hAnsiTheme="minorHAnsi" w:cstheme="minorHAnsi"/>
        </w:rPr>
        <w:t xml:space="preserve"> </w:t>
      </w:r>
      <w:r w:rsidR="00537CF1" w:rsidRPr="003C6219">
        <w:rPr>
          <w:rFonts w:asciiTheme="minorHAnsi" w:hAnsiTheme="minorHAnsi" w:cstheme="minorHAnsi"/>
        </w:rPr>
        <w:t xml:space="preserve">as set forth in </w:t>
      </w:r>
      <w:r w:rsidR="00537CF1" w:rsidRPr="003C6219">
        <w:rPr>
          <w:rFonts w:asciiTheme="minorHAnsi" w:hAnsiTheme="minorHAnsi" w:cstheme="minorHAnsi"/>
          <w:bCs/>
        </w:rPr>
        <w:t xml:space="preserve">Attachment 2, AOC Standard Terms and Conditions Revision 2, Exhibit A, paragraph </w:t>
      </w:r>
      <w:r w:rsidR="00537CF1" w:rsidRPr="003C6219">
        <w:rPr>
          <w:rFonts w:asciiTheme="minorHAnsi" w:hAnsiTheme="minorHAnsi" w:cstheme="minorHAnsi"/>
        </w:rPr>
        <w:t>2.5.6.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numPr>
          <w:ilvl w:val="1"/>
          <w:numId w:val="35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Is the Consortium expected to facilitate in-person rater training? If so, is there a cost associated with this facilitation and is the selected vendor responsible for this payment?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2F3B47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7297E" w:rsidRPr="003C6219">
        <w:rPr>
          <w:rFonts w:asciiTheme="minorHAnsi" w:hAnsiTheme="minorHAnsi" w:cstheme="minorHAnsi"/>
        </w:rPr>
        <w:t xml:space="preserve">The vendor will </w:t>
      </w:r>
      <w:r w:rsidR="007D1724" w:rsidRPr="003C6219">
        <w:rPr>
          <w:rFonts w:asciiTheme="minorHAnsi" w:hAnsiTheme="minorHAnsi" w:cstheme="minorHAnsi"/>
        </w:rPr>
        <w:t>facilitate</w:t>
      </w:r>
      <w:r w:rsidR="0057297E" w:rsidRPr="003C6219">
        <w:rPr>
          <w:rFonts w:asciiTheme="minorHAnsi" w:hAnsiTheme="minorHAnsi" w:cstheme="minorHAnsi"/>
        </w:rPr>
        <w:t xml:space="preserve"> the training event</w:t>
      </w:r>
      <w:r w:rsidR="007D1724" w:rsidRPr="003C6219">
        <w:rPr>
          <w:rFonts w:asciiTheme="minorHAnsi" w:hAnsiTheme="minorHAnsi" w:cstheme="minorHAnsi"/>
        </w:rPr>
        <w:t xml:space="preserve">(s) using </w:t>
      </w:r>
      <w:r w:rsidR="0057297E" w:rsidRPr="003C6219">
        <w:rPr>
          <w:rFonts w:asciiTheme="minorHAnsi" w:hAnsiTheme="minorHAnsi" w:cstheme="minorHAnsi"/>
        </w:rPr>
        <w:t xml:space="preserve">the </w:t>
      </w:r>
      <w:r w:rsidR="002F3B47" w:rsidRPr="003C6219">
        <w:rPr>
          <w:rFonts w:asciiTheme="minorHAnsi" w:hAnsiTheme="minorHAnsi" w:cstheme="minorHAnsi"/>
        </w:rPr>
        <w:t>Staff and faculty of the NCSC/Consortium  to conduct in-person rater training sessions.  The selected vendor will be responsible for</w:t>
      </w:r>
      <w:r w:rsidR="007D1724" w:rsidRPr="003C6219">
        <w:rPr>
          <w:rFonts w:asciiTheme="minorHAnsi" w:hAnsiTheme="minorHAnsi" w:cstheme="minorHAnsi"/>
        </w:rPr>
        <w:t xml:space="preserve"> all costs associated with the training event(s)and must</w:t>
      </w:r>
      <w:r w:rsidR="002F3B47" w:rsidRPr="003C6219">
        <w:rPr>
          <w:rFonts w:asciiTheme="minorHAnsi" w:hAnsiTheme="minorHAnsi" w:cstheme="minorHAnsi"/>
        </w:rPr>
        <w:t xml:space="preserve"> </w:t>
      </w:r>
      <w:r w:rsidR="007D1724" w:rsidRPr="003C6219">
        <w:rPr>
          <w:rFonts w:asciiTheme="minorHAnsi" w:hAnsiTheme="minorHAnsi" w:cstheme="minorHAnsi"/>
        </w:rPr>
        <w:t xml:space="preserve">be </w:t>
      </w:r>
      <w:r w:rsidR="002F3B47" w:rsidRPr="003C6219">
        <w:rPr>
          <w:rFonts w:asciiTheme="minorHAnsi" w:hAnsiTheme="minorHAnsi" w:cstheme="minorHAnsi"/>
        </w:rPr>
        <w:t>include</w:t>
      </w:r>
      <w:r w:rsidR="007D1724" w:rsidRPr="003C6219">
        <w:rPr>
          <w:rFonts w:asciiTheme="minorHAnsi" w:hAnsiTheme="minorHAnsi" w:cstheme="minorHAnsi"/>
        </w:rPr>
        <w:t>d in the</w:t>
      </w:r>
      <w:r w:rsidR="002F3B47" w:rsidRPr="003C6219">
        <w:rPr>
          <w:rFonts w:asciiTheme="minorHAnsi" w:hAnsiTheme="minorHAnsi" w:cstheme="minorHAnsi"/>
        </w:rPr>
        <w:t xml:space="preserve"> pricing as part of Deliverable EA-6 for this RFP.</w:t>
      </w:r>
    </w:p>
    <w:p w:rsidR="00AA1E42" w:rsidRPr="003C6219" w:rsidRDefault="00AA1E42" w:rsidP="00D74207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0619B0">
      <w:pPr>
        <w:rPr>
          <w:rFonts w:asciiTheme="minorHAnsi" w:hAnsiTheme="minorHAnsi" w:cstheme="minorHAnsi"/>
          <w:color w:val="0000FF"/>
        </w:rPr>
      </w:pPr>
    </w:p>
    <w:p w:rsidR="005B09B2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 2.5.10 (page A-13):  </w:t>
      </w:r>
    </w:p>
    <w:p w:rsidR="00AA1E42" w:rsidRPr="003C6219" w:rsidRDefault="00AA1E42" w:rsidP="00AA1E42">
      <w:pPr>
        <w:ind w:left="360"/>
        <w:rPr>
          <w:rFonts w:asciiTheme="minorHAnsi" w:hAnsiTheme="minorHAnsi" w:cstheme="minorHAnsi"/>
          <w:color w:val="0000FF"/>
        </w:rPr>
      </w:pPr>
    </w:p>
    <w:p w:rsidR="005B09B2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What is the expected time to complete rating for a single examination? Please explain the hours expected for each rater.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lastRenderedPageBreak/>
        <w:t xml:space="preserve">Answer: </w:t>
      </w:r>
      <w:r w:rsidR="002F3B47" w:rsidRPr="003C6219">
        <w:rPr>
          <w:rFonts w:asciiTheme="minorHAnsi" w:hAnsiTheme="minorHAnsi" w:cstheme="minorHAnsi"/>
        </w:rPr>
        <w:t>The NCSC/Consortium has an expectation that a full oral interpreting exam can be rated in two hours.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Should new raters be allotted more time to rate?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2F3B47" w:rsidRPr="003C6219">
        <w:rPr>
          <w:rFonts w:asciiTheme="minorHAnsi" w:hAnsiTheme="minorHAnsi" w:cstheme="minorHAnsi"/>
        </w:rPr>
        <w:t>No.  Following in-person rater training, new raters are expected to rate a full oral interpreting exam in two hours.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 2.5.13 (page A-13): Are score reports sent via e-mail acceptable?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5431CA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 xml:space="preserve">Yes, if </w:t>
      </w:r>
      <w:r w:rsidR="007D1724" w:rsidRPr="003C6219">
        <w:rPr>
          <w:rFonts w:asciiTheme="minorHAnsi" w:hAnsiTheme="minorHAnsi" w:cstheme="minorHAnsi"/>
        </w:rPr>
        <w:t xml:space="preserve">written </w:t>
      </w:r>
      <w:r w:rsidR="005431CA" w:rsidRPr="003C6219">
        <w:rPr>
          <w:rFonts w:asciiTheme="minorHAnsi" w:hAnsiTheme="minorHAnsi" w:cstheme="minorHAnsi"/>
        </w:rPr>
        <w:t>permission to send the score reports via email has been obtained from the exam candidate.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Paragraphs 2.5.14 and 2.5.15 (page A-13): </w:t>
      </w:r>
    </w:p>
    <w:p w:rsidR="005B09B2" w:rsidRPr="003C6219" w:rsidRDefault="005B09B2" w:rsidP="005B09B2">
      <w:pPr>
        <w:rPr>
          <w:rFonts w:asciiTheme="minorHAnsi" w:hAnsiTheme="minorHAnsi" w:cstheme="minorHAnsi"/>
          <w:color w:val="0000FF"/>
        </w:rPr>
      </w:pPr>
    </w:p>
    <w:p w:rsidR="005B09B2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Is Consortium participation/oversight required in the implementation of the oral examination rating process?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>The participation and oversight required in the implementation of the oral examination rating process must be done in accordance with the guidelines of the NCSC/Consortium.</w:t>
      </w:r>
    </w:p>
    <w:p w:rsidR="0009442B" w:rsidRPr="003C6219" w:rsidRDefault="0009442B" w:rsidP="00D74207">
      <w:pPr>
        <w:rPr>
          <w:rFonts w:asciiTheme="minorHAnsi" w:hAnsiTheme="minorHAnsi" w:cstheme="minorHAnsi"/>
          <w:color w:val="0000FF"/>
        </w:rPr>
      </w:pPr>
    </w:p>
    <w:p w:rsidR="0009442B" w:rsidRPr="003C6219" w:rsidRDefault="0009442B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For more information on the oral interpreting exam, please see the following Oral Exam Overview:  </w:t>
      </w:r>
      <w:hyperlink r:id="rId11" w:history="1">
        <w:r w:rsidRPr="003C6219">
          <w:rPr>
            <w:rStyle w:val="Hyperlink"/>
            <w:rFonts w:asciiTheme="minorHAnsi" w:hAnsiTheme="minorHAnsi" w:cstheme="minorHAnsi"/>
          </w:rPr>
          <w:t>http://www.courts.ca.gov/documents/overview-oralexam.docx</w:t>
        </w:r>
      </w:hyperlink>
    </w:p>
    <w:p w:rsidR="005431CA" w:rsidRPr="003C6219" w:rsidRDefault="005431CA" w:rsidP="00D74207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If so, who will support this cost?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 xml:space="preserve"> The vendor pays for all of the rating process costs.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B09B2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>Regarding RFP Attachment 2, Exhibit A, Paragraphs 2.6.1-2.6.2.5 (pages A-13 – A-15):</w:t>
      </w:r>
    </w:p>
    <w:p w:rsidR="004A6848" w:rsidRPr="003C6219" w:rsidRDefault="004A6848" w:rsidP="004A6848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 Does the AOC expect implementation of the oral proficiency screen to decrease annual oral exam volume?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D74207">
      <w:pPr>
        <w:pStyle w:val="ExhibitC2"/>
        <w:numPr>
          <w:ilvl w:val="0"/>
          <w:numId w:val="0"/>
        </w:numPr>
        <w:ind w:left="720"/>
        <w:rPr>
          <w:rFonts w:asciiTheme="minorHAnsi" w:hAnsiTheme="minorHAnsi" w:cstheme="minorHAnsi"/>
          <w:noProof w:val="0"/>
          <w:color w:val="0000FF"/>
          <w:szCs w:val="24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 xml:space="preserve"> </w:t>
      </w:r>
      <w:r w:rsidR="005431CA" w:rsidRPr="003C6219">
        <w:rPr>
          <w:rFonts w:asciiTheme="minorHAnsi" w:hAnsiTheme="minorHAnsi" w:cstheme="minorHAnsi"/>
          <w:noProof w:val="0"/>
          <w:szCs w:val="24"/>
        </w:rPr>
        <w:t>The effect or expectation of the implementation of the oral proficiency screen on the volume of annual oral exams has not been determined</w:t>
      </w:r>
      <w:r w:rsidR="005431CA" w:rsidRPr="003C6219">
        <w:rPr>
          <w:rFonts w:asciiTheme="minorHAnsi" w:hAnsiTheme="minorHAnsi" w:cstheme="minorHAnsi"/>
          <w:noProof w:val="0"/>
          <w:color w:val="0000FF"/>
          <w:szCs w:val="24"/>
        </w:rPr>
        <w:t xml:space="preserve">. 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Will candidates currently eligible for the oral examination need to pass the oral proficiency screen before attempting the oral exam again?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D33FD6" w:rsidRPr="003C6219">
        <w:rPr>
          <w:rFonts w:asciiTheme="minorHAnsi" w:hAnsiTheme="minorHAnsi" w:cstheme="minorHAnsi"/>
        </w:rPr>
        <w:t>It has not been determined</w:t>
      </w:r>
      <w:r w:rsidR="005431CA" w:rsidRPr="003C6219">
        <w:rPr>
          <w:rFonts w:asciiTheme="minorHAnsi" w:hAnsiTheme="minorHAnsi" w:cstheme="minorHAnsi"/>
        </w:rPr>
        <w:t xml:space="preserve"> at this time.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82716D" w:rsidRPr="003C6219" w:rsidRDefault="000619B0" w:rsidP="0082716D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lastRenderedPageBreak/>
        <w:t xml:space="preserve">Regarding RFP Attachment 2, Exhibit A, Paragraph 2.7.1 (page A-15): Would the AOC seek sole ownership of the video and all of its associated components and work products, such as raw video footage, still photographs and the finished video itself? </w:t>
      </w:r>
    </w:p>
    <w:p w:rsidR="0082716D" w:rsidRPr="003C6219" w:rsidRDefault="0082716D" w:rsidP="0082716D">
      <w:pPr>
        <w:ind w:left="720"/>
        <w:rPr>
          <w:rFonts w:asciiTheme="minorHAnsi" w:hAnsiTheme="minorHAnsi" w:cstheme="minorHAnsi"/>
          <w:color w:val="0000FF"/>
        </w:rPr>
      </w:pPr>
    </w:p>
    <w:p w:rsidR="0082716D" w:rsidRPr="003C6219" w:rsidRDefault="00AA1E42" w:rsidP="0082716D">
      <w:pPr>
        <w:ind w:left="720"/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>Yes.</w:t>
      </w:r>
      <w:r w:rsidR="0082716D" w:rsidRPr="003C6219">
        <w:rPr>
          <w:rFonts w:asciiTheme="minorHAnsi" w:hAnsiTheme="minorHAnsi" w:cstheme="minorHAnsi"/>
        </w:rPr>
        <w:t xml:space="preserve"> </w:t>
      </w:r>
      <w:r w:rsidR="00D74207" w:rsidRPr="003C6219">
        <w:rPr>
          <w:rFonts w:asciiTheme="minorHAnsi" w:hAnsiTheme="minorHAnsi" w:cstheme="minorHAnsi"/>
        </w:rPr>
        <w:t xml:space="preserve">As set forth in </w:t>
      </w:r>
      <w:r w:rsidR="00D74207" w:rsidRPr="003C6219">
        <w:rPr>
          <w:rFonts w:asciiTheme="minorHAnsi" w:hAnsiTheme="minorHAnsi" w:cstheme="minorHAnsi"/>
          <w:bCs/>
        </w:rPr>
        <w:t xml:space="preserve">Attachment 2, AOC Standard Terms and Conditions Revision 2, Exhibit A, paragraph </w:t>
      </w:r>
      <w:r w:rsidR="0082716D" w:rsidRPr="003C6219">
        <w:rPr>
          <w:rFonts w:asciiTheme="minorHAnsi" w:hAnsiTheme="minorHAnsi" w:cstheme="minorHAnsi"/>
        </w:rPr>
        <w:t>2.7.1</w:t>
      </w:r>
      <w:r w:rsidR="00D74207" w:rsidRPr="003C6219">
        <w:rPr>
          <w:rFonts w:asciiTheme="minorHAnsi" w:hAnsiTheme="minorHAnsi" w:cstheme="minorHAnsi"/>
        </w:rPr>
        <w:t>,</w:t>
      </w:r>
      <w:r w:rsidR="0082716D" w:rsidRPr="003C6219">
        <w:rPr>
          <w:rFonts w:asciiTheme="minorHAnsi" w:hAnsiTheme="minorHAnsi" w:cstheme="minorHAnsi"/>
        </w:rPr>
        <w:t xml:space="preserve"> </w:t>
      </w:r>
      <w:r w:rsidR="00D74207" w:rsidRPr="003C6219">
        <w:rPr>
          <w:bCs/>
        </w:rPr>
        <w:t>a</w:t>
      </w:r>
      <w:r w:rsidR="0082716D" w:rsidRPr="003C6219">
        <w:rPr>
          <w:bCs/>
        </w:rPr>
        <w:t>ll images and videos, including raw footage, will become the property of the AOC.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 2.8.1 (page A-16): </w:t>
      </w:r>
    </w:p>
    <w:p w:rsidR="005B09B2" w:rsidRPr="003C6219" w:rsidRDefault="005B09B2" w:rsidP="005B09B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Will the selected service provider be responsible for hosting and providing ongoing support for the online learning platform?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 xml:space="preserve"> The </w:t>
      </w:r>
      <w:r w:rsidR="00D74207" w:rsidRPr="003C6219">
        <w:rPr>
          <w:rFonts w:asciiTheme="minorHAnsi" w:hAnsiTheme="minorHAnsi" w:cstheme="minorHAnsi"/>
        </w:rPr>
        <w:t>s</w:t>
      </w:r>
      <w:r w:rsidR="005431CA" w:rsidRPr="003C6219">
        <w:rPr>
          <w:rFonts w:asciiTheme="minorHAnsi" w:hAnsiTheme="minorHAnsi" w:cstheme="minorHAnsi"/>
        </w:rPr>
        <w:t xml:space="preserve">ervice </w:t>
      </w:r>
      <w:r w:rsidR="00D74207" w:rsidRPr="003C6219">
        <w:rPr>
          <w:rFonts w:asciiTheme="minorHAnsi" w:hAnsiTheme="minorHAnsi" w:cstheme="minorHAnsi"/>
        </w:rPr>
        <w:t>p</w:t>
      </w:r>
      <w:r w:rsidR="005431CA" w:rsidRPr="003C6219">
        <w:rPr>
          <w:rFonts w:asciiTheme="minorHAnsi" w:hAnsiTheme="minorHAnsi" w:cstheme="minorHAnsi"/>
        </w:rPr>
        <w:t xml:space="preserve">rovider may be requested to only assist in the implementation of the internet learning platform discussed in </w:t>
      </w:r>
      <w:r w:rsidR="00D74207" w:rsidRPr="003C6219">
        <w:rPr>
          <w:rFonts w:asciiTheme="minorHAnsi" w:hAnsiTheme="minorHAnsi" w:cstheme="minorHAnsi"/>
          <w:bCs/>
        </w:rPr>
        <w:t>Attachment 2, AOC Standard Terms and Conditions Revision 2, Exhibit A,paragraph</w:t>
      </w:r>
      <w:r w:rsidR="005431CA" w:rsidRPr="003C6219">
        <w:rPr>
          <w:rFonts w:asciiTheme="minorHAnsi" w:hAnsiTheme="minorHAnsi" w:cstheme="minorHAnsi"/>
        </w:rPr>
        <w:t xml:space="preserve"> 2.8.1.</w:t>
      </w:r>
      <w:r w:rsidR="00D74207" w:rsidRPr="003C6219">
        <w:rPr>
          <w:rFonts w:asciiTheme="minorHAnsi" w:hAnsiTheme="minorHAnsi" w:cstheme="minorHAnsi"/>
          <w:color w:val="0000FF"/>
        </w:rPr>
        <w:t xml:space="preserve"> </w:t>
      </w:r>
      <w:r w:rsidR="005431CA" w:rsidRPr="003C6219">
        <w:rPr>
          <w:rFonts w:asciiTheme="minorHAnsi" w:hAnsiTheme="minorHAnsi" w:cstheme="minorHAnsi"/>
        </w:rPr>
        <w:t>The AOC will host and provide ongoing support for the online learning platform.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Is this intended to be an orientation for new interpreters only?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>Yes, at this time.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How many online courses are expected to be implemented initially?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>One.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Does the AOC intend to add more courses over time?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B55FFF" w:rsidRPr="003C6219">
        <w:rPr>
          <w:rFonts w:asciiTheme="minorHAnsi" w:hAnsiTheme="minorHAnsi" w:cstheme="minorHAnsi"/>
        </w:rPr>
        <w:t xml:space="preserve">It is unknown if the AOC will be adding more courses </w:t>
      </w:r>
      <w:r w:rsidR="005431CA" w:rsidRPr="003C6219">
        <w:rPr>
          <w:rFonts w:asciiTheme="minorHAnsi" w:hAnsiTheme="minorHAnsi" w:cstheme="minorHAnsi"/>
        </w:rPr>
        <w:t>at this time.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Will the AOC manage the course(s) in the portal, or would that be the responsibility of the selected service provider?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>The AOC will manage the course(s) in the portal.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Will this platform serve as a means of continuing education for court interpreters? If yes, will the AOC need assistance in tracking credits for course completion?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5431CA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 xml:space="preserve"> </w:t>
      </w:r>
      <w:r w:rsidR="00B55FFF" w:rsidRPr="003C6219">
        <w:rPr>
          <w:rFonts w:asciiTheme="minorHAnsi" w:hAnsiTheme="minorHAnsi" w:cstheme="minorHAnsi"/>
        </w:rPr>
        <w:t xml:space="preserve">It is possible that the </w:t>
      </w:r>
      <w:r w:rsidR="005431CA" w:rsidRPr="003C6219">
        <w:rPr>
          <w:rFonts w:asciiTheme="minorHAnsi" w:hAnsiTheme="minorHAnsi" w:cstheme="minorHAnsi"/>
        </w:rPr>
        <w:t>Internet learning platform may serve as a means of continuing education for court interpreters.  This Internet learning platform should include an administrative module that contains assessment and reporting capabilities to track course enrollment and completion status.</w:t>
      </w:r>
      <w:r w:rsidR="00B377DA" w:rsidRPr="003C6219">
        <w:rPr>
          <w:rFonts w:asciiTheme="minorHAnsi" w:hAnsiTheme="minorHAnsi" w:cstheme="minorHAnsi"/>
        </w:rPr>
        <w:t xml:space="preserve"> Course enrollment and completion will be tracked by the AOC.</w:t>
      </w:r>
      <w:r w:rsidR="005431CA" w:rsidRPr="003C6219">
        <w:rPr>
          <w:rFonts w:asciiTheme="minorHAnsi" w:hAnsiTheme="minorHAnsi" w:cstheme="minorHAnsi"/>
        </w:rPr>
        <w:t xml:space="preserve"> 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lastRenderedPageBreak/>
        <w:t>Would there be a candidate fee associated with taking a course through the online learning platform? If so, would the selected service provider collect and retain the fee?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AA1E42" w:rsidRPr="003C6219" w:rsidRDefault="00AA1E42" w:rsidP="00AA1E42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5431CA" w:rsidRPr="003C6219">
        <w:rPr>
          <w:rFonts w:asciiTheme="minorHAnsi" w:hAnsiTheme="minorHAnsi" w:cstheme="minorHAnsi"/>
        </w:rPr>
        <w:t xml:space="preserve"> No.  There will not be a candidate fee associated with taking a course through the online learning platform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 2.8.4 (page A-16): </w:t>
      </w:r>
    </w:p>
    <w:p w:rsidR="005B09B2" w:rsidRPr="003C6219" w:rsidRDefault="005B09B2" w:rsidP="005B09B2">
      <w:pPr>
        <w:rPr>
          <w:rFonts w:asciiTheme="minorHAnsi" w:hAnsiTheme="minorHAnsi" w:cstheme="minorHAnsi"/>
          <w:color w:val="0000FF"/>
        </w:rPr>
      </w:pPr>
    </w:p>
    <w:p w:rsidR="005B09B2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If a vendor suggests the use of a subcontracted platform, is the vendor expected to track candidate completion of online course(s) and report this information back to the AOC?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5431CA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B377DA" w:rsidRPr="003C6219">
        <w:rPr>
          <w:rFonts w:asciiTheme="minorHAnsi" w:hAnsiTheme="minorHAnsi" w:cstheme="minorHAnsi"/>
        </w:rPr>
        <w:t>Since the AOC is hosting the platform, t</w:t>
      </w:r>
      <w:r w:rsidR="005431CA" w:rsidRPr="003C6219">
        <w:rPr>
          <w:rFonts w:asciiTheme="minorHAnsi" w:hAnsiTheme="minorHAnsi" w:cstheme="minorHAnsi"/>
        </w:rPr>
        <w:t xml:space="preserve">he AOC </w:t>
      </w:r>
      <w:r w:rsidR="00B377DA" w:rsidRPr="003C6219">
        <w:rPr>
          <w:rFonts w:asciiTheme="minorHAnsi" w:hAnsiTheme="minorHAnsi" w:cstheme="minorHAnsi"/>
        </w:rPr>
        <w:t>will be</w:t>
      </w:r>
      <w:r w:rsidR="005431CA" w:rsidRPr="003C6219">
        <w:rPr>
          <w:rFonts w:asciiTheme="minorHAnsi" w:hAnsiTheme="minorHAnsi" w:cstheme="minorHAnsi"/>
        </w:rPr>
        <w:t xml:space="preserve"> tracking candidate’s completion of online course(s).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Or does the AOC intend to interface directly with the subcontracted platform?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6F4D18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6F4D18" w:rsidRPr="003C6219">
        <w:rPr>
          <w:rFonts w:asciiTheme="minorHAnsi" w:hAnsiTheme="minorHAnsi" w:cstheme="minorHAnsi"/>
        </w:rPr>
        <w:t>The AOC inte</w:t>
      </w:r>
      <w:r w:rsidR="0082716D" w:rsidRPr="003C6219">
        <w:rPr>
          <w:rFonts w:asciiTheme="minorHAnsi" w:hAnsiTheme="minorHAnsi" w:cstheme="minorHAnsi"/>
        </w:rPr>
        <w:t xml:space="preserve">nds to interface directly with </w:t>
      </w:r>
      <w:r w:rsidR="006F4D18" w:rsidRPr="003C6219">
        <w:rPr>
          <w:rFonts w:asciiTheme="minorHAnsi" w:hAnsiTheme="minorHAnsi" w:cstheme="minorHAnsi"/>
        </w:rPr>
        <w:t>the Internet learning platform.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A, Paragraphs 3.0-3.1.4 (page A-20 – A-21): </w:t>
      </w:r>
    </w:p>
    <w:p w:rsidR="005B09B2" w:rsidRPr="003C6219" w:rsidRDefault="005B09B2" w:rsidP="005B09B2">
      <w:pPr>
        <w:rPr>
          <w:rFonts w:asciiTheme="minorHAnsi" w:hAnsiTheme="minorHAnsi" w:cstheme="minorHAnsi"/>
          <w:color w:val="0000FF"/>
        </w:rPr>
      </w:pPr>
    </w:p>
    <w:p w:rsidR="005B09B2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Please explain the role of the Consortium for participation, oversight and approval concerning exam development services. Is Consortium participation/oversight required? </w:t>
      </w:r>
      <w:r w:rsidR="00B377DA" w:rsidRPr="003C6219">
        <w:rPr>
          <w:rFonts w:asciiTheme="minorHAnsi" w:hAnsiTheme="minorHAnsi" w:cstheme="minorHAnsi"/>
          <w:color w:val="0000FF"/>
        </w:rPr>
        <w:t xml:space="preserve"> See Attachment 2, Exhibit A, paragraphs 3.1.4 through 4.1.4.9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D74207" w:rsidRPr="003C6219" w:rsidRDefault="00AA1E42" w:rsidP="00D74207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C25541" w:rsidRPr="003C6219">
        <w:rPr>
          <w:rFonts w:asciiTheme="minorHAnsi" w:hAnsiTheme="minorHAnsi" w:cstheme="minorHAnsi"/>
        </w:rPr>
        <w:t xml:space="preserve">NCSC/Consortium participation and oversight is required for all exam development services.  All exam development should be completed in accordance with NCSC/Consortium guidelines, as defined in the Test Construction Manual:  </w:t>
      </w:r>
      <w:hyperlink r:id="rId12" w:history="1">
        <w:r w:rsidR="00D74207" w:rsidRPr="003C6219">
          <w:rPr>
            <w:rStyle w:val="Hyperlink"/>
            <w:rFonts w:asciiTheme="minorHAnsi" w:hAnsiTheme="minorHAnsi" w:cstheme="minorHAnsi"/>
          </w:rPr>
          <w:t>http://www.ncsconline.org/D_Research/TestConstructionManual04-10.pdf</w:t>
        </w:r>
      </w:hyperlink>
      <w:r w:rsidR="00D74207" w:rsidRPr="003C6219">
        <w:rPr>
          <w:rFonts w:asciiTheme="minorHAnsi" w:hAnsiTheme="minorHAnsi" w:cstheme="minorHAnsi"/>
        </w:rPr>
        <w:t xml:space="preserve">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If so, who will support this cost? 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C25541" w:rsidRPr="003C6219" w:rsidRDefault="00AA1E42" w:rsidP="00C25541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C25541" w:rsidRPr="003C6219">
        <w:rPr>
          <w:rFonts w:asciiTheme="minorHAnsi" w:hAnsiTheme="minorHAnsi" w:cstheme="minorHAnsi"/>
        </w:rPr>
        <w:t xml:space="preserve"> The selected vendor will be responsible for payment regarding exam development services and should include pricing for such as part of Deliverable ED-1 for this RFP.</w:t>
      </w:r>
    </w:p>
    <w:p w:rsidR="00AA1E42" w:rsidRPr="003C6219" w:rsidRDefault="00AA1E42" w:rsidP="00AA1E4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Will SMEs be required to participate in-person or remotely? </w:t>
      </w:r>
    </w:p>
    <w:p w:rsidR="00A17991" w:rsidRPr="003C6219" w:rsidRDefault="00A17991" w:rsidP="00A17991">
      <w:pPr>
        <w:rPr>
          <w:rFonts w:asciiTheme="minorHAnsi" w:hAnsiTheme="minorHAnsi" w:cstheme="minorHAnsi"/>
          <w:color w:val="0000FF"/>
        </w:rPr>
      </w:pPr>
    </w:p>
    <w:p w:rsidR="00A17991" w:rsidRPr="003C6219" w:rsidRDefault="00A17991" w:rsidP="00A17991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C25541" w:rsidRPr="003C6219">
        <w:rPr>
          <w:rFonts w:asciiTheme="minorHAnsi" w:hAnsiTheme="minorHAnsi" w:cstheme="minorHAnsi"/>
        </w:rPr>
        <w:t xml:space="preserve">Remote or in-person participation </w:t>
      </w:r>
      <w:r w:rsidR="00963BF5" w:rsidRPr="003C6219">
        <w:rPr>
          <w:rFonts w:asciiTheme="minorHAnsi" w:hAnsiTheme="minorHAnsi" w:cstheme="minorHAnsi"/>
        </w:rPr>
        <w:t>may be required</w:t>
      </w:r>
      <w:r w:rsidR="00C25541" w:rsidRPr="003C6219">
        <w:rPr>
          <w:rFonts w:asciiTheme="minorHAnsi" w:hAnsiTheme="minorHAnsi" w:cstheme="minorHAnsi"/>
        </w:rPr>
        <w:t xml:space="preserve"> based on the exam development service </w:t>
      </w:r>
      <w:r w:rsidR="00963BF5" w:rsidRPr="003C6219">
        <w:rPr>
          <w:rFonts w:asciiTheme="minorHAnsi" w:hAnsiTheme="minorHAnsi" w:cstheme="minorHAnsi"/>
        </w:rPr>
        <w:t>needed</w:t>
      </w:r>
      <w:r w:rsidR="00C25541" w:rsidRPr="003C6219">
        <w:rPr>
          <w:rFonts w:asciiTheme="minorHAnsi" w:hAnsiTheme="minorHAnsi" w:cstheme="minorHAnsi"/>
        </w:rPr>
        <w:t xml:space="preserve">.  </w:t>
      </w:r>
    </w:p>
    <w:p w:rsidR="00A17991" w:rsidRPr="003C6219" w:rsidRDefault="00A17991" w:rsidP="00A17991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0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Regarding RFP Attachment 2, Exhibit B, Table 2, Deliverable #EA-13 (page B-5): </w:t>
      </w:r>
    </w:p>
    <w:p w:rsidR="005B09B2" w:rsidRPr="003C6219" w:rsidRDefault="005B09B2" w:rsidP="005B09B2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numPr>
          <w:ilvl w:val="1"/>
          <w:numId w:val="19"/>
        </w:numPr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lastRenderedPageBreak/>
        <w:t xml:space="preserve">Would the AOC be open to having the selected service provider work with the AOC as a consultant on this project prior to providing a price quote? The notion behind this is to understand the requirements in detail and provide a quote based on the best-matched solution. </w:t>
      </w:r>
    </w:p>
    <w:p w:rsidR="00A17991" w:rsidRPr="003C6219" w:rsidRDefault="00A17991" w:rsidP="00A17991">
      <w:pPr>
        <w:rPr>
          <w:rFonts w:asciiTheme="minorHAnsi" w:hAnsiTheme="minorHAnsi" w:cstheme="minorHAnsi"/>
          <w:color w:val="0000FF"/>
        </w:rPr>
      </w:pPr>
    </w:p>
    <w:p w:rsidR="00A17991" w:rsidRPr="003C6219" w:rsidRDefault="00A17991" w:rsidP="00A17991">
      <w:pPr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6F4D18" w:rsidRPr="003C6219">
        <w:rPr>
          <w:rFonts w:asciiTheme="minorHAnsi" w:hAnsiTheme="minorHAnsi" w:cstheme="minorHAnsi"/>
        </w:rPr>
        <w:t>No.</w:t>
      </w:r>
    </w:p>
    <w:p w:rsidR="00A17991" w:rsidRPr="003C6219" w:rsidRDefault="00A17991" w:rsidP="00A17991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764455">
      <w:pPr>
        <w:numPr>
          <w:ilvl w:val="1"/>
          <w:numId w:val="19"/>
        </w:numPr>
        <w:spacing w:after="120"/>
        <w:rPr>
          <w:rFonts w:asciiTheme="minorHAnsi" w:hAnsiTheme="minorHAnsi" w:cstheme="minorHAnsi"/>
          <w:color w:val="0000FF"/>
        </w:rPr>
      </w:pPr>
      <w:r w:rsidRPr="003C6219">
        <w:rPr>
          <w:rFonts w:asciiTheme="minorHAnsi" w:hAnsiTheme="minorHAnsi" w:cstheme="minorHAnsi"/>
          <w:color w:val="0000FF"/>
        </w:rPr>
        <w:t xml:space="preserve">A subcontracted online learning platform will likely include additional fees and/or annual license fees which would be determined based on the AOC’s needs. Is it acceptable for these fees to be in addition to the firm fee provided at the time a proposal is submitted? </w:t>
      </w:r>
    </w:p>
    <w:p w:rsidR="00A17991" w:rsidRPr="003C6219" w:rsidRDefault="00A17991" w:rsidP="00764455">
      <w:pPr>
        <w:spacing w:after="120"/>
        <w:rPr>
          <w:rFonts w:asciiTheme="minorHAnsi" w:hAnsiTheme="minorHAnsi" w:cstheme="minorHAnsi"/>
          <w:color w:val="0000FF"/>
        </w:rPr>
      </w:pPr>
    </w:p>
    <w:p w:rsidR="006F4D18" w:rsidRPr="003C6219" w:rsidRDefault="00A17991" w:rsidP="00764455">
      <w:pPr>
        <w:spacing w:after="120"/>
        <w:ind w:left="720"/>
        <w:rPr>
          <w:rFonts w:asciiTheme="minorHAnsi" w:hAnsiTheme="minorHAnsi" w:cstheme="minorHAnsi"/>
        </w:rPr>
      </w:pPr>
      <w:r w:rsidRPr="003C6219">
        <w:rPr>
          <w:rFonts w:asciiTheme="minorHAnsi" w:hAnsiTheme="minorHAnsi" w:cstheme="minorHAnsi"/>
        </w:rPr>
        <w:t xml:space="preserve">Answer: </w:t>
      </w:r>
      <w:r w:rsidR="006F4D18" w:rsidRPr="003C6219">
        <w:rPr>
          <w:rFonts w:asciiTheme="minorHAnsi" w:hAnsiTheme="minorHAnsi" w:cstheme="minorHAnsi"/>
        </w:rPr>
        <w:t xml:space="preserve">No it is not acceptable.  All of the fees should be included in the firm </w:t>
      </w:r>
      <w:r w:rsidR="00963BF5" w:rsidRPr="003C6219">
        <w:rPr>
          <w:rFonts w:asciiTheme="minorHAnsi" w:hAnsiTheme="minorHAnsi" w:cstheme="minorHAnsi"/>
        </w:rPr>
        <w:t xml:space="preserve">fixed </w:t>
      </w:r>
      <w:r w:rsidR="006F4D18" w:rsidRPr="003C6219">
        <w:rPr>
          <w:rFonts w:asciiTheme="minorHAnsi" w:hAnsiTheme="minorHAnsi" w:cstheme="minorHAnsi"/>
        </w:rPr>
        <w:t>fee</w:t>
      </w:r>
      <w:r w:rsidR="00963BF5" w:rsidRPr="003C6219">
        <w:rPr>
          <w:rFonts w:asciiTheme="minorHAnsi" w:hAnsiTheme="minorHAnsi" w:cstheme="minorHAnsi"/>
        </w:rPr>
        <w:t xml:space="preserve">s </w:t>
      </w:r>
      <w:r w:rsidR="006F4D18" w:rsidRPr="003C6219">
        <w:rPr>
          <w:rFonts w:asciiTheme="minorHAnsi" w:hAnsiTheme="minorHAnsi" w:cstheme="minorHAnsi"/>
        </w:rPr>
        <w:t>provided at the time a proposal is submitted.</w:t>
      </w:r>
    </w:p>
    <w:p w:rsidR="00A17991" w:rsidRPr="003C6219" w:rsidRDefault="00A17991" w:rsidP="00A17991">
      <w:pPr>
        <w:rPr>
          <w:rFonts w:asciiTheme="minorHAnsi" w:hAnsiTheme="minorHAnsi" w:cstheme="minorHAnsi"/>
          <w:color w:val="0000FF"/>
        </w:rPr>
      </w:pPr>
    </w:p>
    <w:p w:rsidR="000619B0" w:rsidRPr="003C6219" w:rsidRDefault="000619B0" w:rsidP="005B09B2">
      <w:pPr>
        <w:rPr>
          <w:rFonts w:asciiTheme="minorHAnsi" w:hAnsiTheme="minorHAnsi" w:cstheme="minorHAnsi"/>
          <w:color w:val="0000FF"/>
        </w:rPr>
      </w:pPr>
    </w:p>
    <w:p w:rsidR="00C662D1" w:rsidRPr="003C6219" w:rsidRDefault="00C662D1"/>
    <w:p w:rsidR="00AC2699" w:rsidRPr="00AC2699" w:rsidRDefault="00AC2699" w:rsidP="00AC2699">
      <w:pPr>
        <w:jc w:val="center"/>
        <w:rPr>
          <w:i/>
        </w:rPr>
      </w:pPr>
      <w:r w:rsidRPr="003C6219">
        <w:rPr>
          <w:i/>
        </w:rPr>
        <w:t xml:space="preserve">END OF </w:t>
      </w:r>
      <w:r w:rsidR="000619B0" w:rsidRPr="003C6219">
        <w:rPr>
          <w:i/>
        </w:rPr>
        <w:t>QUESTIONS AND ANSWERS</w:t>
      </w:r>
    </w:p>
    <w:sectPr w:rsidR="00AC2699" w:rsidRPr="00AC2699" w:rsidSect="0088206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A4" w:rsidRDefault="00207AA4" w:rsidP="00C37FF7">
      <w:r>
        <w:separator/>
      </w:r>
    </w:p>
  </w:endnote>
  <w:endnote w:type="continuationSeparator" w:id="0">
    <w:p w:rsidR="00207AA4" w:rsidRDefault="00207AA4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9" w:rsidRDefault="003C6219">
    <w:pPr>
      <w:pStyle w:val="Footer"/>
    </w:pPr>
  </w:p>
  <w:p w:rsidR="003C6219" w:rsidRDefault="003C62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9" w:rsidRDefault="003C6219" w:rsidP="00E94930">
    <w:pPr>
      <w:pStyle w:val="Footer"/>
      <w:jc w:val="center"/>
    </w:pPr>
    <w:r>
      <w:t xml:space="preserve">Page </w:t>
    </w:r>
    <w:fldSimple w:instr=" PAGE   \* MERGEFORMAT ">
      <w:r w:rsidR="00133B24">
        <w:rPr>
          <w:noProof/>
        </w:rPr>
        <w:t>8</w:t>
      </w:r>
    </w:fldSimple>
    <w:r>
      <w:t xml:space="preserve"> of </w:t>
    </w:r>
    <w:fldSimple w:instr=" SECTIONPAGES   \* MERGEFORMAT ">
      <w:r w:rsidR="00133B24">
        <w:rPr>
          <w:noProof/>
        </w:rPr>
        <w:t>8</w:t>
      </w:r>
    </w:fldSimple>
  </w:p>
  <w:p w:rsidR="003C6219" w:rsidRDefault="003C62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A4" w:rsidRDefault="00207AA4" w:rsidP="00C37FF7">
      <w:r>
        <w:separator/>
      </w:r>
    </w:p>
  </w:footnote>
  <w:footnote w:type="continuationSeparator" w:id="0">
    <w:p w:rsidR="00207AA4" w:rsidRDefault="00207AA4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9" w:rsidRDefault="003C6219" w:rsidP="00B80CC9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>
      <w:t>RFP Title:</w:t>
    </w:r>
    <w:r>
      <w:tab/>
    </w:r>
    <w:r>
      <w:rPr>
        <w:b/>
        <w:sz w:val="22"/>
        <w:szCs w:val="22"/>
      </w:rPr>
      <w:t>Court Interpreter Exam</w:t>
    </w:r>
    <w:r w:rsidRPr="00862CD1">
      <w:rPr>
        <w:b/>
        <w:sz w:val="22"/>
        <w:szCs w:val="22"/>
      </w:rPr>
      <w:t xml:space="preserve"> Administration</w:t>
    </w:r>
  </w:p>
  <w:p w:rsidR="003C6219" w:rsidRPr="009000D1" w:rsidRDefault="003C6219" w:rsidP="00B80CC9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>
      <w:rPr>
        <w:color w:val="000000"/>
      </w:rPr>
      <w:tab/>
    </w:r>
    <w:r w:rsidRPr="00B80CC9">
      <w:rPr>
        <w:b/>
        <w:color w:val="000000"/>
      </w:rPr>
      <w:t>CPAS-201101-RB</w:t>
    </w:r>
    <w:r>
      <w:rPr>
        <w:b/>
        <w:color w:val="000000"/>
      </w:rPr>
      <w:t xml:space="preserve"> – Questions and Answers</w:t>
    </w:r>
  </w:p>
  <w:p w:rsidR="003C6219" w:rsidRDefault="003C6219">
    <w:pPr>
      <w:pStyle w:val="Header"/>
    </w:pPr>
  </w:p>
  <w:p w:rsidR="003C6219" w:rsidRDefault="003C62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8AB"/>
    <w:multiLevelType w:val="multilevel"/>
    <w:tmpl w:val="0DFCF1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59A1667"/>
    <w:multiLevelType w:val="multilevel"/>
    <w:tmpl w:val="03D450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>
    <w:nsid w:val="099F3FAF"/>
    <w:multiLevelType w:val="multilevel"/>
    <w:tmpl w:val="BB66B8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EFE54C7"/>
    <w:multiLevelType w:val="hybridMultilevel"/>
    <w:tmpl w:val="2236D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31BF9"/>
    <w:multiLevelType w:val="hybridMultilevel"/>
    <w:tmpl w:val="8FBA6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265E33"/>
    <w:multiLevelType w:val="multilevel"/>
    <w:tmpl w:val="2A68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0953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79698B"/>
    <w:multiLevelType w:val="multilevel"/>
    <w:tmpl w:val="22C69196"/>
    <w:lvl w:ilvl="0">
      <w:start w:val="1"/>
      <w:numFmt w:val="decimal"/>
      <w:pStyle w:val="AOCHeadinglevel1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E2745BE"/>
    <w:multiLevelType w:val="multilevel"/>
    <w:tmpl w:val="D75EB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345A17E2"/>
    <w:multiLevelType w:val="hybridMultilevel"/>
    <w:tmpl w:val="CEE8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F221E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D7B24D7"/>
    <w:multiLevelType w:val="multilevel"/>
    <w:tmpl w:val="081C9EB6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8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DB44858"/>
    <w:multiLevelType w:val="multilevel"/>
    <w:tmpl w:val="2F4A944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570117C6"/>
    <w:multiLevelType w:val="hybridMultilevel"/>
    <w:tmpl w:val="7F86DAF2"/>
    <w:lvl w:ilvl="0" w:tplc="5FF6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0E84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BC26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C7082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7CD2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C8D0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D2D8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AD1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D87B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CE4400"/>
    <w:multiLevelType w:val="hybridMultilevel"/>
    <w:tmpl w:val="98661BD8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3">
    <w:nsid w:val="5F127FDE"/>
    <w:multiLevelType w:val="hybridMultilevel"/>
    <w:tmpl w:val="7AEA07AE"/>
    <w:lvl w:ilvl="0" w:tplc="8ADC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4F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9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CF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2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64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82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08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80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671604F3"/>
    <w:multiLevelType w:val="multilevel"/>
    <w:tmpl w:val="121284AE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78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22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A255451"/>
    <w:multiLevelType w:val="multilevel"/>
    <w:tmpl w:val="C36214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230" w:hanging="108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5850" w:hanging="144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27">
    <w:nsid w:val="6D5D53CB"/>
    <w:multiLevelType w:val="multilevel"/>
    <w:tmpl w:val="BA96BAB2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>
    <w:nsid w:val="778A42CF"/>
    <w:multiLevelType w:val="hybridMultilevel"/>
    <w:tmpl w:val="75C6A532"/>
    <w:lvl w:ilvl="0" w:tplc="33A84112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CD0005EC" w:tentative="1">
      <w:start w:val="1"/>
      <w:numFmt w:val="lowerLetter"/>
      <w:lvlText w:val="%2."/>
      <w:lvlJc w:val="left"/>
      <w:pPr>
        <w:ind w:left="1440" w:hanging="360"/>
      </w:pPr>
    </w:lvl>
    <w:lvl w:ilvl="2" w:tplc="682CF9F2" w:tentative="1">
      <w:start w:val="1"/>
      <w:numFmt w:val="lowerRoman"/>
      <w:lvlText w:val="%3."/>
      <w:lvlJc w:val="right"/>
      <w:pPr>
        <w:ind w:left="2160" w:hanging="180"/>
      </w:pPr>
    </w:lvl>
    <w:lvl w:ilvl="3" w:tplc="749CE312" w:tentative="1">
      <w:start w:val="1"/>
      <w:numFmt w:val="decimal"/>
      <w:lvlText w:val="%4."/>
      <w:lvlJc w:val="left"/>
      <w:pPr>
        <w:ind w:left="2880" w:hanging="360"/>
      </w:pPr>
    </w:lvl>
    <w:lvl w:ilvl="4" w:tplc="A77E3AC0" w:tentative="1">
      <w:start w:val="1"/>
      <w:numFmt w:val="lowerLetter"/>
      <w:lvlText w:val="%5."/>
      <w:lvlJc w:val="left"/>
      <w:pPr>
        <w:ind w:left="3600" w:hanging="360"/>
      </w:pPr>
    </w:lvl>
    <w:lvl w:ilvl="5" w:tplc="4C2A46B4" w:tentative="1">
      <w:start w:val="1"/>
      <w:numFmt w:val="lowerRoman"/>
      <w:lvlText w:val="%6."/>
      <w:lvlJc w:val="right"/>
      <w:pPr>
        <w:ind w:left="4320" w:hanging="180"/>
      </w:pPr>
    </w:lvl>
    <w:lvl w:ilvl="6" w:tplc="D87EE1D4" w:tentative="1">
      <w:start w:val="1"/>
      <w:numFmt w:val="decimal"/>
      <w:lvlText w:val="%7."/>
      <w:lvlJc w:val="left"/>
      <w:pPr>
        <w:ind w:left="5040" w:hanging="360"/>
      </w:pPr>
    </w:lvl>
    <w:lvl w:ilvl="7" w:tplc="25A2377E" w:tentative="1">
      <w:start w:val="1"/>
      <w:numFmt w:val="lowerLetter"/>
      <w:lvlText w:val="%8."/>
      <w:lvlJc w:val="left"/>
      <w:pPr>
        <w:ind w:left="5760" w:hanging="360"/>
      </w:pPr>
    </w:lvl>
    <w:lvl w:ilvl="8" w:tplc="5C406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B0818"/>
    <w:multiLevelType w:val="multilevel"/>
    <w:tmpl w:val="69CE994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C4A64CC"/>
    <w:multiLevelType w:val="multilevel"/>
    <w:tmpl w:val="6C22B4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22"/>
  </w:num>
  <w:num w:numId="5">
    <w:abstractNumId w:val="2"/>
  </w:num>
  <w:num w:numId="6">
    <w:abstractNumId w:val="23"/>
  </w:num>
  <w:num w:numId="7">
    <w:abstractNumId w:val="15"/>
  </w:num>
  <w:num w:numId="8">
    <w:abstractNumId w:val="10"/>
  </w:num>
  <w:num w:numId="9">
    <w:abstractNumId w:val="12"/>
  </w:num>
  <w:num w:numId="10">
    <w:abstractNumId w:val="28"/>
  </w:num>
  <w:num w:numId="11">
    <w:abstractNumId w:val="3"/>
  </w:num>
  <w:num w:numId="12">
    <w:abstractNumId w:val="8"/>
  </w:num>
  <w:num w:numId="13">
    <w:abstractNumId w:val="7"/>
  </w:num>
  <w:num w:numId="14">
    <w:abstractNumId w:val="27"/>
  </w:num>
  <w:num w:numId="15">
    <w:abstractNumId w:val="9"/>
  </w:num>
  <w:num w:numId="16">
    <w:abstractNumId w:val="30"/>
  </w:num>
  <w:num w:numId="17">
    <w:abstractNumId w:val="1"/>
  </w:num>
  <w:num w:numId="18">
    <w:abstractNumId w:val="29"/>
  </w:num>
  <w:num w:numId="19">
    <w:abstractNumId w:val="5"/>
  </w:num>
  <w:num w:numId="20">
    <w:abstractNumId w:val="3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3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2">
    <w:abstractNumId w:val="3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3">
    <w:abstractNumId w:val="11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  <w:num w:numId="39">
    <w:abstractNumId w:val="25"/>
  </w:num>
  <w:num w:numId="40">
    <w:abstractNumId w:val="18"/>
  </w:num>
  <w:num w:numId="41">
    <w:abstractNumId w:val="4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50000" w:hash="S7Vfo+bkHRKy+ME4OK1++PYEjWQ=" w:salt="9p7iGGQNywMaZI95hYzG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F7"/>
    <w:rsid w:val="00007831"/>
    <w:rsid w:val="00012F2B"/>
    <w:rsid w:val="0002344F"/>
    <w:rsid w:val="00023B38"/>
    <w:rsid w:val="00027F57"/>
    <w:rsid w:val="000356BE"/>
    <w:rsid w:val="00035A14"/>
    <w:rsid w:val="00040C80"/>
    <w:rsid w:val="00053632"/>
    <w:rsid w:val="00053778"/>
    <w:rsid w:val="000547B5"/>
    <w:rsid w:val="0005535F"/>
    <w:rsid w:val="000619B0"/>
    <w:rsid w:val="00070FCA"/>
    <w:rsid w:val="00073627"/>
    <w:rsid w:val="00073F82"/>
    <w:rsid w:val="00080391"/>
    <w:rsid w:val="00082230"/>
    <w:rsid w:val="0009442B"/>
    <w:rsid w:val="000A494D"/>
    <w:rsid w:val="000A4FF3"/>
    <w:rsid w:val="000B0357"/>
    <w:rsid w:val="000B0813"/>
    <w:rsid w:val="000D43CC"/>
    <w:rsid w:val="000D4C75"/>
    <w:rsid w:val="000D5FD6"/>
    <w:rsid w:val="000D6483"/>
    <w:rsid w:val="000F3103"/>
    <w:rsid w:val="000F77A0"/>
    <w:rsid w:val="00101C48"/>
    <w:rsid w:val="0012621F"/>
    <w:rsid w:val="001303B1"/>
    <w:rsid w:val="00133B24"/>
    <w:rsid w:val="00133F5A"/>
    <w:rsid w:val="00141EC3"/>
    <w:rsid w:val="00142C87"/>
    <w:rsid w:val="00146850"/>
    <w:rsid w:val="00151EAB"/>
    <w:rsid w:val="00166197"/>
    <w:rsid w:val="001721A3"/>
    <w:rsid w:val="00174323"/>
    <w:rsid w:val="00174A0E"/>
    <w:rsid w:val="00181FDA"/>
    <w:rsid w:val="001B3C0B"/>
    <w:rsid w:val="001E1125"/>
    <w:rsid w:val="001E612A"/>
    <w:rsid w:val="0020192C"/>
    <w:rsid w:val="00204B2E"/>
    <w:rsid w:val="00207AA4"/>
    <w:rsid w:val="002102F5"/>
    <w:rsid w:val="00214B5A"/>
    <w:rsid w:val="002154F8"/>
    <w:rsid w:val="002221B2"/>
    <w:rsid w:val="00232F3F"/>
    <w:rsid w:val="00233D32"/>
    <w:rsid w:val="00241806"/>
    <w:rsid w:val="00245B90"/>
    <w:rsid w:val="00246470"/>
    <w:rsid w:val="00251CC8"/>
    <w:rsid w:val="00253633"/>
    <w:rsid w:val="002622C4"/>
    <w:rsid w:val="00262320"/>
    <w:rsid w:val="00287005"/>
    <w:rsid w:val="00292053"/>
    <w:rsid w:val="002A13A5"/>
    <w:rsid w:val="002B023A"/>
    <w:rsid w:val="002C64BD"/>
    <w:rsid w:val="002C6A27"/>
    <w:rsid w:val="002D07F1"/>
    <w:rsid w:val="002E7965"/>
    <w:rsid w:val="002F3B47"/>
    <w:rsid w:val="003020A2"/>
    <w:rsid w:val="00310BFD"/>
    <w:rsid w:val="0031272D"/>
    <w:rsid w:val="00320E07"/>
    <w:rsid w:val="00327099"/>
    <w:rsid w:val="0032785B"/>
    <w:rsid w:val="00332694"/>
    <w:rsid w:val="00333A7A"/>
    <w:rsid w:val="003364C3"/>
    <w:rsid w:val="00342813"/>
    <w:rsid w:val="0036121D"/>
    <w:rsid w:val="00367C2E"/>
    <w:rsid w:val="00370FFC"/>
    <w:rsid w:val="0037369C"/>
    <w:rsid w:val="0037596E"/>
    <w:rsid w:val="003768A4"/>
    <w:rsid w:val="0037752F"/>
    <w:rsid w:val="0038153C"/>
    <w:rsid w:val="00382F6E"/>
    <w:rsid w:val="003953EF"/>
    <w:rsid w:val="00395B94"/>
    <w:rsid w:val="00397C6A"/>
    <w:rsid w:val="003A4D99"/>
    <w:rsid w:val="003A6EF0"/>
    <w:rsid w:val="003B3913"/>
    <w:rsid w:val="003B6624"/>
    <w:rsid w:val="003C14B3"/>
    <w:rsid w:val="003C41B1"/>
    <w:rsid w:val="003C6219"/>
    <w:rsid w:val="003D25AC"/>
    <w:rsid w:val="003D5784"/>
    <w:rsid w:val="003E46FF"/>
    <w:rsid w:val="003E5035"/>
    <w:rsid w:val="003E6C16"/>
    <w:rsid w:val="003F0F3A"/>
    <w:rsid w:val="00400CA2"/>
    <w:rsid w:val="00402C20"/>
    <w:rsid w:val="00412E62"/>
    <w:rsid w:val="0043474A"/>
    <w:rsid w:val="00435EB1"/>
    <w:rsid w:val="0044047E"/>
    <w:rsid w:val="004425FB"/>
    <w:rsid w:val="00450BAE"/>
    <w:rsid w:val="00451B5B"/>
    <w:rsid w:val="00466CA3"/>
    <w:rsid w:val="004965C7"/>
    <w:rsid w:val="004A337A"/>
    <w:rsid w:val="004A5764"/>
    <w:rsid w:val="004A6848"/>
    <w:rsid w:val="004A73F1"/>
    <w:rsid w:val="004B38F7"/>
    <w:rsid w:val="004E669D"/>
    <w:rsid w:val="00501FF0"/>
    <w:rsid w:val="00510171"/>
    <w:rsid w:val="00532899"/>
    <w:rsid w:val="00537CF1"/>
    <w:rsid w:val="005431CA"/>
    <w:rsid w:val="00546ECA"/>
    <w:rsid w:val="005500F2"/>
    <w:rsid w:val="00550CC0"/>
    <w:rsid w:val="00557A7F"/>
    <w:rsid w:val="00561B64"/>
    <w:rsid w:val="00564872"/>
    <w:rsid w:val="005655B3"/>
    <w:rsid w:val="00565F04"/>
    <w:rsid w:val="00571656"/>
    <w:rsid w:val="00572351"/>
    <w:rsid w:val="0057297E"/>
    <w:rsid w:val="00573896"/>
    <w:rsid w:val="00574253"/>
    <w:rsid w:val="0058582E"/>
    <w:rsid w:val="005942D9"/>
    <w:rsid w:val="005946B6"/>
    <w:rsid w:val="00595811"/>
    <w:rsid w:val="00595822"/>
    <w:rsid w:val="005A6CBB"/>
    <w:rsid w:val="005B04DF"/>
    <w:rsid w:val="005B09B2"/>
    <w:rsid w:val="005B0A60"/>
    <w:rsid w:val="005B4357"/>
    <w:rsid w:val="005B5F09"/>
    <w:rsid w:val="005B6BFA"/>
    <w:rsid w:val="005B711F"/>
    <w:rsid w:val="005C7D73"/>
    <w:rsid w:val="005D0821"/>
    <w:rsid w:val="005E7D03"/>
    <w:rsid w:val="005F3F8D"/>
    <w:rsid w:val="005F597D"/>
    <w:rsid w:val="005F5C25"/>
    <w:rsid w:val="005F6E88"/>
    <w:rsid w:val="00600018"/>
    <w:rsid w:val="00607FC4"/>
    <w:rsid w:val="00611D59"/>
    <w:rsid w:val="006124AB"/>
    <w:rsid w:val="00613F1E"/>
    <w:rsid w:val="00624AEA"/>
    <w:rsid w:val="00626B27"/>
    <w:rsid w:val="00632FF6"/>
    <w:rsid w:val="00640DD7"/>
    <w:rsid w:val="00646261"/>
    <w:rsid w:val="00652161"/>
    <w:rsid w:val="00652F20"/>
    <w:rsid w:val="006537F3"/>
    <w:rsid w:val="006562BF"/>
    <w:rsid w:val="006629E2"/>
    <w:rsid w:val="006661AB"/>
    <w:rsid w:val="00675C38"/>
    <w:rsid w:val="0068151C"/>
    <w:rsid w:val="0068288F"/>
    <w:rsid w:val="00684658"/>
    <w:rsid w:val="00686A4B"/>
    <w:rsid w:val="006B2B5A"/>
    <w:rsid w:val="006B572B"/>
    <w:rsid w:val="006D02BE"/>
    <w:rsid w:val="006D0B8B"/>
    <w:rsid w:val="006D5AD9"/>
    <w:rsid w:val="006D6F0B"/>
    <w:rsid w:val="006E1F73"/>
    <w:rsid w:val="006E24D0"/>
    <w:rsid w:val="006E4406"/>
    <w:rsid w:val="006E5FC6"/>
    <w:rsid w:val="006E77FD"/>
    <w:rsid w:val="006F0B7C"/>
    <w:rsid w:val="006F0EDB"/>
    <w:rsid w:val="006F4D18"/>
    <w:rsid w:val="006F6D6E"/>
    <w:rsid w:val="00710B72"/>
    <w:rsid w:val="007145FD"/>
    <w:rsid w:val="007201C1"/>
    <w:rsid w:val="00724D5F"/>
    <w:rsid w:val="0075335D"/>
    <w:rsid w:val="00753F60"/>
    <w:rsid w:val="00764455"/>
    <w:rsid w:val="007A0851"/>
    <w:rsid w:val="007B0E96"/>
    <w:rsid w:val="007B7AC8"/>
    <w:rsid w:val="007C4712"/>
    <w:rsid w:val="007D1724"/>
    <w:rsid w:val="007F5D0D"/>
    <w:rsid w:val="0080504E"/>
    <w:rsid w:val="0080611E"/>
    <w:rsid w:val="00806692"/>
    <w:rsid w:val="00817081"/>
    <w:rsid w:val="00817FA1"/>
    <w:rsid w:val="00822507"/>
    <w:rsid w:val="00825BC4"/>
    <w:rsid w:val="0082716D"/>
    <w:rsid w:val="00830694"/>
    <w:rsid w:val="00833B98"/>
    <w:rsid w:val="008465EC"/>
    <w:rsid w:val="0088206E"/>
    <w:rsid w:val="00893C52"/>
    <w:rsid w:val="0089619C"/>
    <w:rsid w:val="008A0071"/>
    <w:rsid w:val="008A22CD"/>
    <w:rsid w:val="008B3420"/>
    <w:rsid w:val="008B7248"/>
    <w:rsid w:val="008C0719"/>
    <w:rsid w:val="008E7DDF"/>
    <w:rsid w:val="008F74EB"/>
    <w:rsid w:val="00900330"/>
    <w:rsid w:val="009016CC"/>
    <w:rsid w:val="00902769"/>
    <w:rsid w:val="009038B1"/>
    <w:rsid w:val="00914A4E"/>
    <w:rsid w:val="009211B9"/>
    <w:rsid w:val="0094309E"/>
    <w:rsid w:val="0094388D"/>
    <w:rsid w:val="00945B36"/>
    <w:rsid w:val="00963BF5"/>
    <w:rsid w:val="00967812"/>
    <w:rsid w:val="00967E54"/>
    <w:rsid w:val="009726C0"/>
    <w:rsid w:val="009732A4"/>
    <w:rsid w:val="00980C57"/>
    <w:rsid w:val="009820F9"/>
    <w:rsid w:val="0099139E"/>
    <w:rsid w:val="009917C7"/>
    <w:rsid w:val="009967C8"/>
    <w:rsid w:val="009A782B"/>
    <w:rsid w:val="009B7587"/>
    <w:rsid w:val="009C38A6"/>
    <w:rsid w:val="009C51AC"/>
    <w:rsid w:val="009C66F1"/>
    <w:rsid w:val="009C69C1"/>
    <w:rsid w:val="009E3BFE"/>
    <w:rsid w:val="009E6B6B"/>
    <w:rsid w:val="00A11D4A"/>
    <w:rsid w:val="00A14FB3"/>
    <w:rsid w:val="00A17991"/>
    <w:rsid w:val="00A17F6F"/>
    <w:rsid w:val="00A26A2B"/>
    <w:rsid w:val="00A26D7D"/>
    <w:rsid w:val="00A27482"/>
    <w:rsid w:val="00A42DC6"/>
    <w:rsid w:val="00A47985"/>
    <w:rsid w:val="00A50B42"/>
    <w:rsid w:val="00A55A9B"/>
    <w:rsid w:val="00A66B5A"/>
    <w:rsid w:val="00A7464E"/>
    <w:rsid w:val="00A74DB8"/>
    <w:rsid w:val="00A76031"/>
    <w:rsid w:val="00A80BFE"/>
    <w:rsid w:val="00A81501"/>
    <w:rsid w:val="00A866A4"/>
    <w:rsid w:val="00A925A2"/>
    <w:rsid w:val="00A9408B"/>
    <w:rsid w:val="00A97984"/>
    <w:rsid w:val="00AA07A8"/>
    <w:rsid w:val="00AA170D"/>
    <w:rsid w:val="00AA1E42"/>
    <w:rsid w:val="00AB2FC2"/>
    <w:rsid w:val="00AB4F97"/>
    <w:rsid w:val="00AB5BA4"/>
    <w:rsid w:val="00AC2148"/>
    <w:rsid w:val="00AC2699"/>
    <w:rsid w:val="00AC3C7F"/>
    <w:rsid w:val="00AC44D4"/>
    <w:rsid w:val="00AC528C"/>
    <w:rsid w:val="00AC5954"/>
    <w:rsid w:val="00AD286F"/>
    <w:rsid w:val="00AD59DB"/>
    <w:rsid w:val="00AE701B"/>
    <w:rsid w:val="00AF1C89"/>
    <w:rsid w:val="00AF530A"/>
    <w:rsid w:val="00B0009B"/>
    <w:rsid w:val="00B23242"/>
    <w:rsid w:val="00B377DA"/>
    <w:rsid w:val="00B4102F"/>
    <w:rsid w:val="00B41390"/>
    <w:rsid w:val="00B50A85"/>
    <w:rsid w:val="00B55FFF"/>
    <w:rsid w:val="00B56734"/>
    <w:rsid w:val="00B60F34"/>
    <w:rsid w:val="00B61AC9"/>
    <w:rsid w:val="00B73A63"/>
    <w:rsid w:val="00B80CC9"/>
    <w:rsid w:val="00B8213C"/>
    <w:rsid w:val="00B90602"/>
    <w:rsid w:val="00B94738"/>
    <w:rsid w:val="00BA17D7"/>
    <w:rsid w:val="00BA4F5A"/>
    <w:rsid w:val="00BB0599"/>
    <w:rsid w:val="00BB0779"/>
    <w:rsid w:val="00BB4AA7"/>
    <w:rsid w:val="00BD0D2D"/>
    <w:rsid w:val="00BD3DD2"/>
    <w:rsid w:val="00BD65B9"/>
    <w:rsid w:val="00BE1290"/>
    <w:rsid w:val="00BE2A6C"/>
    <w:rsid w:val="00BE64DE"/>
    <w:rsid w:val="00BF4577"/>
    <w:rsid w:val="00C02295"/>
    <w:rsid w:val="00C03B88"/>
    <w:rsid w:val="00C041EE"/>
    <w:rsid w:val="00C06CD8"/>
    <w:rsid w:val="00C10A3D"/>
    <w:rsid w:val="00C13174"/>
    <w:rsid w:val="00C2362A"/>
    <w:rsid w:val="00C25541"/>
    <w:rsid w:val="00C352E3"/>
    <w:rsid w:val="00C37FF7"/>
    <w:rsid w:val="00C636C2"/>
    <w:rsid w:val="00C662D1"/>
    <w:rsid w:val="00C738C0"/>
    <w:rsid w:val="00C75563"/>
    <w:rsid w:val="00C801C7"/>
    <w:rsid w:val="00CB0A6F"/>
    <w:rsid w:val="00CB3957"/>
    <w:rsid w:val="00CB4253"/>
    <w:rsid w:val="00CC73B4"/>
    <w:rsid w:val="00CD11AF"/>
    <w:rsid w:val="00CD5B24"/>
    <w:rsid w:val="00CE2267"/>
    <w:rsid w:val="00CF5AA9"/>
    <w:rsid w:val="00CF649C"/>
    <w:rsid w:val="00CF70E4"/>
    <w:rsid w:val="00D1028F"/>
    <w:rsid w:val="00D1041F"/>
    <w:rsid w:val="00D154A9"/>
    <w:rsid w:val="00D154C8"/>
    <w:rsid w:val="00D171E2"/>
    <w:rsid w:val="00D22A15"/>
    <w:rsid w:val="00D267DD"/>
    <w:rsid w:val="00D33FD6"/>
    <w:rsid w:val="00D44364"/>
    <w:rsid w:val="00D45049"/>
    <w:rsid w:val="00D4710E"/>
    <w:rsid w:val="00D523F5"/>
    <w:rsid w:val="00D53A07"/>
    <w:rsid w:val="00D559ED"/>
    <w:rsid w:val="00D613D4"/>
    <w:rsid w:val="00D62DC6"/>
    <w:rsid w:val="00D6671D"/>
    <w:rsid w:val="00D70026"/>
    <w:rsid w:val="00D7152A"/>
    <w:rsid w:val="00D74207"/>
    <w:rsid w:val="00D84704"/>
    <w:rsid w:val="00DA5022"/>
    <w:rsid w:val="00DB5D7F"/>
    <w:rsid w:val="00DC4F86"/>
    <w:rsid w:val="00DC5CDA"/>
    <w:rsid w:val="00DD125E"/>
    <w:rsid w:val="00DE191E"/>
    <w:rsid w:val="00E008B0"/>
    <w:rsid w:val="00E00E57"/>
    <w:rsid w:val="00E106EC"/>
    <w:rsid w:val="00E107AA"/>
    <w:rsid w:val="00E12D22"/>
    <w:rsid w:val="00E248AD"/>
    <w:rsid w:val="00E52AB4"/>
    <w:rsid w:val="00E72BA3"/>
    <w:rsid w:val="00E85536"/>
    <w:rsid w:val="00E94930"/>
    <w:rsid w:val="00EA2E06"/>
    <w:rsid w:val="00EA31A4"/>
    <w:rsid w:val="00EA5FCD"/>
    <w:rsid w:val="00EB713B"/>
    <w:rsid w:val="00EC4775"/>
    <w:rsid w:val="00ED16CA"/>
    <w:rsid w:val="00ED4ABC"/>
    <w:rsid w:val="00EE4622"/>
    <w:rsid w:val="00EE463D"/>
    <w:rsid w:val="00EE61E6"/>
    <w:rsid w:val="00EE7FF4"/>
    <w:rsid w:val="00F0059D"/>
    <w:rsid w:val="00F02BA6"/>
    <w:rsid w:val="00F03E12"/>
    <w:rsid w:val="00F104D6"/>
    <w:rsid w:val="00F15E0A"/>
    <w:rsid w:val="00F32B28"/>
    <w:rsid w:val="00F34996"/>
    <w:rsid w:val="00F4449C"/>
    <w:rsid w:val="00F72AB0"/>
    <w:rsid w:val="00F73B08"/>
    <w:rsid w:val="00F74C14"/>
    <w:rsid w:val="00F82722"/>
    <w:rsid w:val="00F85DDD"/>
    <w:rsid w:val="00F9118C"/>
    <w:rsid w:val="00FA6747"/>
    <w:rsid w:val="00FC2A28"/>
    <w:rsid w:val="00FC4A81"/>
    <w:rsid w:val="00FC7AB4"/>
    <w:rsid w:val="00FD3DAD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9"/>
      </w:numPr>
      <w:spacing w:before="120"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74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C14"/>
    <w:rPr>
      <w:rFonts w:ascii="Times New Roman" w:eastAsia="Times New Roman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F74C14"/>
    <w:rPr>
      <w:rFonts w:cs="Times New Roman"/>
      <w:vertAlign w:val="superscript"/>
    </w:rPr>
  </w:style>
  <w:style w:type="paragraph" w:customStyle="1" w:styleId="AOCHeadinglevel1">
    <w:name w:val="AOC Heading level 1"/>
    <w:basedOn w:val="Normal"/>
    <w:uiPriority w:val="99"/>
    <w:rsid w:val="00F74C14"/>
    <w:pPr>
      <w:numPr>
        <w:numId w:val="15"/>
      </w:numPr>
      <w:tabs>
        <w:tab w:val="left" w:pos="1440"/>
      </w:tabs>
      <w:outlineLvl w:val="0"/>
    </w:pPr>
    <w:rPr>
      <w:rFonts w:ascii="Arial Black" w:hAnsi="Arial Black"/>
      <w:b/>
      <w:bCs/>
      <w:sz w:val="22"/>
      <w:szCs w:val="22"/>
    </w:rPr>
  </w:style>
  <w:style w:type="paragraph" w:customStyle="1" w:styleId="DocInit">
    <w:name w:val="Doc Init"/>
    <w:basedOn w:val="Normal"/>
    <w:uiPriority w:val="99"/>
    <w:rsid w:val="00451B5B"/>
    <w:rPr>
      <w:rFonts w:ascii="Courier" w:hAnsi="Courier" w:cs="Courier"/>
    </w:rPr>
  </w:style>
  <w:style w:type="paragraph" w:styleId="TOC1">
    <w:name w:val="toc 1"/>
    <w:basedOn w:val="Normal"/>
    <w:next w:val="Normal"/>
    <w:autoRedefine/>
    <w:uiPriority w:val="39"/>
    <w:unhideWhenUsed/>
    <w:rsid w:val="003C41B1"/>
    <w:pPr>
      <w:spacing w:after="100"/>
    </w:pPr>
  </w:style>
  <w:style w:type="table" w:styleId="TableGrid">
    <w:name w:val="Table Grid"/>
    <w:basedOn w:val="TableNormal"/>
    <w:uiPriority w:val="59"/>
    <w:rsid w:val="0037369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1EC3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0619B0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721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sconline.org/D_Research/TestConstructionManual04-1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ca.gov/documents/overview-oralexam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urts.ca.gov/documents/overview-oralexa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documents/written-exam-overview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238F-F998-43A5-AA90-DF6C436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1987</Words>
  <Characters>11328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4</cp:revision>
  <cp:lastPrinted>2012-02-06T18:11:00Z</cp:lastPrinted>
  <dcterms:created xsi:type="dcterms:W3CDTF">2012-02-10T19:47:00Z</dcterms:created>
  <dcterms:modified xsi:type="dcterms:W3CDTF">2012-02-10T23:17:00Z</dcterms:modified>
</cp:coreProperties>
</file>