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D6" w:rsidRPr="0023039E" w:rsidRDefault="00DC6DD0" w:rsidP="00DC6DD0">
      <w:pPr>
        <w:pStyle w:val="Heading10"/>
        <w:keepNext w:val="0"/>
        <w:ind w:right="288"/>
        <w:rPr>
          <w:sz w:val="26"/>
          <w:szCs w:val="26"/>
        </w:rPr>
      </w:pPr>
      <w:r w:rsidRPr="0023039E">
        <w:rPr>
          <w:sz w:val="26"/>
          <w:szCs w:val="26"/>
        </w:rPr>
        <w:t>ATTACHMENT 2</w:t>
      </w:r>
    </w:p>
    <w:p w:rsidR="00DC6DD0" w:rsidRPr="0023039E" w:rsidRDefault="00DC6DD0" w:rsidP="00DC6DD0">
      <w:pPr>
        <w:pStyle w:val="Heading10"/>
        <w:keepNext w:val="0"/>
        <w:ind w:right="288"/>
        <w:rPr>
          <w:sz w:val="26"/>
          <w:szCs w:val="26"/>
        </w:rPr>
      </w:pPr>
      <w:r w:rsidRPr="0023039E">
        <w:rPr>
          <w:sz w:val="26"/>
          <w:szCs w:val="26"/>
        </w:rPr>
        <w:t>contract terms</w:t>
      </w:r>
      <w:r w:rsidR="004A60FB" w:rsidRPr="0023039E">
        <w:rPr>
          <w:sz w:val="26"/>
          <w:szCs w:val="26"/>
        </w:rPr>
        <w:t xml:space="preserve"> AND CONDITIONS</w:t>
      </w:r>
    </w:p>
    <w:p w:rsidR="00DC6DD0" w:rsidRPr="0023039E" w:rsidRDefault="0035437E" w:rsidP="00DC6DD0">
      <w:pPr>
        <w:pStyle w:val="Heading10"/>
        <w:keepNext w:val="0"/>
        <w:ind w:right="288"/>
        <w:rPr>
          <w:caps w:val="0"/>
          <w:sz w:val="26"/>
          <w:szCs w:val="26"/>
        </w:rPr>
      </w:pPr>
      <w:r w:rsidRPr="0023039E">
        <w:rPr>
          <w:sz w:val="26"/>
          <w:szCs w:val="26"/>
        </w:rPr>
        <w:t>EXHIBIT A</w:t>
      </w:r>
      <w:r w:rsidR="00E8262A" w:rsidRPr="0023039E">
        <w:rPr>
          <w:sz w:val="26"/>
          <w:szCs w:val="26"/>
        </w:rPr>
        <w:t xml:space="preserve"> </w:t>
      </w:r>
      <w:r w:rsidRPr="0023039E">
        <w:rPr>
          <w:sz w:val="26"/>
          <w:szCs w:val="26"/>
        </w:rPr>
        <w:t xml:space="preserve">- </w:t>
      </w:r>
      <w:r w:rsidR="00DC6DD0" w:rsidRPr="0023039E">
        <w:rPr>
          <w:sz w:val="26"/>
          <w:szCs w:val="26"/>
        </w:rPr>
        <w:t xml:space="preserve">AOC </w:t>
      </w:r>
      <w:r w:rsidR="004B244B" w:rsidRPr="0023039E">
        <w:rPr>
          <w:sz w:val="26"/>
          <w:szCs w:val="26"/>
        </w:rPr>
        <w:t>Standard</w:t>
      </w:r>
      <w:r w:rsidR="00DC6DD0" w:rsidRPr="0023039E">
        <w:rPr>
          <w:caps w:val="0"/>
          <w:sz w:val="26"/>
          <w:szCs w:val="26"/>
        </w:rPr>
        <w:t xml:space="preserve"> TERMS AND CONDITIONS</w:t>
      </w:r>
    </w:p>
    <w:p w:rsidR="00DC6DD0" w:rsidRPr="0023039E" w:rsidRDefault="00DC6DD0" w:rsidP="00DC6DD0">
      <w:pPr>
        <w:pStyle w:val="Heading10"/>
        <w:keepNext w:val="0"/>
        <w:ind w:right="288"/>
        <w:rPr>
          <w:sz w:val="26"/>
          <w:szCs w:val="26"/>
        </w:rPr>
      </w:pPr>
      <w:r w:rsidRPr="0023039E">
        <w:rPr>
          <w:sz w:val="26"/>
          <w:szCs w:val="26"/>
        </w:rPr>
        <w:t>(Non-IT SERVICES)</w:t>
      </w:r>
      <w:r w:rsidR="00D0215B" w:rsidRPr="0023039E">
        <w:rPr>
          <w:sz w:val="26"/>
          <w:szCs w:val="26"/>
        </w:rPr>
        <w:t xml:space="preserve">  </w:t>
      </w:r>
    </w:p>
    <w:p w:rsidR="00DC6DD0" w:rsidRPr="0023039E" w:rsidRDefault="00DC6DD0" w:rsidP="00DC6DD0">
      <w:pPr>
        <w:jc w:val="both"/>
        <w:rPr>
          <w:sz w:val="20"/>
          <w:szCs w:val="20"/>
        </w:rPr>
      </w:pPr>
    </w:p>
    <w:p w:rsidR="00DC6DD0" w:rsidRPr="0023039E" w:rsidRDefault="00DC6DD0" w:rsidP="00DC6DD0">
      <w:pPr>
        <w:spacing w:before="120"/>
        <w:jc w:val="both"/>
      </w:pPr>
      <w:r w:rsidRPr="0023039E">
        <w:t>Each proposer must state in its proposal whether it accepts the below, standard contract terms and conditions</w:t>
      </w:r>
      <w:proofErr w:type="gramStart"/>
      <w:r w:rsidRPr="0023039E">
        <w:t xml:space="preserve">. </w:t>
      </w:r>
      <w:proofErr w:type="gramEnd"/>
      <w:r w:rsidRPr="0023039E">
        <w:t>Any exceptions must be included, if at all, with the proposal submission</w:t>
      </w:r>
      <w:proofErr w:type="gramStart"/>
      <w:r w:rsidRPr="0023039E">
        <w:t xml:space="preserve">. </w:t>
      </w:r>
      <w:proofErr w:type="gramEnd"/>
      <w:r w:rsidRPr="0023039E">
        <w:rPr>
          <w:b/>
        </w:rPr>
        <w:t xml:space="preserve">Please note: </w:t>
      </w:r>
      <w:r w:rsidRPr="0023039E">
        <w:t xml:space="preserve">(1) Terms marked with an asterisk </w:t>
      </w:r>
      <w:r w:rsidRPr="0023039E">
        <w:rPr>
          <w:b/>
        </w:rPr>
        <w:t>(*)</w:t>
      </w:r>
      <w:r w:rsidRPr="0023039E">
        <w:t xml:space="preserve"> are </w:t>
      </w:r>
      <w:r w:rsidRPr="0023039E">
        <w:rPr>
          <w:b/>
          <w:i/>
        </w:rPr>
        <w:t>mandatory minimum terms</w:t>
      </w:r>
      <w:r w:rsidRPr="0023039E">
        <w:t xml:space="preserve"> of the procurement, and taking any material exception </w:t>
      </w:r>
      <w:r w:rsidR="00F60663" w:rsidRPr="0023039E">
        <w:t>will</w:t>
      </w:r>
      <w:r w:rsidRPr="0023039E">
        <w:t xml:space="preserve"> render a proposal non-responsive; and (2) exceptions taken to other terms and conditions may be a negative factor in evaluation of a proposal. </w:t>
      </w:r>
    </w:p>
    <w:p w:rsidR="00A2380A" w:rsidRPr="0023039E" w:rsidRDefault="00CD5535">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DEFINITIONS</w:t>
      </w:r>
    </w:p>
    <w:p w:rsidR="00D66204" w:rsidRPr="0023039E" w:rsidRDefault="00D66204" w:rsidP="00D66204">
      <w:pPr>
        <w:pStyle w:val="ExhibitA2"/>
        <w:keepNext w:val="0"/>
        <w:tabs>
          <w:tab w:val="clear" w:pos="-720"/>
          <w:tab w:val="clear" w:pos="2016"/>
          <w:tab w:val="clear" w:pos="2592"/>
          <w:tab w:val="clear" w:pos="4176"/>
          <w:tab w:val="clear" w:pos="10710"/>
        </w:tabs>
        <w:suppressAutoHyphens w:val="0"/>
        <w:spacing w:before="120" w:after="120"/>
        <w:ind w:right="0"/>
        <w:jc w:val="left"/>
        <w:outlineLvl w:val="9"/>
      </w:pPr>
      <w:r w:rsidRPr="0023039E">
        <w:t>Wherever capitalized in this Agreement, the following words shall have the following meanings:</w:t>
      </w:r>
    </w:p>
    <w:p w:rsidR="00D66204" w:rsidRPr="0023039E" w:rsidRDefault="00D66204" w:rsidP="00D66204">
      <w:pPr>
        <w:pStyle w:val="ExhibitA3"/>
        <w:keepNext w:val="0"/>
        <w:tabs>
          <w:tab w:val="clear" w:pos="2592"/>
          <w:tab w:val="clear" w:pos="4176"/>
          <w:tab w:val="clear" w:pos="10710"/>
        </w:tabs>
        <w:spacing w:before="120" w:after="120"/>
        <w:ind w:right="0"/>
        <w:outlineLvl w:val="9"/>
      </w:pPr>
      <w:r w:rsidRPr="0023039E">
        <w:t>“</w:t>
      </w:r>
      <w:r w:rsidRPr="0023039E">
        <w:rPr>
          <w:b/>
          <w:bCs/>
        </w:rPr>
        <w:t>Amendment</w:t>
      </w:r>
      <w:r w:rsidRPr="0023039E">
        <w:t xml:space="preserve">” means a written document issued by the AOC and signed by the Contractor which alters the Contract Documents and identifies the following: </w:t>
      </w:r>
    </w:p>
    <w:p w:rsidR="00A2380A" w:rsidRPr="0023039E" w:rsidRDefault="00D66204">
      <w:pPr>
        <w:pStyle w:val="ExhibitA4"/>
        <w:numPr>
          <w:ilvl w:val="3"/>
          <w:numId w:val="18"/>
        </w:numPr>
        <w:tabs>
          <w:tab w:val="clear" w:pos="2376"/>
          <w:tab w:val="num" w:pos="2448"/>
        </w:tabs>
        <w:ind w:left="2448" w:hanging="576"/>
      </w:pPr>
      <w:r w:rsidRPr="0023039E">
        <w:t xml:space="preserve">A change in the Services; </w:t>
      </w:r>
    </w:p>
    <w:p w:rsidR="00A2380A" w:rsidRPr="0023039E" w:rsidRDefault="00D66204">
      <w:pPr>
        <w:pStyle w:val="ExhibitA4"/>
        <w:numPr>
          <w:ilvl w:val="3"/>
          <w:numId w:val="18"/>
        </w:numPr>
        <w:tabs>
          <w:tab w:val="clear" w:pos="2376"/>
          <w:tab w:val="num" w:pos="2448"/>
        </w:tabs>
        <w:ind w:left="2448" w:hanging="576"/>
      </w:pPr>
      <w:r w:rsidRPr="0023039E">
        <w:t>A change in Contract Amount;</w:t>
      </w:r>
    </w:p>
    <w:p w:rsidR="00A2380A" w:rsidRPr="0023039E" w:rsidRDefault="00D66204">
      <w:pPr>
        <w:pStyle w:val="ExhibitA4"/>
        <w:numPr>
          <w:ilvl w:val="3"/>
          <w:numId w:val="18"/>
        </w:numPr>
        <w:tabs>
          <w:tab w:val="clear" w:pos="2376"/>
          <w:tab w:val="num" w:pos="2448"/>
        </w:tabs>
        <w:ind w:left="2448" w:hanging="576"/>
      </w:pPr>
      <w:r w:rsidRPr="0023039E">
        <w:t>A change in time allotted for performance; and/or</w:t>
      </w:r>
    </w:p>
    <w:p w:rsidR="00A2380A" w:rsidRPr="0023039E" w:rsidRDefault="00D66204">
      <w:pPr>
        <w:pStyle w:val="ExhibitA4"/>
        <w:numPr>
          <w:ilvl w:val="3"/>
          <w:numId w:val="18"/>
        </w:numPr>
        <w:tabs>
          <w:tab w:val="clear" w:pos="2376"/>
          <w:tab w:val="num" w:pos="2448"/>
        </w:tabs>
        <w:ind w:left="2448" w:hanging="576"/>
      </w:pPr>
      <w:r w:rsidRPr="0023039E">
        <w:t xml:space="preserve"> </w:t>
      </w:r>
      <w:proofErr w:type="gramStart"/>
      <w:r w:rsidRPr="0023039E">
        <w:t>An adjustment to the Agreement terms.</w:t>
      </w:r>
      <w:proofErr w:type="gramEnd"/>
    </w:p>
    <w:p w:rsidR="000B7CF5" w:rsidRPr="0023039E" w:rsidRDefault="000B7CF5" w:rsidP="006A2C6B">
      <w:pPr>
        <w:pStyle w:val="ExhibitA3"/>
        <w:keepNext w:val="0"/>
        <w:tabs>
          <w:tab w:val="clear" w:pos="2592"/>
          <w:tab w:val="clear" w:pos="4176"/>
          <w:tab w:val="clear" w:pos="10710"/>
        </w:tabs>
        <w:spacing w:before="120" w:after="120"/>
        <w:ind w:right="54"/>
        <w:jc w:val="both"/>
        <w:outlineLvl w:val="9"/>
      </w:pPr>
      <w:r w:rsidRPr="0023039E">
        <w:rPr>
          <w:b/>
        </w:rPr>
        <w:t xml:space="preserve">“Child” </w:t>
      </w:r>
      <w:r w:rsidRPr="0023039E">
        <w:t xml:space="preserve">or </w:t>
      </w:r>
      <w:r w:rsidRPr="0023039E">
        <w:rPr>
          <w:b/>
        </w:rPr>
        <w:t>“Children”</w:t>
      </w:r>
      <w:r w:rsidRPr="0023039E">
        <w:t xml:space="preserve"> </w:t>
      </w:r>
      <w:proofErr w:type="gramStart"/>
      <w:r w:rsidRPr="0023039E">
        <w:t>refers</w:t>
      </w:r>
      <w:proofErr w:type="gramEnd"/>
      <w:r w:rsidRPr="0023039E">
        <w:t xml:space="preserve"> to all children and youth, including eligible non-minor dependents in juvenile dependency proceedings.</w:t>
      </w:r>
      <w:r w:rsidRPr="0023039E">
        <w:rPr>
          <w:b/>
        </w:rPr>
        <w:t xml:space="preserve"> </w:t>
      </w:r>
    </w:p>
    <w:p w:rsidR="00D66204" w:rsidRPr="0023039E" w:rsidRDefault="00D66204" w:rsidP="006A2C6B">
      <w:pPr>
        <w:pStyle w:val="ExhibitA3"/>
        <w:keepNext w:val="0"/>
        <w:tabs>
          <w:tab w:val="clear" w:pos="2592"/>
          <w:tab w:val="clear" w:pos="4176"/>
          <w:tab w:val="clear" w:pos="10710"/>
        </w:tabs>
        <w:spacing w:before="120" w:after="120"/>
        <w:ind w:right="54"/>
        <w:jc w:val="both"/>
        <w:outlineLvl w:val="9"/>
      </w:pPr>
      <w:r w:rsidRPr="0023039E">
        <w:rPr>
          <w:b/>
        </w:rPr>
        <w:t>“Confidential Information”</w:t>
      </w:r>
      <w:r w:rsidRPr="0023039E">
        <w:t xml:space="preserve"> means trade secrets, financial, statistical, personnel, technical, and other Data and information relating to the AOC’s business or the business of its constituents.  Confidential Information does not include: </w:t>
      </w:r>
    </w:p>
    <w:p w:rsidR="00A2380A" w:rsidRPr="0023039E" w:rsidRDefault="00D66204" w:rsidP="006A2C6B">
      <w:pPr>
        <w:pStyle w:val="ExhibitA4"/>
        <w:numPr>
          <w:ilvl w:val="3"/>
          <w:numId w:val="63"/>
        </w:numPr>
        <w:ind w:right="54"/>
        <w:jc w:val="both"/>
      </w:pPr>
      <w:r w:rsidRPr="0023039E">
        <w:t xml:space="preserve">Information that is already known by the receiving party, free of obligation of confidentiality to the disclosing party; </w:t>
      </w:r>
    </w:p>
    <w:p w:rsidR="00A2380A" w:rsidRPr="0023039E" w:rsidRDefault="00D66204" w:rsidP="006A2C6B">
      <w:pPr>
        <w:pStyle w:val="ExhibitA4"/>
        <w:numPr>
          <w:ilvl w:val="3"/>
          <w:numId w:val="63"/>
        </w:numPr>
        <w:ind w:right="54"/>
        <w:jc w:val="both"/>
      </w:pPr>
      <w:r w:rsidRPr="0023039E">
        <w:t>Information that becomes generally available to the public, other than as a result of disclosure by the receiving party in breach of this Agreement;</w:t>
      </w:r>
    </w:p>
    <w:p w:rsidR="00A2380A" w:rsidRPr="0023039E" w:rsidRDefault="00D66204" w:rsidP="006A2C6B">
      <w:pPr>
        <w:pStyle w:val="ExhibitA4"/>
        <w:numPr>
          <w:ilvl w:val="3"/>
          <w:numId w:val="63"/>
        </w:numPr>
        <w:ind w:right="54"/>
        <w:jc w:val="both"/>
      </w:pPr>
      <w:r w:rsidRPr="0023039E">
        <w:t>Information that is independently developed by the receiving party without reference to the Confidential Information; and</w:t>
      </w:r>
    </w:p>
    <w:p w:rsidR="00A2380A" w:rsidRPr="0023039E" w:rsidRDefault="00D66204" w:rsidP="006A2C6B">
      <w:pPr>
        <w:pStyle w:val="ExhibitA4"/>
        <w:numPr>
          <w:ilvl w:val="3"/>
          <w:numId w:val="63"/>
        </w:numPr>
        <w:ind w:right="54"/>
        <w:jc w:val="both"/>
      </w:pPr>
      <w:proofErr w:type="gramStart"/>
      <w:r w:rsidRPr="0023039E">
        <w:t>Information that the receiving party rightfully obtains from a Third Party free of the obligation of confidentiality to the disclosing party.</w:t>
      </w:r>
      <w:proofErr w:type="gramEnd"/>
    </w:p>
    <w:p w:rsidR="00D66204" w:rsidRPr="0023039E" w:rsidRDefault="00D66204" w:rsidP="006A2C6B">
      <w:pPr>
        <w:pStyle w:val="ExhibitA3"/>
        <w:keepNext w:val="0"/>
        <w:tabs>
          <w:tab w:val="clear" w:pos="2592"/>
          <w:tab w:val="clear" w:pos="4176"/>
          <w:tab w:val="clear" w:pos="10710"/>
        </w:tabs>
        <w:spacing w:before="120" w:after="120"/>
        <w:ind w:right="54"/>
        <w:jc w:val="both"/>
        <w:outlineLvl w:val="9"/>
      </w:pPr>
      <w:r w:rsidRPr="0023039E">
        <w:t>“</w:t>
      </w:r>
      <w:r w:rsidRPr="0023039E">
        <w:rPr>
          <w:b/>
          <w:bCs/>
        </w:rPr>
        <w:t>Contract</w:t>
      </w:r>
      <w:r w:rsidRPr="0023039E">
        <w:t>” or “</w:t>
      </w:r>
      <w:r w:rsidRPr="0023039E">
        <w:rPr>
          <w:b/>
          <w:bCs/>
        </w:rPr>
        <w:t>Contract</w:t>
      </w:r>
      <w:r w:rsidRPr="0023039E">
        <w:t xml:space="preserve"> </w:t>
      </w:r>
      <w:r w:rsidRPr="0023039E">
        <w:rPr>
          <w:b/>
          <w:bCs/>
        </w:rPr>
        <w:t>Documents</w:t>
      </w:r>
      <w:r w:rsidRPr="0023039E">
        <w:t>” mean(s) the entire integrated agreement between the AOC and the Contractor, as attached to and incorporated by a fully executed Standard Agreement Coversheet form.  The terms “Contract” or “Contract Documents” may be used interchangeably with the term “</w:t>
      </w:r>
      <w:r w:rsidRPr="0023039E">
        <w:rPr>
          <w:b/>
          <w:bCs/>
        </w:rPr>
        <w:t>Agreement</w:t>
      </w:r>
      <w:proofErr w:type="gramStart"/>
      <w:r w:rsidRPr="0023039E">
        <w:rPr>
          <w:b/>
          <w:bCs/>
        </w:rPr>
        <w:t>.”</w:t>
      </w:r>
      <w:proofErr w:type="gramEnd"/>
    </w:p>
    <w:p w:rsidR="00D66204" w:rsidRPr="0023039E" w:rsidRDefault="00D66204" w:rsidP="006A2C6B">
      <w:pPr>
        <w:pStyle w:val="ExhibitA3"/>
        <w:keepNext w:val="0"/>
        <w:tabs>
          <w:tab w:val="clear" w:pos="2592"/>
          <w:tab w:val="clear" w:pos="4176"/>
          <w:tab w:val="clear" w:pos="10710"/>
        </w:tabs>
        <w:spacing w:before="120" w:after="120"/>
        <w:ind w:right="0"/>
        <w:jc w:val="both"/>
        <w:outlineLvl w:val="9"/>
      </w:pPr>
      <w:r w:rsidRPr="0023039E">
        <w:lastRenderedPageBreak/>
        <w:t>“</w:t>
      </w:r>
      <w:r w:rsidRPr="0023039E">
        <w:rPr>
          <w:b/>
          <w:bCs/>
        </w:rPr>
        <w:t>Contract Amount</w:t>
      </w:r>
      <w:r w:rsidRPr="0023039E">
        <w:t xml:space="preserve">” means the total amount encumbered under this Agreement for any payment by the AOC to the Contractor for performance of the Services, in accordance with the Contract Documents. </w:t>
      </w:r>
    </w:p>
    <w:p w:rsidR="00D66204" w:rsidRPr="0023039E" w:rsidRDefault="00D66204" w:rsidP="006A2C6B">
      <w:pPr>
        <w:pStyle w:val="ExhibitA3"/>
        <w:keepNext w:val="0"/>
        <w:tabs>
          <w:tab w:val="clear" w:pos="2592"/>
          <w:tab w:val="clear" w:pos="4176"/>
          <w:tab w:val="clear" w:pos="10710"/>
        </w:tabs>
        <w:spacing w:before="120" w:after="120"/>
        <w:ind w:right="0"/>
        <w:jc w:val="both"/>
        <w:outlineLvl w:val="9"/>
      </w:pPr>
      <w:r w:rsidRPr="0023039E">
        <w:t>“</w:t>
      </w:r>
      <w:r w:rsidRPr="0023039E">
        <w:rPr>
          <w:b/>
          <w:bCs/>
        </w:rPr>
        <w:t>Contractor</w:t>
      </w:r>
      <w:r w:rsidRPr="0023039E">
        <w:t>” means the individual, association, partnership, firm, company, consultant, corporation, affiliates, or combination thereof, including joint ventures, contracting with the AOC to perform the Services.  The Contractor is one of the parties to this Agreement.</w:t>
      </w:r>
    </w:p>
    <w:p w:rsidR="00D66204" w:rsidRPr="0023039E" w:rsidRDefault="00D66204" w:rsidP="00D66204">
      <w:pPr>
        <w:pStyle w:val="ExhibitA3"/>
        <w:keepNext w:val="0"/>
        <w:tabs>
          <w:tab w:val="clear" w:pos="2592"/>
          <w:tab w:val="clear" w:pos="4176"/>
          <w:tab w:val="clear" w:pos="10710"/>
        </w:tabs>
        <w:spacing w:before="120" w:after="120"/>
        <w:ind w:right="0"/>
        <w:outlineLvl w:val="9"/>
      </w:pPr>
      <w:r w:rsidRPr="0023039E">
        <w:rPr>
          <w:b/>
          <w:bCs/>
        </w:rPr>
        <w:t>“Court”</w:t>
      </w:r>
      <w:r w:rsidRPr="0023039E">
        <w:t xml:space="preserve"> means the Superior Court of California, County of </w:t>
      </w:r>
      <w:r w:rsidR="007E5F37" w:rsidRPr="0023039E">
        <w:t>El Dorado</w:t>
      </w:r>
      <w:r w:rsidRPr="0023039E">
        <w:t>.</w:t>
      </w:r>
    </w:p>
    <w:p w:rsidR="00D66204" w:rsidRPr="0023039E" w:rsidRDefault="00D66204" w:rsidP="006A2C6B">
      <w:pPr>
        <w:pStyle w:val="ExhibitA3"/>
        <w:keepNext w:val="0"/>
        <w:tabs>
          <w:tab w:val="clear" w:pos="2592"/>
          <w:tab w:val="clear" w:pos="4176"/>
          <w:tab w:val="clear" w:pos="10710"/>
        </w:tabs>
        <w:spacing w:before="120" w:after="120"/>
        <w:ind w:right="0"/>
        <w:jc w:val="both"/>
        <w:outlineLvl w:val="9"/>
      </w:pPr>
      <w:r w:rsidRPr="0023039E">
        <w:t>“</w:t>
      </w:r>
      <w:r w:rsidRPr="0023039E">
        <w:rPr>
          <w:b/>
          <w:bCs/>
        </w:rPr>
        <w:t>Data</w:t>
      </w:r>
      <w:r w:rsidRPr="0023039E">
        <w:t>” has the meaning set forth in Section 13.</w:t>
      </w:r>
    </w:p>
    <w:p w:rsidR="00D66204" w:rsidRPr="0023039E" w:rsidRDefault="00D66204" w:rsidP="006A2C6B">
      <w:pPr>
        <w:pStyle w:val="ExhibitA3"/>
        <w:keepNext w:val="0"/>
        <w:tabs>
          <w:tab w:val="clear" w:pos="2592"/>
          <w:tab w:val="clear" w:pos="4176"/>
          <w:tab w:val="clear" w:pos="10710"/>
        </w:tabs>
        <w:spacing w:before="120" w:after="120"/>
        <w:ind w:right="0"/>
        <w:jc w:val="both"/>
        <w:outlineLvl w:val="9"/>
      </w:pPr>
      <w:r w:rsidRPr="0023039E">
        <w:t>“</w:t>
      </w:r>
      <w:r w:rsidRPr="0023039E">
        <w:rPr>
          <w:b/>
          <w:bCs/>
        </w:rPr>
        <w:t>Force Majeure</w:t>
      </w:r>
      <w:r w:rsidRPr="0023039E">
        <w:t>” means a delay that prevents the timely performance of any obligation because such delay or failure to perform was unforeseeable and beyond the control of the party that failed to perform.  Acts of Force Majeure include, but are not limited to:</w:t>
      </w:r>
    </w:p>
    <w:p w:rsidR="00A2380A" w:rsidRPr="0023039E" w:rsidRDefault="00D66204">
      <w:pPr>
        <w:pStyle w:val="ExhibitA4"/>
        <w:numPr>
          <w:ilvl w:val="3"/>
          <w:numId w:val="65"/>
        </w:numPr>
      </w:pPr>
      <w:r w:rsidRPr="0023039E">
        <w:t>Acts of God or the public enemy;</w:t>
      </w:r>
    </w:p>
    <w:p w:rsidR="00A2380A" w:rsidRPr="0023039E" w:rsidRDefault="00D66204">
      <w:pPr>
        <w:pStyle w:val="ExhibitA4"/>
        <w:numPr>
          <w:ilvl w:val="3"/>
          <w:numId w:val="65"/>
        </w:numPr>
      </w:pPr>
      <w:r w:rsidRPr="0023039E">
        <w:t>Acts or omissions of any government entity;</w:t>
      </w:r>
    </w:p>
    <w:p w:rsidR="00A2380A" w:rsidRPr="0023039E" w:rsidRDefault="00D66204">
      <w:pPr>
        <w:pStyle w:val="ExhibitA4"/>
        <w:numPr>
          <w:ilvl w:val="3"/>
          <w:numId w:val="65"/>
        </w:numPr>
      </w:pPr>
      <w:r w:rsidRPr="0023039E">
        <w:t>Fire or other casualty for which a party is not responsible;</w:t>
      </w:r>
    </w:p>
    <w:p w:rsidR="00A2380A" w:rsidRPr="0023039E" w:rsidRDefault="00D66204">
      <w:pPr>
        <w:pStyle w:val="ExhibitA4"/>
        <w:numPr>
          <w:ilvl w:val="3"/>
          <w:numId w:val="65"/>
        </w:numPr>
      </w:pPr>
      <w:r w:rsidRPr="0023039E">
        <w:t>Quarantine or epidemic;</w:t>
      </w:r>
    </w:p>
    <w:p w:rsidR="00A2380A" w:rsidRPr="0023039E" w:rsidRDefault="00D66204">
      <w:pPr>
        <w:pStyle w:val="ExhibitA4"/>
        <w:numPr>
          <w:ilvl w:val="3"/>
          <w:numId w:val="65"/>
        </w:numPr>
      </w:pPr>
      <w:r w:rsidRPr="0023039E">
        <w:t>Strike or defensive lockout; and,</w:t>
      </w:r>
    </w:p>
    <w:p w:rsidR="00A2380A" w:rsidRPr="0023039E" w:rsidRDefault="00D66204">
      <w:pPr>
        <w:pStyle w:val="ExhibitA4"/>
        <w:numPr>
          <w:ilvl w:val="3"/>
          <w:numId w:val="65"/>
        </w:numPr>
      </w:pPr>
      <w:proofErr w:type="gramStart"/>
      <w:r w:rsidRPr="0023039E">
        <w:t>Unusually severe weather conditions.</w:t>
      </w:r>
      <w:proofErr w:type="gramEnd"/>
    </w:p>
    <w:p w:rsidR="000B7CF5" w:rsidRPr="0023039E" w:rsidRDefault="000B7CF5" w:rsidP="00D66204">
      <w:pPr>
        <w:pStyle w:val="ExhibitA3"/>
        <w:keepNext w:val="0"/>
        <w:tabs>
          <w:tab w:val="clear" w:pos="2592"/>
          <w:tab w:val="clear" w:pos="4176"/>
          <w:tab w:val="clear" w:pos="10710"/>
        </w:tabs>
        <w:spacing w:before="120" w:after="120"/>
        <w:ind w:right="0"/>
        <w:outlineLvl w:val="9"/>
      </w:pPr>
      <w:r w:rsidRPr="0023039E">
        <w:rPr>
          <w:b/>
          <w:bCs/>
        </w:rPr>
        <w:t xml:space="preserve">“Parent” </w:t>
      </w:r>
      <w:r w:rsidRPr="0023039E">
        <w:t>refers to all parents, guardians, and de facto parents in juvenile dependency proceedings.</w:t>
      </w:r>
      <w:r w:rsidRPr="0023039E">
        <w:rPr>
          <w:b/>
          <w:bCs/>
        </w:rPr>
        <w:t xml:space="preserve"> </w:t>
      </w:r>
    </w:p>
    <w:p w:rsidR="00D66204" w:rsidRPr="0023039E" w:rsidRDefault="00D66204" w:rsidP="00D66204">
      <w:pPr>
        <w:pStyle w:val="ExhibitA3"/>
        <w:keepNext w:val="0"/>
        <w:tabs>
          <w:tab w:val="clear" w:pos="2592"/>
          <w:tab w:val="clear" w:pos="4176"/>
          <w:tab w:val="clear" w:pos="10710"/>
        </w:tabs>
        <w:spacing w:before="120" w:after="120"/>
        <w:ind w:right="0"/>
        <w:outlineLvl w:val="9"/>
      </w:pPr>
      <w:r w:rsidRPr="0023039E">
        <w:rPr>
          <w:b/>
          <w:bCs/>
        </w:rPr>
        <w:t xml:space="preserve">“PCC” </w:t>
      </w:r>
      <w:r w:rsidRPr="0023039E">
        <w:rPr>
          <w:bCs/>
        </w:rPr>
        <w:t>refers to the California Public Contract Code.</w:t>
      </w:r>
    </w:p>
    <w:p w:rsidR="00D66204" w:rsidRPr="0023039E" w:rsidRDefault="00D66204" w:rsidP="00D66204">
      <w:pPr>
        <w:pStyle w:val="ExhibitA3"/>
        <w:keepNext w:val="0"/>
        <w:tabs>
          <w:tab w:val="clear" w:pos="2592"/>
          <w:tab w:val="clear" w:pos="4176"/>
          <w:tab w:val="clear" w:pos="10710"/>
        </w:tabs>
        <w:spacing w:before="120" w:after="120"/>
        <w:ind w:right="0"/>
        <w:outlineLvl w:val="9"/>
      </w:pPr>
      <w:r w:rsidRPr="0023039E">
        <w:rPr>
          <w:b/>
          <w:bCs/>
        </w:rPr>
        <w:t>“Services”</w:t>
      </w:r>
      <w:r w:rsidRPr="0023039E">
        <w:t xml:space="preserve"> means the services to </w:t>
      </w:r>
      <w:proofErr w:type="gramStart"/>
      <w:r w:rsidRPr="0023039E">
        <w:t>be performed</w:t>
      </w:r>
      <w:proofErr w:type="gramEnd"/>
      <w:r w:rsidRPr="0023039E">
        <w:t xml:space="preserve"> by the Contractor pursuant to this Agreement, as set forth in Exhibit B. </w:t>
      </w:r>
    </w:p>
    <w:p w:rsidR="00D66204" w:rsidRPr="0023039E" w:rsidRDefault="00D66204" w:rsidP="00D66204">
      <w:pPr>
        <w:pStyle w:val="ExhibitA3"/>
        <w:keepNext w:val="0"/>
        <w:tabs>
          <w:tab w:val="clear" w:pos="2592"/>
          <w:tab w:val="clear" w:pos="4176"/>
          <w:tab w:val="clear" w:pos="10710"/>
        </w:tabs>
        <w:spacing w:before="120" w:after="120"/>
        <w:ind w:right="0"/>
        <w:outlineLvl w:val="9"/>
      </w:pPr>
      <w:r w:rsidRPr="0023039E">
        <w:t>“</w:t>
      </w:r>
      <w:r w:rsidRPr="0023039E">
        <w:rPr>
          <w:b/>
          <w:bCs/>
        </w:rPr>
        <w:t>Standard Agreement Coversheet</w:t>
      </w:r>
      <w:r w:rsidRPr="0023039E">
        <w:t xml:space="preserve">” refers to the form used by the AOC to enter into agreements with other parties.  </w:t>
      </w:r>
    </w:p>
    <w:p w:rsidR="00D66204" w:rsidRPr="0023039E" w:rsidRDefault="00D66204" w:rsidP="00D66204">
      <w:pPr>
        <w:pStyle w:val="ExhibitA3"/>
        <w:keepNext w:val="0"/>
        <w:tabs>
          <w:tab w:val="clear" w:pos="2592"/>
          <w:tab w:val="clear" w:pos="4176"/>
          <w:tab w:val="clear" w:pos="10710"/>
        </w:tabs>
        <w:spacing w:before="120" w:after="120"/>
        <w:ind w:right="0"/>
        <w:outlineLvl w:val="9"/>
      </w:pPr>
      <w:r w:rsidRPr="0023039E">
        <w:t xml:space="preserve"> “</w:t>
      </w:r>
      <w:r w:rsidRPr="0023039E">
        <w:rPr>
          <w:b/>
          <w:bCs/>
        </w:rPr>
        <w:t xml:space="preserve">Standard </w:t>
      </w:r>
      <w:r w:rsidRPr="0023039E">
        <w:rPr>
          <w:b/>
        </w:rPr>
        <w:t>Amendment Coversheet</w:t>
      </w:r>
      <w:r w:rsidRPr="0023039E">
        <w:t xml:space="preserve">” refers to the form used by the AOC to amend agreements with other parties.  </w:t>
      </w:r>
    </w:p>
    <w:p w:rsidR="00D66204" w:rsidRPr="0023039E" w:rsidRDefault="00D66204" w:rsidP="006A2C6B">
      <w:pPr>
        <w:pStyle w:val="ExhibitA3"/>
        <w:keepNext w:val="0"/>
        <w:tabs>
          <w:tab w:val="clear" w:pos="2592"/>
          <w:tab w:val="clear" w:pos="4176"/>
          <w:tab w:val="clear" w:pos="10710"/>
        </w:tabs>
        <w:spacing w:before="120" w:after="120"/>
        <w:ind w:right="0"/>
        <w:jc w:val="both"/>
        <w:outlineLvl w:val="9"/>
      </w:pPr>
      <w:r w:rsidRPr="0023039E">
        <w:t>“</w:t>
      </w:r>
      <w:r w:rsidRPr="0023039E">
        <w:rPr>
          <w:b/>
          <w:bCs/>
        </w:rPr>
        <w:t>Subcontractor</w:t>
      </w:r>
      <w:r w:rsidRPr="0023039E">
        <w:t>” shall mean an individual, firm, partnership, or corporation having a contract, purchase order, or agreement with the Contractor, or with any Subcontractor of any tier for the performance of any part of the Agreement.</w:t>
      </w:r>
    </w:p>
    <w:p w:rsidR="00D66204" w:rsidRPr="0023039E" w:rsidRDefault="00D66204" w:rsidP="006A2C6B">
      <w:pPr>
        <w:pStyle w:val="ExhibitA3"/>
        <w:keepNext w:val="0"/>
        <w:widowControl w:val="0"/>
        <w:tabs>
          <w:tab w:val="clear" w:pos="2592"/>
          <w:tab w:val="clear" w:pos="4176"/>
          <w:tab w:val="clear" w:pos="10710"/>
        </w:tabs>
        <w:spacing w:before="120" w:after="120"/>
        <w:ind w:right="0"/>
        <w:jc w:val="both"/>
        <w:outlineLvl w:val="9"/>
      </w:pPr>
      <w:r w:rsidRPr="0023039E">
        <w:t>“</w:t>
      </w:r>
      <w:r w:rsidRPr="0023039E">
        <w:rPr>
          <w:b/>
          <w:bCs/>
        </w:rPr>
        <w:t>Third Party</w:t>
      </w:r>
      <w:r w:rsidRPr="0023039E">
        <w:t>” refers to any individual, association, partnership, firm, company, corporation, consultant, Subcontractor, or combination thereof, including joint ventures, other than the AOC or the Contractor, which is not a party to this Agreement.</w:t>
      </w:r>
    </w:p>
    <w:p w:rsidR="00D66204" w:rsidRPr="0023039E" w:rsidRDefault="00D66204" w:rsidP="00661EF6">
      <w:pPr>
        <w:pStyle w:val="ExhibitA1"/>
        <w:keepNext w:val="0"/>
        <w:widowControl w:val="0"/>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 xml:space="preserve">Independent Contractor </w:t>
      </w:r>
    </w:p>
    <w:p w:rsidR="00D66204" w:rsidRPr="0023039E" w:rsidRDefault="00D66204" w:rsidP="00661EF6">
      <w:pPr>
        <w:pStyle w:val="Heading-SingleP"/>
        <w:widowControl w:val="0"/>
        <w:jc w:val="both"/>
      </w:pPr>
      <w:r w:rsidRPr="0023039E">
        <w:t xml:space="preserve">Contractor shall be, and is, an independent contractor, and is not an employee or agent of the AOC </w:t>
      </w:r>
      <w:r w:rsidRPr="0023039E">
        <w:lastRenderedPageBreak/>
        <w:t xml:space="preserve">or the Court, and </w:t>
      </w:r>
      <w:proofErr w:type="gramStart"/>
      <w:r w:rsidRPr="0023039E">
        <w:t>is not covered</w:t>
      </w:r>
      <w:proofErr w:type="gramEnd"/>
      <w:r w:rsidRPr="0023039E">
        <w:t xml:space="preserve"> by any employee benefit plans provided to AOC employees or Court employees.  Contractor is liable for the acts and omissions of itself, its employees, its Subcontractors and its agents.  Nothing in this Agreement </w:t>
      </w:r>
      <w:proofErr w:type="gramStart"/>
      <w:r w:rsidRPr="0023039E">
        <w:t>shall be construed</w:t>
      </w:r>
      <w:proofErr w:type="gramEnd"/>
      <w:r w:rsidRPr="0023039E">
        <w:t xml:space="preserve">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w:t>
      </w:r>
      <w:proofErr w:type="gramStart"/>
      <w:r w:rsidRPr="0023039E">
        <w:t>any and all</w:t>
      </w:r>
      <w:proofErr w:type="gramEnd"/>
      <w:r w:rsidRPr="0023039E">
        <w:t xml:space="preserve"> employee benefits, and all other laws and regulations governing such matters.  </w:t>
      </w:r>
      <w:proofErr w:type="gramStart"/>
      <w:r w:rsidRPr="0023039E">
        <w:t>Neither party</w:t>
      </w:r>
      <w:proofErr w:type="gramEnd"/>
      <w:r w:rsidRPr="0023039E">
        <w:t xml:space="preserve"> to this Agreement has any authority to enter into any contract or otherwise incur any liability in the name of, or on behalf of, the other party.</w:t>
      </w:r>
    </w:p>
    <w:p w:rsidR="00A2380A" w:rsidRPr="0023039E" w:rsidRDefault="00D66204">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Quality of Services</w:t>
      </w:r>
    </w:p>
    <w:p w:rsidR="00D66204" w:rsidRPr="0023039E" w:rsidRDefault="00D66204" w:rsidP="00D66204">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23039E">
        <w:t xml:space="preserve">Contractor agrees that each of its employees, Subcontractors, and agents assigned to perform any Services under this Agreement shall have the skills, training, and background reasonably commensurate with his or her responsibilities, </w:t>
      </w:r>
      <w:proofErr w:type="gramStart"/>
      <w:r w:rsidRPr="0023039E">
        <w:t>so as to</w:t>
      </w:r>
      <w:proofErr w:type="gramEnd"/>
      <w:r w:rsidRPr="0023039E">
        <w:t xml:space="preserve"> be able to perform in a competent and professional manner.  Contractor further agrees that the Services provided </w:t>
      </w:r>
      <w:proofErr w:type="gramStart"/>
      <w:r w:rsidRPr="0023039E">
        <w:t>shall be performed</w:t>
      </w:r>
      <w:proofErr w:type="gramEnd"/>
      <w:r w:rsidRPr="0023039E">
        <w:t xml:space="preserve">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D66204" w:rsidRPr="0023039E" w:rsidRDefault="00D66204" w:rsidP="00D66204">
      <w:pPr>
        <w:pStyle w:val="ExhibitA3"/>
        <w:keepNext w:val="0"/>
        <w:numPr>
          <w:ilvl w:val="2"/>
          <w:numId w:val="11"/>
        </w:numPr>
        <w:tabs>
          <w:tab w:val="clear" w:pos="2592"/>
          <w:tab w:val="clear" w:pos="4176"/>
          <w:tab w:val="clear" w:pos="10710"/>
        </w:tabs>
        <w:spacing w:before="120" w:after="120"/>
        <w:ind w:right="0"/>
        <w:jc w:val="both"/>
        <w:outlineLvl w:val="9"/>
      </w:pPr>
      <w:r w:rsidRPr="0023039E">
        <w:t>Provide quality representation for its clients, and comply with the provisions of California Welfare and Institutions Code, section 317 and California Rules of Court, rule 5.660.</w:t>
      </w:r>
    </w:p>
    <w:p w:rsidR="00D66204" w:rsidRPr="0023039E" w:rsidRDefault="00D66204" w:rsidP="00D66204">
      <w:pPr>
        <w:pStyle w:val="ExhibitA3"/>
        <w:keepNext w:val="0"/>
        <w:numPr>
          <w:ilvl w:val="2"/>
          <w:numId w:val="11"/>
        </w:numPr>
        <w:tabs>
          <w:tab w:val="clear" w:pos="2592"/>
          <w:tab w:val="clear" w:pos="4176"/>
          <w:tab w:val="clear" w:pos="10710"/>
        </w:tabs>
        <w:spacing w:before="120" w:after="120"/>
        <w:ind w:right="0"/>
        <w:jc w:val="both"/>
        <w:outlineLvl w:val="9"/>
      </w:pPr>
      <w:r w:rsidRPr="0023039E">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D66204" w:rsidRPr="0023039E" w:rsidRDefault="00D66204" w:rsidP="00D66204">
      <w:pPr>
        <w:pStyle w:val="ExhibitA3"/>
        <w:keepNext w:val="0"/>
        <w:numPr>
          <w:ilvl w:val="2"/>
          <w:numId w:val="11"/>
        </w:numPr>
        <w:tabs>
          <w:tab w:val="clear" w:pos="2592"/>
          <w:tab w:val="clear" w:pos="4176"/>
          <w:tab w:val="clear" w:pos="10710"/>
        </w:tabs>
        <w:spacing w:before="120" w:after="120"/>
        <w:ind w:right="0"/>
        <w:jc w:val="both"/>
        <w:outlineLvl w:val="9"/>
      </w:pPr>
      <w:r w:rsidRPr="0023039E">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D66204" w:rsidRPr="0023039E" w:rsidRDefault="00D66204" w:rsidP="00D66204">
      <w:pPr>
        <w:pStyle w:val="ExhibitA3"/>
        <w:keepNext w:val="0"/>
        <w:numPr>
          <w:ilvl w:val="2"/>
          <w:numId w:val="11"/>
        </w:numPr>
        <w:tabs>
          <w:tab w:val="clear" w:pos="2592"/>
          <w:tab w:val="clear" w:pos="4176"/>
          <w:tab w:val="clear" w:pos="10710"/>
        </w:tabs>
        <w:spacing w:before="120" w:after="120"/>
        <w:ind w:right="0"/>
        <w:jc w:val="both"/>
        <w:outlineLvl w:val="9"/>
      </w:pPr>
      <w:r w:rsidRPr="0023039E">
        <w:t>Adhere to the State Bar Act and the California Rules of Professional Conduct relative to the provision of the Services.</w:t>
      </w:r>
    </w:p>
    <w:p w:rsidR="00A2380A" w:rsidRPr="0023039E" w:rsidRDefault="00D66204">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lastRenderedPageBreak/>
        <w:t>AOC’s Quality Assurance Plan</w:t>
      </w:r>
    </w:p>
    <w:p w:rsidR="00A2380A" w:rsidRPr="0023039E" w:rsidRDefault="00D66204">
      <w:pPr>
        <w:pStyle w:val="ExhibitA2"/>
        <w:keepNext w:val="0"/>
        <w:numPr>
          <w:ilvl w:val="1"/>
          <w:numId w:val="69"/>
        </w:numPr>
        <w:tabs>
          <w:tab w:val="clear" w:pos="-720"/>
          <w:tab w:val="clear" w:pos="2016"/>
          <w:tab w:val="clear" w:pos="2592"/>
          <w:tab w:val="clear" w:pos="4176"/>
          <w:tab w:val="clear" w:pos="10710"/>
        </w:tabs>
        <w:suppressAutoHyphens w:val="0"/>
        <w:spacing w:before="120" w:after="120"/>
        <w:ind w:right="0"/>
        <w:outlineLvl w:val="9"/>
      </w:pPr>
      <w:r w:rsidRPr="0023039E">
        <w:t>The AOC or its agent may evaluate Contractor’s performance under this Agreement.  Such evaluation may include assessing Contractor’s compliance with all Agreement terms and performance standards.</w:t>
      </w:r>
    </w:p>
    <w:p w:rsidR="00A2380A" w:rsidRPr="0023039E" w:rsidRDefault="00D66204">
      <w:pPr>
        <w:pStyle w:val="ExhibitA3"/>
        <w:keepNext w:val="0"/>
        <w:numPr>
          <w:ilvl w:val="2"/>
          <w:numId w:val="69"/>
        </w:numPr>
        <w:tabs>
          <w:tab w:val="clear" w:pos="2592"/>
          <w:tab w:val="clear" w:pos="4176"/>
          <w:tab w:val="clear" w:pos="10710"/>
        </w:tabs>
        <w:spacing w:before="120" w:after="120"/>
        <w:ind w:right="0"/>
        <w:jc w:val="both"/>
        <w:outlineLvl w:val="9"/>
      </w:pPr>
      <w:r w:rsidRPr="0023039E">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A2380A" w:rsidRPr="0023039E" w:rsidRDefault="00D66204">
      <w:pPr>
        <w:pStyle w:val="ExhibitA3"/>
        <w:keepNext w:val="0"/>
        <w:numPr>
          <w:ilvl w:val="2"/>
          <w:numId w:val="69"/>
        </w:numPr>
        <w:tabs>
          <w:tab w:val="clear" w:pos="2592"/>
          <w:tab w:val="clear" w:pos="4176"/>
          <w:tab w:val="clear" w:pos="10710"/>
        </w:tabs>
        <w:spacing w:before="120" w:after="120"/>
        <w:ind w:right="0"/>
        <w:jc w:val="both"/>
        <w:outlineLvl w:val="9"/>
      </w:pPr>
      <w:r w:rsidRPr="0023039E">
        <w:t xml:space="preserve">Contractor’s deficiencies which AOC determines are severe or continuing and that may place performance of the Agreement in jeopardy if not corrected </w:t>
      </w:r>
      <w:proofErr w:type="gramStart"/>
      <w:r w:rsidRPr="0023039E">
        <w:t>will be reported</w:t>
      </w:r>
      <w:proofErr w:type="gramEnd"/>
      <w:r w:rsidRPr="0023039E">
        <w:t xml:space="preserve"> to Contractor.  The report may include recommended improvements and corrective measures to </w:t>
      </w:r>
      <w:proofErr w:type="gramStart"/>
      <w:r w:rsidRPr="0023039E">
        <w:t>be taken</w:t>
      </w:r>
      <w:proofErr w:type="gramEnd"/>
      <w:r w:rsidRPr="0023039E">
        <w:t xml:space="preserve"> by Contractor.  If Contractor’s performance remains unsatisfactory to the AOC, the AOC may terminate this Agreement for cause or impose other penalties as specified in this Agreement.  Any evaluation of Contractor’s performance conducted by the AOC </w:t>
      </w:r>
      <w:proofErr w:type="gramStart"/>
      <w:r w:rsidRPr="0023039E">
        <w:t>shall not be construed</w:t>
      </w:r>
      <w:proofErr w:type="gramEnd"/>
      <w:r w:rsidRPr="0023039E">
        <w:t xml:space="preserve">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A2380A" w:rsidRPr="0023039E" w:rsidRDefault="00CD5535">
      <w:pPr>
        <w:pStyle w:val="ExhibitB1"/>
        <w:keepNext w:val="0"/>
        <w:widowControl w:val="0"/>
        <w:numPr>
          <w:ilvl w:val="1"/>
          <w:numId w:val="69"/>
        </w:numPr>
        <w:ind w:left="1260" w:hanging="540"/>
        <w:jc w:val="both"/>
        <w:rPr>
          <w:b/>
          <w:u w:val="none"/>
        </w:rPr>
      </w:pPr>
      <w:proofErr w:type="gramStart"/>
      <w:r w:rsidRPr="0023039E">
        <w:rPr>
          <w:u w:val="none"/>
        </w:rPr>
        <w:t>As required by PCC 10353.5, Contractor shall (i) adhere to legal cost and billing guidelines designated by the AOC; (ii) adhere to litigation plans designated by the AOC, if applicable; (iii) adhere to case phasing of activities designated by the AOC, if applicable; and (iv) submit and adhere to legal budgets as designated by the AOC, and (v) submit to legal bill audits and law firm audits if so requested by the AOC, whether conducted by employees or designees of the AOC or by any legal cost-control provider retained by the AOC for that purpose.</w:t>
      </w:r>
      <w:proofErr w:type="gramEnd"/>
      <w:r w:rsidRPr="0023039E">
        <w:rPr>
          <w:u w:val="none"/>
        </w:rPr>
        <w:t xml:space="preserve">  Contractor may be required to submit to a legal cost and utilization review as determined by the AOC.  </w:t>
      </w:r>
    </w:p>
    <w:p w:rsidR="00A2380A" w:rsidRPr="0023039E" w:rsidRDefault="00D66204">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Subcontracting</w:t>
      </w:r>
    </w:p>
    <w:p w:rsidR="00D66204" w:rsidRPr="0023039E" w:rsidRDefault="00D66204" w:rsidP="00D66204">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23039E">
        <w:t xml:space="preserve">Contractor </w:t>
      </w:r>
      <w:proofErr w:type="gramStart"/>
      <w:r w:rsidRPr="0023039E">
        <w:t>is prohibited</w:t>
      </w:r>
      <w:proofErr w:type="gramEnd"/>
      <w:r w:rsidRPr="0023039E">
        <w:t xml:space="preserve">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w:t>
      </w:r>
      <w:proofErr w:type="gramStart"/>
      <w:r w:rsidRPr="0023039E">
        <w:t>null and void</w:t>
      </w:r>
      <w:proofErr w:type="gramEnd"/>
      <w:r w:rsidRPr="0023039E">
        <w:t>.</w:t>
      </w:r>
    </w:p>
    <w:p w:rsidR="00D66204" w:rsidRPr="0023039E" w:rsidRDefault="00D66204" w:rsidP="00D66204">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23039E">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A2380A" w:rsidRPr="0023039E" w:rsidRDefault="00D66204">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lastRenderedPageBreak/>
        <w:t>Indemnification (*)</w:t>
      </w:r>
    </w:p>
    <w:p w:rsidR="00A2380A" w:rsidRPr="0023039E" w:rsidRDefault="00D66204">
      <w:pPr>
        <w:pStyle w:val="ExhibitA2"/>
        <w:keepNext w:val="0"/>
        <w:numPr>
          <w:ilvl w:val="1"/>
          <w:numId w:val="72"/>
        </w:numPr>
        <w:tabs>
          <w:tab w:val="clear" w:pos="-720"/>
          <w:tab w:val="clear" w:pos="2016"/>
          <w:tab w:val="clear" w:pos="2592"/>
          <w:tab w:val="clear" w:pos="4176"/>
          <w:tab w:val="clear" w:pos="10710"/>
        </w:tabs>
        <w:suppressAutoHyphens w:val="0"/>
        <w:spacing w:before="120" w:after="120"/>
        <w:ind w:right="0"/>
        <w:outlineLvl w:val="9"/>
      </w:pPr>
      <w:r w:rsidRPr="0023039E">
        <w:t xml:space="preserve">Contractor shall indemnify, defend (with counsel satisfactory to the AOC), and hold harmless: </w:t>
      </w:r>
    </w:p>
    <w:p w:rsidR="00A2380A" w:rsidRPr="0023039E" w:rsidRDefault="00D66204">
      <w:pPr>
        <w:pStyle w:val="ExhibitA3"/>
        <w:keepNext w:val="0"/>
        <w:numPr>
          <w:ilvl w:val="2"/>
          <w:numId w:val="72"/>
        </w:numPr>
        <w:tabs>
          <w:tab w:val="clear" w:pos="2592"/>
          <w:tab w:val="clear" w:pos="4176"/>
          <w:tab w:val="clear" w:pos="10710"/>
        </w:tabs>
        <w:spacing w:before="120" w:after="120"/>
        <w:ind w:right="0"/>
        <w:jc w:val="both"/>
        <w:outlineLvl w:val="9"/>
      </w:pPr>
      <w:r w:rsidRPr="0023039E">
        <w:t xml:space="preserve">The AOC, its officers and employees; </w:t>
      </w:r>
    </w:p>
    <w:p w:rsidR="00A2380A" w:rsidRPr="0023039E" w:rsidRDefault="00D66204">
      <w:pPr>
        <w:pStyle w:val="ExhibitA3"/>
        <w:keepNext w:val="0"/>
        <w:numPr>
          <w:ilvl w:val="2"/>
          <w:numId w:val="72"/>
        </w:numPr>
        <w:tabs>
          <w:tab w:val="clear" w:pos="2592"/>
          <w:tab w:val="clear" w:pos="4176"/>
          <w:tab w:val="clear" w:pos="10710"/>
        </w:tabs>
        <w:spacing w:before="120" w:after="120"/>
        <w:ind w:right="0"/>
        <w:jc w:val="both"/>
        <w:outlineLvl w:val="9"/>
      </w:pPr>
      <w:r w:rsidRPr="0023039E">
        <w:t xml:space="preserve">The Court, its judges, subordinate judicial officers, court executive officers, court administrators, officers and employees; and </w:t>
      </w:r>
    </w:p>
    <w:p w:rsidR="00A2380A" w:rsidRPr="0023039E" w:rsidRDefault="00D66204">
      <w:pPr>
        <w:pStyle w:val="ExhibitA3"/>
        <w:keepNext w:val="0"/>
        <w:numPr>
          <w:ilvl w:val="2"/>
          <w:numId w:val="72"/>
        </w:numPr>
        <w:tabs>
          <w:tab w:val="clear" w:pos="2592"/>
          <w:tab w:val="clear" w:pos="4176"/>
          <w:tab w:val="clear" w:pos="10710"/>
        </w:tabs>
        <w:spacing w:before="120" w:after="120"/>
        <w:ind w:right="0"/>
        <w:jc w:val="both"/>
        <w:outlineLvl w:val="9"/>
      </w:pPr>
      <w:r w:rsidRPr="0023039E">
        <w:t>Their agents, representatives, contractors, subcontractors, and volunteers (</w:t>
      </w:r>
      <w:r w:rsidRPr="0023039E">
        <w:rPr>
          <w:b/>
        </w:rPr>
        <w:t>Indemnified Parties</w:t>
      </w:r>
      <w:r w:rsidRPr="0023039E">
        <w:t>) from any and all losses, costs, liabilities, claims, fees, penalties, interest and damages, including but not limited to reasonable attorneys’ fees and costs (individually, (</w:t>
      </w:r>
      <w:r w:rsidRPr="0023039E">
        <w:rPr>
          <w:b/>
        </w:rPr>
        <w:t>Claim</w:t>
      </w:r>
      <w:r w:rsidRPr="0023039E">
        <w:t>) and collectively, (</w:t>
      </w:r>
      <w:r w:rsidRPr="0023039E">
        <w:rPr>
          <w:b/>
        </w:rPr>
        <w:t>Claims</w:t>
      </w:r>
      <w:r w:rsidRPr="0023039E">
        <w:t>).</w:t>
      </w:r>
    </w:p>
    <w:p w:rsidR="00A2380A" w:rsidRPr="0023039E" w:rsidRDefault="00D66204">
      <w:pPr>
        <w:pStyle w:val="ExhibitA4"/>
        <w:numPr>
          <w:ilvl w:val="3"/>
          <w:numId w:val="72"/>
        </w:numPr>
        <w:ind w:left="2448" w:hanging="576"/>
        <w:jc w:val="both"/>
      </w:pPr>
      <w:r w:rsidRPr="0023039E">
        <w:t xml:space="preserve">Arising from, related to or in connection with, in whole or in part, the negligent acts or omissions, or intentional misconduct, of Contractor, its agents, employees, or Subcontractors; </w:t>
      </w:r>
    </w:p>
    <w:p w:rsidR="00A2380A" w:rsidRPr="0023039E" w:rsidRDefault="00D66204">
      <w:pPr>
        <w:pStyle w:val="ExhibitA4"/>
        <w:numPr>
          <w:ilvl w:val="3"/>
          <w:numId w:val="72"/>
        </w:numPr>
        <w:ind w:left="2448" w:hanging="576"/>
        <w:jc w:val="both"/>
      </w:pPr>
      <w:r w:rsidRPr="0023039E">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A2380A" w:rsidRPr="0023039E" w:rsidRDefault="00D66204">
      <w:pPr>
        <w:pStyle w:val="ExhibitA4"/>
        <w:numPr>
          <w:ilvl w:val="3"/>
          <w:numId w:val="72"/>
        </w:numPr>
        <w:ind w:left="2448" w:hanging="576"/>
        <w:jc w:val="both"/>
      </w:pPr>
      <w:r w:rsidRPr="0023039E">
        <w:t>Made or incurred by any Third Party that furnishes or provides Services, materials, or supplies in connection with this Agreement; or</w:t>
      </w:r>
    </w:p>
    <w:p w:rsidR="00A2380A" w:rsidRPr="0023039E" w:rsidRDefault="00D66204">
      <w:pPr>
        <w:pStyle w:val="ExhibitA4"/>
        <w:numPr>
          <w:ilvl w:val="3"/>
          <w:numId w:val="72"/>
        </w:numPr>
        <w:ind w:left="2448" w:hanging="576"/>
        <w:jc w:val="both"/>
      </w:pPr>
      <w:r w:rsidRPr="0023039E">
        <w:t xml:space="preserve">Made or incurred by any other Third Party who </w:t>
      </w:r>
      <w:proofErr w:type="gramStart"/>
      <w:r w:rsidRPr="0023039E">
        <w:t>may be injured or damaged by Contractor, its agents, employees or Subcontractors in connection with this Agreement</w:t>
      </w:r>
      <w:proofErr w:type="gramEnd"/>
      <w:r w:rsidRPr="0023039E">
        <w:t>.</w:t>
      </w:r>
    </w:p>
    <w:p w:rsidR="00A2380A" w:rsidRPr="0023039E" w:rsidRDefault="00D66204">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Insurance [2 Options]</w:t>
      </w:r>
    </w:p>
    <w:p w:rsidR="00D66204" w:rsidRPr="0023039E" w:rsidRDefault="00D66204" w:rsidP="00D66204">
      <w:pPr>
        <w:pStyle w:val="BodyText"/>
        <w:spacing w:before="120"/>
        <w:jc w:val="both"/>
        <w:rPr>
          <w:b/>
          <w:u w:val="single"/>
        </w:rPr>
      </w:pPr>
      <w:r w:rsidRPr="0023039E">
        <w:tab/>
      </w:r>
      <w:r w:rsidRPr="0023039E">
        <w:rPr>
          <w:b/>
          <w:u w:val="single"/>
        </w:rPr>
        <w:t xml:space="preserve">Option </w:t>
      </w:r>
      <w:proofErr w:type="gramStart"/>
      <w:r w:rsidRPr="0023039E">
        <w:rPr>
          <w:b/>
          <w:u w:val="single"/>
        </w:rPr>
        <w:t>1</w:t>
      </w:r>
      <w:proofErr w:type="gramEnd"/>
      <w:r w:rsidRPr="0023039E">
        <w:rPr>
          <w:b/>
          <w:u w:val="single"/>
        </w:rPr>
        <w:t xml:space="preserve"> – non-government insurance</w:t>
      </w:r>
    </w:p>
    <w:p w:rsidR="00D66204" w:rsidRPr="0023039E" w:rsidRDefault="00D66204" w:rsidP="00D66204">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23039E">
        <w:rPr>
          <w:u w:val="single"/>
        </w:rPr>
        <w:t>Insurance Required.</w:t>
      </w:r>
      <w:r w:rsidRPr="0023039E">
        <w:t xml:space="preserve">  Without limiting Contractor’s indemnification obligations, Contractor shall secure and maintain in force throughout the term of this Agreement the following types of insurance with limits as shown.  Each policy, other than the Professional Liability policy, </w:t>
      </w:r>
      <w:proofErr w:type="gramStart"/>
      <w:r w:rsidRPr="0023039E">
        <w:t>shall be written</w:t>
      </w:r>
      <w:proofErr w:type="gramEnd"/>
      <w:r w:rsidRPr="0023039E">
        <w:t xml:space="preserve"> on an “occurrence” form.  The Professional Liability policy may be written on a “claims made” form.</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Workers’ Compensation—A program of Workers’ Compensation Insurance in an amount and form sufficient to meet all applicable requirements of the California Labor Code, including Employer’s Liability with at least $</w:t>
      </w:r>
      <w:r w:rsidR="007E5F37" w:rsidRPr="0023039E">
        <w:t>5</w:t>
      </w:r>
      <w:r w:rsidRPr="0023039E">
        <w:t>00,000 per accident.  This coverage shall not be required when Contractor has no employees.</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Commercial General Liability Insurance—</w:t>
      </w:r>
      <w:r w:rsidR="007E5F37" w:rsidRPr="0023039E">
        <w:t xml:space="preserve"> Coverage at least as broad as the Insurance Services Office (ISO) Commercial General Liability “occurrence” form, with coverage for</w:t>
      </w:r>
      <w:r w:rsidR="007E5F37" w:rsidRPr="0023039E">
        <w:rPr>
          <w:szCs w:val="24"/>
        </w:rPr>
        <w:t xml:space="preserve"> liabilities arising out of premises, operations, independent contractors, products and</w:t>
      </w:r>
      <w:r w:rsidR="007E5F37" w:rsidRPr="0023039E" w:rsidDel="00736B62">
        <w:rPr>
          <w:szCs w:val="24"/>
        </w:rPr>
        <w:t xml:space="preserve"> </w:t>
      </w:r>
      <w:r w:rsidR="007E5F37" w:rsidRPr="0023039E">
        <w:rPr>
          <w:szCs w:val="24"/>
        </w:rPr>
        <w:t>completed operations, personal and advertising injury,</w:t>
      </w:r>
      <w:r w:rsidR="007E5F37" w:rsidRPr="0023039E" w:rsidDel="00736B62">
        <w:rPr>
          <w:szCs w:val="24"/>
        </w:rPr>
        <w:t xml:space="preserve"> </w:t>
      </w:r>
      <w:r w:rsidR="007E5F37" w:rsidRPr="0023039E">
        <w:rPr>
          <w:szCs w:val="24"/>
        </w:rPr>
        <w:t xml:space="preserve">and liability </w:t>
      </w:r>
      <w:r w:rsidR="007E5F37" w:rsidRPr="0023039E">
        <w:rPr>
          <w:szCs w:val="24"/>
        </w:rPr>
        <w:lastRenderedPageBreak/>
        <w:t>assumed under an insured contract</w:t>
      </w:r>
      <w:r w:rsidR="007E5F37" w:rsidRPr="0023039E">
        <w:t>.  The policy shall provide limits of at least $500,000 per occurrence and annual aggregate.</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Automobile Liability Insurance—</w:t>
      </w:r>
      <w:r w:rsidR="007E5F37" w:rsidRPr="0023039E">
        <w:t xml:space="preserve"> </w:t>
      </w:r>
      <w:proofErr w:type="gramStart"/>
      <w:r w:rsidR="007E5F37" w:rsidRPr="0023039E">
        <w:t>If</w:t>
      </w:r>
      <w:proofErr w:type="gramEnd"/>
      <w:r w:rsidR="007E5F37" w:rsidRPr="0023039E">
        <w:t xml:space="preserve"> an automobile is used in providing the Services, automobile liability insurance covering bodily injury and property damage and applicable to all owned, non-owned, leased, and hired vehicles.  The policy shall provide combined single limits of at least $500,000 per occurrence. </w:t>
      </w:r>
      <w:r w:rsidRPr="0023039E">
        <w:t xml:space="preserve"> </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Professional Liability Insurance—</w:t>
      </w:r>
      <w:r w:rsidR="007E5F37" w:rsidRPr="0023039E">
        <w:t xml:space="preserve"> 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D66204" w:rsidRPr="0023039E" w:rsidRDefault="00D66204" w:rsidP="00D66204">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Additional Insured Endorsements.</w:t>
      </w:r>
      <w:proofErr w:type="gramEnd"/>
      <w:r w:rsidRPr="0023039E">
        <w:t xml:space="preserve">  </w:t>
      </w:r>
      <w:proofErr w:type="gramStart"/>
      <w:r w:rsidR="007E5F37" w:rsidRPr="0023039E">
        <w:t xml:space="preserve">All policies required in Section </w:t>
      </w:r>
      <w:proofErr w:type="spellStart"/>
      <w:r w:rsidR="007E5F37" w:rsidRPr="0023039E">
        <w:t>7.A</w:t>
      </w:r>
      <w:proofErr w:type="spellEnd"/>
      <w:r w:rsidR="007E5F37" w:rsidRPr="0023039E">
        <w:t xml:space="preserve"> above, with the exception of Workers’ Compensation, and Professional Liability, must be endorsed to name the following as additional insureds with respect to liabilities arising out of the performance of Services under this Agreement:  The State of California, the Judicial Council of California, the Administrative Office of the Courts, the Superior Court of California, County of </w:t>
      </w:r>
      <w:r w:rsidR="00F30ACE" w:rsidRPr="0023039E">
        <w:t xml:space="preserve">              </w:t>
      </w:r>
      <w:r w:rsidR="007E5F37" w:rsidRPr="0023039E">
        <w:t>El Dorado and their respective judges,  subordinate judicial officers, executive officers, administrators, and any and all of their other officers, officials, agents, representatives, contractors, volunteers or employees.</w:t>
      </w:r>
      <w:proofErr w:type="gramEnd"/>
    </w:p>
    <w:p w:rsidR="00D66204" w:rsidRPr="0023039E" w:rsidRDefault="00D66204" w:rsidP="00D66204">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D66204" w:rsidRPr="0023039E" w:rsidRDefault="00D66204" w:rsidP="00D66204">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Required Policy Provisions.</w:t>
      </w:r>
      <w:proofErr w:type="gramEnd"/>
      <w:r w:rsidRPr="0023039E">
        <w:t xml:space="preserve">  Each policy required in Section </w:t>
      </w:r>
      <w:proofErr w:type="spellStart"/>
      <w:r w:rsidR="007E5F37" w:rsidRPr="0023039E">
        <w:t>7</w:t>
      </w:r>
      <w:r w:rsidRPr="0023039E">
        <w:t>.A</w:t>
      </w:r>
      <w:proofErr w:type="spellEnd"/>
      <w:r w:rsidRPr="0023039E">
        <w:t xml:space="preserve"> above must provide that:</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 xml:space="preserve">The </w:t>
      </w:r>
      <w:r w:rsidR="007E5F37" w:rsidRPr="0023039E">
        <w:t xml:space="preserve">insurance </w:t>
      </w:r>
      <w:r w:rsidRPr="0023039E">
        <w:t>is primary and non-contributory with any insurance or self-insurance programs carried or administered by the AOC.</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 xml:space="preserve">The </w:t>
      </w:r>
      <w:r w:rsidR="007E5F37" w:rsidRPr="0023039E">
        <w:t xml:space="preserve">insurance </w:t>
      </w:r>
      <w:r w:rsidRPr="0023039E">
        <w:t xml:space="preserve">shall apply separately to each insured against whom a claim </w:t>
      </w:r>
      <w:proofErr w:type="gramStart"/>
      <w:r w:rsidRPr="0023039E">
        <w:t>is made</w:t>
      </w:r>
      <w:proofErr w:type="gramEnd"/>
      <w:r w:rsidRPr="0023039E">
        <w:t xml:space="preserve"> and/or a lawsuit is brought, except with respect to the limits of the insurer’s liability.</w:t>
      </w:r>
    </w:p>
    <w:p w:rsidR="00D66204" w:rsidRPr="0023039E" w:rsidRDefault="007E5F37"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rPr>
          <w:szCs w:val="24"/>
        </w:rPr>
        <w:t>Each insurer  waives any right of recovery or subrogation it may have against the</w:t>
      </w:r>
      <w:r w:rsidRPr="0023039E">
        <w:t xml:space="preserve"> State of California, the Judicial Council of California, the Administrative Office of the Courts, the Superior Court of California, or County of El Dorado</w:t>
      </w:r>
      <w:r w:rsidRPr="0023039E">
        <w:rPr>
          <w:szCs w:val="24"/>
        </w:rPr>
        <w:t>, including their respective elected and appointed officials, judges, subordinate judicial officers, officers, employees, and agents for loss or damage</w:t>
      </w:r>
      <w:r w:rsidRPr="0023039E">
        <w:t>.</w:t>
      </w:r>
    </w:p>
    <w:p w:rsidR="00941CF5" w:rsidRPr="0023039E" w:rsidRDefault="00941CF5" w:rsidP="00941CF5">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jc w:val="left"/>
        <w:outlineLvl w:val="9"/>
      </w:pPr>
      <w:proofErr w:type="gramStart"/>
      <w:r w:rsidRPr="0023039E">
        <w:rPr>
          <w:u w:val="single"/>
        </w:rPr>
        <w:t>Notices</w:t>
      </w:r>
      <w:r w:rsidRPr="0023039E">
        <w:t>.</w:t>
      </w:r>
      <w:proofErr w:type="gramEnd"/>
      <w:r w:rsidRPr="0023039E">
        <w:t xml:space="preserve">  The Contractor shall provide the AOC fifteen (15) days’ advance written notice of any reduction in coverage or other change, nonrenewal, or cancellation, mailed to the address provided for notices in Section </w:t>
      </w:r>
      <w:proofErr w:type="spellStart"/>
      <w:r w:rsidRPr="0023039E">
        <w:t>22.J</w:t>
      </w:r>
      <w:proofErr w:type="spellEnd"/>
      <w:r w:rsidRPr="0023039E">
        <w:t xml:space="preserve"> of this Exhibit.</w:t>
      </w:r>
    </w:p>
    <w:p w:rsidR="00D66204" w:rsidRPr="0023039E" w:rsidRDefault="00D66204" w:rsidP="00D66204">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No Reduction or Limit of Contractor’s Obligation.</w:t>
      </w:r>
      <w:proofErr w:type="gramEnd"/>
      <w:r w:rsidRPr="0023039E">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D66204" w:rsidRPr="0023039E" w:rsidRDefault="00D66204" w:rsidP="00D66204">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lastRenderedPageBreak/>
        <w:t>Evidence of Coverage.</w:t>
      </w:r>
      <w:proofErr w:type="gramEnd"/>
      <w:r w:rsidRPr="0023039E">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D66204" w:rsidRPr="0023039E" w:rsidRDefault="00D66204" w:rsidP="00D66204">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Accident Reporting.</w:t>
      </w:r>
      <w:proofErr w:type="gramEnd"/>
      <w:r w:rsidRPr="0023039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7A3BC5" w:rsidRPr="0023039E">
        <w:t>Fiscal Services Office</w:t>
      </w:r>
      <w:r w:rsidRPr="0023039E">
        <w:t xml:space="preserve">, </w:t>
      </w:r>
      <w:proofErr w:type="gramStart"/>
      <w:r w:rsidRPr="0023039E">
        <w:t>455</w:t>
      </w:r>
      <w:proofErr w:type="gramEnd"/>
      <w:r w:rsidRPr="0023039E">
        <w:t xml:space="preserve"> Golden Gate Ave</w:t>
      </w:r>
      <w:r w:rsidR="00661EF6" w:rsidRPr="0023039E">
        <w:t>nue</w:t>
      </w:r>
      <w:r w:rsidRPr="0023039E">
        <w:t>, San Francisco, CA 94102</w:t>
      </w:r>
      <w:r w:rsidR="00661EF6" w:rsidRPr="0023039E">
        <w:t>-3688</w:t>
      </w:r>
      <w:r w:rsidRPr="0023039E">
        <w:t xml:space="preserve">.  Contractor shall promptly submit a written report, in such form as may be required by the AOC, of all accidents, which occur in connection with this Agreement.  The report must include at least the following information: </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Name and address of the injured or deceased person(s);</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Name and address of Contractor’s Subcontractor, if any;</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Name and address of Contractor’s liability insurance carrier;</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A description of the circumstances surrounding the accident, whether any of the AOC’s equipment, materials or staff were involved and the extent of damage to AOC and/or other property; and</w:t>
      </w:r>
    </w:p>
    <w:p w:rsidR="00D66204" w:rsidRPr="0023039E" w:rsidRDefault="00D66204" w:rsidP="00D66204">
      <w:pPr>
        <w:pStyle w:val="ExhibitA3"/>
        <w:keepNext w:val="0"/>
        <w:numPr>
          <w:ilvl w:val="2"/>
          <w:numId w:val="14"/>
        </w:numPr>
        <w:tabs>
          <w:tab w:val="clear" w:pos="2592"/>
          <w:tab w:val="clear" w:pos="4176"/>
          <w:tab w:val="clear" w:pos="10710"/>
        </w:tabs>
        <w:spacing w:before="120" w:after="120"/>
        <w:ind w:right="0"/>
        <w:jc w:val="both"/>
        <w:outlineLvl w:val="9"/>
      </w:pPr>
      <w:r w:rsidRPr="0023039E">
        <w:t>A description of what effect, if any, the accident will have upon Contractor’s ability to perform the Services.</w:t>
      </w:r>
    </w:p>
    <w:p w:rsidR="00D66204" w:rsidRPr="0023039E" w:rsidRDefault="00D66204" w:rsidP="00D66204">
      <w:pPr>
        <w:pStyle w:val="BodyText2"/>
        <w:spacing w:before="120" w:after="0" w:line="240" w:lineRule="auto"/>
        <w:jc w:val="both"/>
        <w:rPr>
          <w:b/>
          <w:u w:val="single"/>
        </w:rPr>
      </w:pPr>
      <w:r w:rsidRPr="0023039E">
        <w:rPr>
          <w:b/>
          <w:u w:val="single"/>
        </w:rPr>
        <w:t xml:space="preserve">Option </w:t>
      </w:r>
      <w:proofErr w:type="gramStart"/>
      <w:r w:rsidRPr="0023039E">
        <w:rPr>
          <w:b/>
          <w:u w:val="single"/>
        </w:rPr>
        <w:t>2</w:t>
      </w:r>
      <w:proofErr w:type="gramEnd"/>
      <w:r w:rsidRPr="0023039E">
        <w:rPr>
          <w:b/>
          <w:u w:val="single"/>
        </w:rPr>
        <w:t xml:space="preserve"> – county/government self-insurance</w:t>
      </w:r>
    </w:p>
    <w:p w:rsidR="00D66204" w:rsidRPr="0023039E" w:rsidRDefault="00D66204" w:rsidP="00D66204">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23039E">
        <w:rPr>
          <w:u w:val="single"/>
        </w:rPr>
        <w:t>Insurance Required.</w:t>
      </w:r>
      <w:r w:rsidRPr="0023039E">
        <w:t xml:space="preserve">  Contractor will provide a Statement of Coverage providing evidence of its program of self-insurance for general liability, automobile liability, professional liability and workers’ compensation/employers liability.</w:t>
      </w:r>
    </w:p>
    <w:p w:rsidR="00D66204" w:rsidRPr="0023039E" w:rsidRDefault="00D66204" w:rsidP="00D66204">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No Reduction or Limit of Contractor’s Obligation.</w:t>
      </w:r>
      <w:proofErr w:type="gramEnd"/>
      <w:r w:rsidRPr="0023039E">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D66204" w:rsidRPr="0023039E" w:rsidRDefault="00D66204" w:rsidP="00D66204">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Accident Reporting.</w:t>
      </w:r>
      <w:proofErr w:type="gramEnd"/>
      <w:r w:rsidRPr="0023039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7E5007" w:rsidRPr="0023039E">
        <w:t>Fiscal Services Office,</w:t>
      </w:r>
      <w:r w:rsidR="007E5007" w:rsidRPr="0023039E" w:rsidDel="007E5007">
        <w:t xml:space="preserve"> </w:t>
      </w:r>
      <w:proofErr w:type="gramStart"/>
      <w:r w:rsidRPr="0023039E">
        <w:t>455</w:t>
      </w:r>
      <w:proofErr w:type="gramEnd"/>
      <w:r w:rsidRPr="0023039E">
        <w:t xml:space="preserve"> Golden Gate Ave., San Francisco, CA 94102-3688.  Contractor shall promptly submit a written report, in such form as may be required by the AOC, of all accidents, which occur in connection with this Agreement.  The report must include at least the following information: </w:t>
      </w:r>
    </w:p>
    <w:p w:rsidR="00D66204" w:rsidRPr="0023039E" w:rsidRDefault="00D66204" w:rsidP="00D66204">
      <w:pPr>
        <w:pStyle w:val="ExhibitA3"/>
        <w:keepNext w:val="0"/>
        <w:numPr>
          <w:ilvl w:val="2"/>
          <w:numId w:val="16"/>
        </w:numPr>
        <w:tabs>
          <w:tab w:val="clear" w:pos="2592"/>
          <w:tab w:val="clear" w:pos="4176"/>
          <w:tab w:val="clear" w:pos="10710"/>
        </w:tabs>
        <w:spacing w:before="120" w:after="120"/>
        <w:ind w:right="0"/>
        <w:jc w:val="both"/>
        <w:outlineLvl w:val="9"/>
      </w:pPr>
      <w:r w:rsidRPr="0023039E">
        <w:t>Name and address of the injured or deceased person(s);</w:t>
      </w:r>
    </w:p>
    <w:p w:rsidR="00D66204" w:rsidRPr="0023039E" w:rsidRDefault="00D66204" w:rsidP="00D66204">
      <w:pPr>
        <w:pStyle w:val="ExhibitA3"/>
        <w:keepNext w:val="0"/>
        <w:numPr>
          <w:ilvl w:val="2"/>
          <w:numId w:val="16"/>
        </w:numPr>
        <w:tabs>
          <w:tab w:val="clear" w:pos="2592"/>
          <w:tab w:val="clear" w:pos="4176"/>
          <w:tab w:val="clear" w:pos="10710"/>
        </w:tabs>
        <w:spacing w:before="120" w:after="120"/>
        <w:ind w:right="0"/>
        <w:jc w:val="both"/>
        <w:outlineLvl w:val="9"/>
      </w:pPr>
      <w:r w:rsidRPr="0023039E">
        <w:t>Name and address of Contractor’s Subcontractor, if any;</w:t>
      </w:r>
    </w:p>
    <w:p w:rsidR="00D66204" w:rsidRPr="0023039E" w:rsidRDefault="00D66204" w:rsidP="00D66204">
      <w:pPr>
        <w:pStyle w:val="ExhibitA3"/>
        <w:keepNext w:val="0"/>
        <w:numPr>
          <w:ilvl w:val="2"/>
          <w:numId w:val="16"/>
        </w:numPr>
        <w:tabs>
          <w:tab w:val="clear" w:pos="2592"/>
          <w:tab w:val="clear" w:pos="4176"/>
          <w:tab w:val="clear" w:pos="10710"/>
        </w:tabs>
        <w:spacing w:before="120" w:after="120"/>
        <w:ind w:right="0"/>
        <w:jc w:val="both"/>
        <w:outlineLvl w:val="9"/>
      </w:pPr>
      <w:r w:rsidRPr="0023039E">
        <w:t>Name and address of Contractor’s liability insurance carrier;</w:t>
      </w:r>
    </w:p>
    <w:p w:rsidR="00D66204" w:rsidRPr="0023039E" w:rsidRDefault="00D66204" w:rsidP="00D66204">
      <w:pPr>
        <w:pStyle w:val="ExhibitA3"/>
        <w:keepNext w:val="0"/>
        <w:numPr>
          <w:ilvl w:val="2"/>
          <w:numId w:val="16"/>
        </w:numPr>
        <w:tabs>
          <w:tab w:val="clear" w:pos="2592"/>
          <w:tab w:val="clear" w:pos="4176"/>
          <w:tab w:val="clear" w:pos="10710"/>
        </w:tabs>
        <w:spacing w:before="120" w:after="120"/>
        <w:ind w:right="0"/>
        <w:jc w:val="both"/>
        <w:outlineLvl w:val="9"/>
      </w:pPr>
      <w:r w:rsidRPr="0023039E">
        <w:lastRenderedPageBreak/>
        <w:t>A description of the circumstances surrounding the accident, whether any of the AOC’s equipment, materials or staff were involved and the extent of damage to AOC and/or other property; and</w:t>
      </w:r>
    </w:p>
    <w:p w:rsidR="00A2380A" w:rsidRPr="0023039E" w:rsidRDefault="00D66204">
      <w:pPr>
        <w:pStyle w:val="ExhibitA3"/>
        <w:keepNext w:val="0"/>
        <w:numPr>
          <w:ilvl w:val="2"/>
          <w:numId w:val="16"/>
        </w:numPr>
        <w:tabs>
          <w:tab w:val="clear" w:pos="2592"/>
          <w:tab w:val="clear" w:pos="4176"/>
          <w:tab w:val="clear" w:pos="10710"/>
        </w:tabs>
        <w:spacing w:before="120" w:after="120"/>
        <w:ind w:right="0"/>
        <w:jc w:val="both"/>
        <w:outlineLvl w:val="9"/>
      </w:pPr>
      <w:r w:rsidRPr="0023039E">
        <w:t>A description of what effect, if any, the accident will have upon Contractor’s ability to perform the Services.</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Termination for Cause</w:t>
      </w:r>
    </w:p>
    <w:p w:rsidR="00A2380A" w:rsidRPr="0023039E" w:rsidRDefault="00432FB6">
      <w:pPr>
        <w:pStyle w:val="ExhibitA2"/>
        <w:keepNext w:val="0"/>
        <w:numPr>
          <w:ilvl w:val="1"/>
          <w:numId w:val="74"/>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Default</w:t>
      </w:r>
      <w:r w:rsidRPr="0023039E">
        <w:t>.</w:t>
      </w:r>
      <w:proofErr w:type="gramEnd"/>
      <w:r w:rsidRPr="0023039E">
        <w:t xml:space="preserve">  Each of the following shall constitute an event of default (</w:t>
      </w:r>
      <w:r w:rsidRPr="0023039E">
        <w:rPr>
          <w:b/>
        </w:rPr>
        <w:t>Event of Default</w:t>
      </w:r>
      <w:r w:rsidRPr="0023039E">
        <w:t xml:space="preserve">): </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Contractor fails or refuses to perform any covenant contained in this Agreement at the time and in the manner provided.</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 xml:space="preserve">Any representation or warranty made by Contractor is untrue when </w:t>
      </w:r>
      <w:proofErr w:type="gramStart"/>
      <w:r w:rsidRPr="0023039E">
        <w:t>made</w:t>
      </w:r>
      <w:proofErr w:type="gramEnd"/>
      <w:r w:rsidRPr="0023039E">
        <w:t xml:space="preserve"> or becomes untrue during the term of this Agreement.</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Contractor is generally not paying its debts as they become due.</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 xml:space="preserve">Contractor voluntarily files a petition </w:t>
      </w:r>
      <w:proofErr w:type="gramStart"/>
      <w:r w:rsidRPr="0023039E">
        <w:t>in bankruptcy or to take advantage of any bankruptcy, insolvency, or other debtors’ relief law of any jurisdiction</w:t>
      </w:r>
      <w:proofErr w:type="gramEnd"/>
      <w:r w:rsidRPr="0023039E">
        <w:t>.</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 xml:space="preserve">Contractor is subject to an involuntary petition in bankruptcy filed by its creditors that </w:t>
      </w:r>
      <w:proofErr w:type="gramStart"/>
      <w:r w:rsidRPr="0023039E">
        <w:t>has not been dismissed</w:t>
      </w:r>
      <w:proofErr w:type="gramEnd"/>
      <w:r w:rsidRPr="0023039E">
        <w:t xml:space="preserve"> within forty-five (45) days of its filing.</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Contractor makes an assignment for the benefit of its creditors.</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 xml:space="preserve">A custodian, receiver, trustee, or other officer with similar powers </w:t>
      </w:r>
      <w:proofErr w:type="gramStart"/>
      <w:r w:rsidRPr="0023039E">
        <w:t>is appointed</w:t>
      </w:r>
      <w:proofErr w:type="gramEnd"/>
      <w:r w:rsidRPr="0023039E">
        <w:t xml:space="preserve"> over any substantial part of Contractor’s property.</w:t>
      </w:r>
    </w:p>
    <w:p w:rsidR="00432FB6" w:rsidRPr="0023039E"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23039E">
        <w:t xml:space="preserve">Contractor winds up or dissolves its business, or </w:t>
      </w:r>
      <w:proofErr w:type="gramStart"/>
      <w:r w:rsidRPr="0023039E">
        <w:t>is liquidated</w:t>
      </w:r>
      <w:proofErr w:type="gramEnd"/>
      <w:r w:rsidRPr="0023039E">
        <w:t>.</w:t>
      </w:r>
    </w:p>
    <w:p w:rsidR="00A2380A" w:rsidRPr="0023039E" w:rsidRDefault="00432FB6">
      <w:pPr>
        <w:pStyle w:val="ExhibitA2"/>
        <w:keepNext w:val="0"/>
        <w:numPr>
          <w:ilvl w:val="1"/>
          <w:numId w:val="74"/>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proofErr w:type="gramStart"/>
      <w:r w:rsidRPr="0023039E">
        <w:rPr>
          <w:rStyle w:val="StyleExhibitA2UnderlineChar"/>
        </w:rPr>
        <w:t>Remedies</w:t>
      </w:r>
      <w:r w:rsidRPr="0023039E">
        <w:rPr>
          <w:rStyle w:val="StyleExhibitA2UnderlineChar"/>
          <w:u w:val="none"/>
        </w:rPr>
        <w:t>.</w:t>
      </w:r>
      <w:proofErr w:type="gramEnd"/>
      <w:r w:rsidRPr="0023039E">
        <w:rPr>
          <w:rStyle w:val="StyleExhibitA2UnderlineChar"/>
          <w:u w:val="none"/>
        </w:rPr>
        <w:t xml:space="preserve">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Termination for Non-Appropriation of Funds</w:t>
      </w:r>
      <w:r w:rsidR="00336153" w:rsidRPr="0023039E">
        <w:rPr>
          <w:rFonts w:ascii="Times New Roman Bold" w:hAnsi="Times New Roman Bold"/>
          <w:b/>
          <w:caps/>
          <w:szCs w:val="20"/>
          <w:u w:val="none"/>
        </w:rPr>
        <w:t xml:space="preserve"> (*)</w:t>
      </w:r>
    </w:p>
    <w:p w:rsidR="00432FB6" w:rsidRPr="0023039E"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23039E">
        <w:t xml:space="preserve">Contractor acknowledges that funding for this Agreement </w:t>
      </w:r>
      <w:proofErr w:type="gramStart"/>
      <w:r w:rsidRPr="0023039E">
        <w:t>is conditioned</w:t>
      </w:r>
      <w:proofErr w:type="gramEnd"/>
      <w:r w:rsidRPr="0023039E">
        <w:t xml:space="preserve"> upon appropriation by the California Legislature and allocation by the Judicial Council of California of sufficient funds to support the activities described in this Agreement.  By written notice to Contractor, the AOC may terminate this Agreement, in </w:t>
      </w:r>
      <w:proofErr w:type="gramStart"/>
      <w:r w:rsidRPr="0023039E">
        <w:t>whole</w:t>
      </w:r>
      <w:proofErr w:type="gramEnd"/>
      <w:r w:rsidRPr="0023039E">
        <w:t xml:space="preserve"> or in part, at any time for lack of appropriation of funds, or other withdrawal, reduction or limitation in any way of the AOC’s </w:t>
      </w:r>
      <w:r w:rsidRPr="0023039E">
        <w:lastRenderedPageBreak/>
        <w:t xml:space="preserve">budget, funding or financial resources.  Such termination is in addition to the AOC’s rights to terminate for convenience or cause.  If this Agreement is terminated for non-appropriation: </w:t>
      </w:r>
    </w:p>
    <w:p w:rsidR="00432FB6" w:rsidRPr="0023039E"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23039E">
        <w:t xml:space="preserve">The AOC will be liable only for payment in accordance with the terms of this Agreement for Services rendered and expenses incurred prior to the effective date of termination;  </w:t>
      </w:r>
    </w:p>
    <w:p w:rsidR="00432FB6" w:rsidRPr="0023039E"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23039E">
        <w:t xml:space="preserve">Contractor shall be released from any further obligation to provide the Services affected by such termination; and </w:t>
      </w:r>
    </w:p>
    <w:p w:rsidR="00432FB6" w:rsidRPr="0023039E"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23039E">
        <w:t>Termination shall not prejudice any other right or remedy available to the AOC.</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Termination for Convenience</w:t>
      </w:r>
    </w:p>
    <w:p w:rsidR="00432FB6" w:rsidRPr="0023039E" w:rsidRDefault="00432FB6" w:rsidP="00432FB6">
      <w:pPr>
        <w:pStyle w:val="Heading-SingleP"/>
        <w:jc w:val="both"/>
      </w:pPr>
      <w:r w:rsidRPr="0023039E">
        <w:t xml:space="preserve">The AOC shall have the option, in its sole discretion, to terminate this Agreement, in whole or in part, at any time during the term hereof, for convenience and without cause.  The AOC shall exercise this option by giving Contractor at least </w:t>
      </w:r>
      <w:proofErr w:type="gramStart"/>
      <w:r w:rsidRPr="0023039E">
        <w:t>thirty (30) days</w:t>
      </w:r>
      <w:proofErr w:type="gramEnd"/>
      <w:r w:rsidRPr="0023039E">
        <w:t xml:space="preserve"> prior written notice of termination.  The notice shall specify the date on which termination shall become effective.</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 xml:space="preserve">Actions of Contractor Upon Termination  </w:t>
      </w:r>
    </w:p>
    <w:p w:rsidR="00432FB6" w:rsidRPr="0023039E"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23039E">
        <w:t xml:space="preserve">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w:t>
      </w:r>
      <w:proofErr w:type="gramStart"/>
      <w:r w:rsidRPr="0023039E">
        <w:t>as a result</w:t>
      </w:r>
      <w:proofErr w:type="gramEnd"/>
      <w:r w:rsidRPr="0023039E">
        <w:t xml:space="preserve"> of termination.  All such actions shall be subject to the prior approval of the AOC, at the AOC’s sole discretion, and shall be in accordance with the attorneys’ obligations to their clients.</w:t>
      </w:r>
    </w:p>
    <w:p w:rsidR="00432FB6" w:rsidRPr="0023039E"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proofErr w:type="gramStart"/>
      <w:r w:rsidRPr="0023039E">
        <w:rPr>
          <w:rStyle w:val="StyleExhibitA2UnderlineChar"/>
        </w:rPr>
        <w:t>Withdrawal and Tail Representation</w:t>
      </w:r>
      <w:r w:rsidRPr="0023039E">
        <w:t>.</w:t>
      </w:r>
      <w:proofErr w:type="gramEnd"/>
      <w:r w:rsidRPr="0023039E">
        <w:t xml:space="preserve">  Contractor will continue to represent existing clients until Contractor withdraws as counsel of record (or substitutes counsel) without prejudice to the interests of Contractor’s clients and without violating any law, rule or regulation.</w:t>
      </w:r>
    </w:p>
    <w:p w:rsidR="00432FB6" w:rsidRPr="0023039E"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23039E">
        <w:rPr>
          <w:rStyle w:val="StyleExhibitA2UnderlineChar"/>
        </w:rPr>
        <w:t>Release from Performance of Services</w:t>
      </w:r>
      <w:r w:rsidRPr="0023039E">
        <w:t xml:space="preserve">.  Contractor </w:t>
      </w:r>
      <w:proofErr w:type="gramStart"/>
      <w:r w:rsidRPr="0023039E">
        <w:t>will be released</w:t>
      </w:r>
      <w:proofErr w:type="gramEnd"/>
      <w:r w:rsidRPr="0023039E">
        <w:t xml:space="preserve"> from performing Services to the extent Contractor effectively withdraws as counsel of record (or substitutes counsel) in accordance with </w:t>
      </w:r>
      <w:r w:rsidR="000C6FF5" w:rsidRPr="0023039E">
        <w:t>Section</w:t>
      </w:r>
      <w:r w:rsidRPr="0023039E">
        <w:t xml:space="preserve"> </w:t>
      </w:r>
      <w:proofErr w:type="spellStart"/>
      <w:r w:rsidRPr="0023039E">
        <w:t>1</w:t>
      </w:r>
      <w:r w:rsidR="005C62A3" w:rsidRPr="0023039E">
        <w:t>1</w:t>
      </w:r>
      <w:r w:rsidRPr="0023039E">
        <w:t>.A</w:t>
      </w:r>
      <w:proofErr w:type="spellEnd"/>
      <w:r w:rsidRPr="0023039E">
        <w:t xml:space="preserve"> above.  If Contractor cannot be released from performing Services due to an inability to withdraw as described above, </w:t>
      </w:r>
      <w:r w:rsidRPr="0023039E">
        <w:rPr>
          <w:b/>
        </w:rPr>
        <w:t xml:space="preserve"> </w:t>
      </w:r>
      <w:r w:rsidRPr="0023039E">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23039E">
        <w:rPr>
          <w:b/>
        </w:rPr>
        <w:t xml:space="preserve"> </w:t>
      </w:r>
      <w:r w:rsidRPr="0023039E">
        <w:t>until</w:t>
      </w:r>
      <w:r w:rsidRPr="0023039E">
        <w:rPr>
          <w:b/>
        </w:rPr>
        <w:t xml:space="preserve"> </w:t>
      </w:r>
      <w:r w:rsidRPr="0023039E">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23039E"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23039E">
        <w:t>Contractor’s duties under this Agreement will continue after the Termination Date solely with respect to the affected matters;</w:t>
      </w:r>
    </w:p>
    <w:p w:rsidR="00432FB6" w:rsidRPr="0023039E"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23039E">
        <w:lastRenderedPageBreak/>
        <w:t xml:space="preserve">Compensation following the Termination Date will be at a rate of </w:t>
      </w:r>
      <w:r w:rsidRPr="0023039E">
        <w:rPr>
          <w:b/>
        </w:rPr>
        <w:t>$75</w:t>
      </w:r>
      <w:r w:rsidR="00A76A67" w:rsidRPr="0023039E">
        <w:rPr>
          <w:b/>
        </w:rPr>
        <w:t>.00</w:t>
      </w:r>
      <w:r w:rsidRPr="0023039E">
        <w:rPr>
          <w:b/>
        </w:rPr>
        <w:t xml:space="preserve"> </w:t>
      </w:r>
      <w:r w:rsidRPr="0023039E">
        <w:t>per hour for legal services provided;</w:t>
      </w:r>
    </w:p>
    <w:p w:rsidR="00432FB6" w:rsidRPr="0023039E"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23039E">
        <w:t xml:space="preserve">In addition, the AOC will reimburse the Contractor for any direct, reasonable, actual </w:t>
      </w:r>
      <w:proofErr w:type="gramStart"/>
      <w:r w:rsidRPr="0023039E">
        <w:t>expenditures</w:t>
      </w:r>
      <w:proofErr w:type="gramEnd"/>
      <w:r w:rsidRPr="0023039E">
        <w:t xml:space="preserve"> for long distance telephone and, if contained in a court order, Third Party experts.</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Effect of Termination</w:t>
      </w:r>
    </w:p>
    <w:p w:rsidR="00432FB6" w:rsidRPr="0023039E"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23039E">
        <w:t>In addition to any other remedies and actions set forth in this Agreement, if this Agreement is terminated for cause, non-appropriation of funds, or for convenience, the following will apply:</w:t>
      </w:r>
    </w:p>
    <w:p w:rsidR="00432FB6" w:rsidRPr="0023039E"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23039E">
        <w:rPr>
          <w:rStyle w:val="StyleExhibitA2UnderlineChar"/>
        </w:rPr>
        <w:t xml:space="preserve">Payment </w:t>
      </w:r>
      <w:proofErr w:type="gramStart"/>
      <w:r w:rsidRPr="0023039E">
        <w:rPr>
          <w:rStyle w:val="StyleExhibitA2UnderlineChar"/>
        </w:rPr>
        <w:t>Upon</w:t>
      </w:r>
      <w:proofErr w:type="gramEnd"/>
      <w:r w:rsidRPr="0023039E">
        <w:rPr>
          <w:rStyle w:val="StyleExhibitA2UnderlineChar"/>
        </w:rPr>
        <w:t xml:space="preserve"> Termination</w:t>
      </w:r>
      <w:r w:rsidRPr="0023039E">
        <w:t>.  The AOC shall pay for Contractor’s Services satisfactorily performed through the effective date of termination; provided, however, that in no event shall Contractor’s total compensation pursuant to this Agreement exceed the Contract Amount.</w:t>
      </w:r>
    </w:p>
    <w:p w:rsidR="00432FB6" w:rsidRPr="0023039E"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23039E">
        <w:rPr>
          <w:rStyle w:val="StyleExhibitA2UnderlineChar"/>
        </w:rPr>
        <w:t>Offset and Deduction</w:t>
      </w:r>
      <w:r w:rsidRPr="0023039E">
        <w:t>.  The AOC may deduct from any payment upon termination:</w:t>
      </w:r>
    </w:p>
    <w:p w:rsidR="00432FB6" w:rsidRPr="0023039E"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23039E">
        <w:t>All payments previously made by the AOC for Services covered by Contractor’s final invoice.</w:t>
      </w:r>
    </w:p>
    <w:p w:rsidR="00432FB6" w:rsidRPr="0023039E"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t>The amount of any claim that the AOC may have against Contractor in connection with this Agreement.</w:t>
      </w:r>
      <w:bookmarkStart w:id="0" w:name="_Toc58666339"/>
      <w:proofErr w:type="gramEnd"/>
    </w:p>
    <w:p w:rsidR="00432FB6" w:rsidRPr="0023039E"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23039E">
        <w:t xml:space="preserve">Where Contractor </w:t>
      </w:r>
      <w:proofErr w:type="gramStart"/>
      <w:r w:rsidRPr="0023039E">
        <w:t>is terminated</w:t>
      </w:r>
      <w:proofErr w:type="gramEnd"/>
      <w:r w:rsidRPr="0023039E">
        <w:t xml:space="preserve">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Ownership of Data</w:t>
      </w:r>
      <w:bookmarkEnd w:id="0"/>
    </w:p>
    <w:p w:rsidR="00432FB6" w:rsidRPr="0023039E" w:rsidRDefault="00432FB6" w:rsidP="00432FB6">
      <w:pPr>
        <w:pStyle w:val="Heading-SingleP"/>
        <w:jc w:val="both"/>
      </w:pPr>
      <w:r w:rsidRPr="0023039E">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proofErr w:type="gramStart"/>
      <w:r w:rsidRPr="0023039E">
        <w:rPr>
          <w:szCs w:val="24"/>
        </w:rPr>
        <w:t>.</w:t>
      </w:r>
      <w:r w:rsidRPr="0023039E">
        <w:t xml:space="preserve"> </w:t>
      </w:r>
      <w:proofErr w:type="gramEnd"/>
      <w:r w:rsidRPr="0023039E">
        <w:t>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23039E">
        <w:rPr>
          <w:b/>
        </w:rPr>
        <w:t>Data</w:t>
      </w:r>
      <w:r w:rsidRPr="0023039E">
        <w:t xml:space="preserve">”) are the sole property of the AOC without the payment of additional compensation to Contractor.  Contractor shall provide the AOC with all Data within </w:t>
      </w:r>
      <w:proofErr w:type="gramStart"/>
      <w:r w:rsidRPr="0023039E">
        <w:t>thirty (30) days</w:t>
      </w:r>
      <w:proofErr w:type="gramEnd"/>
      <w:r w:rsidRPr="0023039E">
        <w:t xml:space="preserve"> of the AOC’s written request.  However, nothing in this Section </w:t>
      </w:r>
      <w:r w:rsidR="00E04A31" w:rsidRPr="0023039E">
        <w:t>1</w:t>
      </w:r>
      <w:r w:rsidR="005C62A3" w:rsidRPr="0023039E">
        <w:t>3</w:t>
      </w:r>
      <w:r w:rsidRPr="0023039E">
        <w:t xml:space="preserve"> </w:t>
      </w:r>
      <w:proofErr w:type="gramStart"/>
      <w:r w:rsidRPr="0023039E">
        <w:t>is intended</w:t>
      </w:r>
      <w:proofErr w:type="gramEnd"/>
      <w:r w:rsidRPr="0023039E">
        <w:t xml:space="preserve"> to create any right in any person or entity to any Data that is covered by the attorney work-product doctrine.</w:t>
      </w:r>
    </w:p>
    <w:p w:rsidR="00A2380A" w:rsidRPr="0023039E" w:rsidRDefault="00432FB6">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Operating Reserve</w:t>
      </w:r>
    </w:p>
    <w:p w:rsidR="00432FB6" w:rsidRPr="0023039E"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23039E">
        <w:t xml:space="preserve">Contractor shall maintain, at all times during the term of this Agreement, an unallocated operating reserve at least equal to 11.5 percent of the total annual contract amount. </w:t>
      </w:r>
    </w:p>
    <w:p w:rsidR="00432FB6" w:rsidRPr="0023039E"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23039E">
        <w:lastRenderedPageBreak/>
        <w:t xml:space="preserve">Contractor shall maintain, at all times during the term of this Agreement, an additional reserve (distinct </w:t>
      </w:r>
      <w:r w:rsidR="003F57FE" w:rsidRPr="0023039E">
        <w:t xml:space="preserve">from the reserve identified in </w:t>
      </w:r>
      <w:r w:rsidR="000C6FF5" w:rsidRPr="0023039E">
        <w:t>S</w:t>
      </w:r>
      <w:r w:rsidRPr="0023039E">
        <w:t xml:space="preserve">ection </w:t>
      </w:r>
      <w:proofErr w:type="spellStart"/>
      <w:r w:rsidR="005C62A3" w:rsidRPr="0023039E">
        <w:t>14</w:t>
      </w:r>
      <w:r w:rsidRPr="0023039E">
        <w:t>.A</w:t>
      </w:r>
      <w:proofErr w:type="spellEnd"/>
      <w:r w:rsidRPr="0023039E">
        <w:t xml:space="preserve"> above) in an amount at least equal to outstanding employee leave balances.</w:t>
      </w:r>
    </w:p>
    <w:p w:rsidR="00432FB6" w:rsidRPr="0023039E"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23039E">
        <w:t>[The unallocated operating reserve shall be established and maintained according to procedures developed by the Contractor’s Board of Directors</w:t>
      </w:r>
      <w:proofErr w:type="gramStart"/>
      <w:r w:rsidRPr="0023039E">
        <w:t xml:space="preserve">. </w:t>
      </w:r>
      <w:proofErr w:type="gramEnd"/>
      <w:r w:rsidRPr="0023039E">
        <w:t>Expenditures from the unallocated operating reserve shall follow the procedures set forth by the Board of Directors and shall be reflected in the financial information the Contractor furnishes to the Court.]</w:t>
      </w:r>
    </w:p>
    <w:p w:rsidR="00432FB6" w:rsidRPr="0023039E" w:rsidRDefault="00A76A67" w:rsidP="00F773F1">
      <w:pPr>
        <w:pStyle w:val="ExhibitB1"/>
        <w:keepNext w:val="0"/>
        <w:widowControl w:val="0"/>
        <w:numPr>
          <w:ilvl w:val="1"/>
          <w:numId w:val="17"/>
        </w:numPr>
        <w:jc w:val="both"/>
        <w:rPr>
          <w:b/>
          <w:u w:val="none"/>
        </w:rPr>
      </w:pPr>
      <w:r w:rsidRPr="0023039E">
        <w:rPr>
          <w:u w:val="none"/>
        </w:rPr>
        <w:t xml:space="preserve">  </w:t>
      </w:r>
      <w:r w:rsidR="00432FB6" w:rsidRPr="0023039E">
        <w:rPr>
          <w:u w:val="none"/>
        </w:rPr>
        <w:t xml:space="preserve">Contractor shall notify the AOC within forty-five (45) calendar days if any reserve required by this </w:t>
      </w:r>
      <w:r w:rsidR="000C6FF5" w:rsidRPr="0023039E">
        <w:rPr>
          <w:u w:val="none"/>
        </w:rPr>
        <w:t>Section</w:t>
      </w:r>
      <w:r w:rsidR="00432FB6" w:rsidRPr="0023039E">
        <w:rPr>
          <w:u w:val="none"/>
        </w:rPr>
        <w:t xml:space="preserve"> </w:t>
      </w:r>
      <w:r w:rsidR="005C62A3" w:rsidRPr="0023039E">
        <w:rPr>
          <w:u w:val="none"/>
        </w:rPr>
        <w:t>14</w:t>
      </w:r>
      <w:r w:rsidR="00432FB6" w:rsidRPr="0023039E">
        <w:rPr>
          <w:u w:val="none"/>
        </w:rPr>
        <w:t xml:space="preserve"> falls below the applicable minimum level</w:t>
      </w:r>
      <w:proofErr w:type="gramStart"/>
      <w:r w:rsidR="00432FB6" w:rsidRPr="0023039E">
        <w:rPr>
          <w:u w:val="none"/>
        </w:rPr>
        <w:t xml:space="preserve">. </w:t>
      </w:r>
      <w:proofErr w:type="gramEnd"/>
      <w:r w:rsidR="00C13F31" w:rsidRPr="0023039E">
        <w:rPr>
          <w:u w:val="none"/>
        </w:rPr>
        <w:t>Contractor shall include with the notification: (1) a detailed explanation of the reason(s) for the reduced reserve level and (2) a plan for specific operational change(s) to increase the reserve to the mandatory minimum level</w:t>
      </w:r>
      <w:proofErr w:type="gramStart"/>
      <w:r w:rsidR="00C13F31" w:rsidRPr="0023039E">
        <w:rPr>
          <w:u w:val="none"/>
        </w:rPr>
        <w:t xml:space="preserve">. </w:t>
      </w:r>
      <w:proofErr w:type="gramEnd"/>
      <w:r w:rsidR="00432FB6" w:rsidRPr="0023039E">
        <w:rPr>
          <w:u w:val="none"/>
        </w:rPr>
        <w:t xml:space="preserve">Contractor shall not be deemed to be in breach of this Agreement if any reserve required by this </w:t>
      </w:r>
      <w:r w:rsidR="000C6FF5" w:rsidRPr="0023039E">
        <w:rPr>
          <w:u w:val="none"/>
        </w:rPr>
        <w:t>Section</w:t>
      </w:r>
      <w:r w:rsidR="00432FB6" w:rsidRPr="0023039E">
        <w:rPr>
          <w:u w:val="none"/>
        </w:rPr>
        <w:t xml:space="preserve"> </w:t>
      </w:r>
      <w:r w:rsidR="005C62A3" w:rsidRPr="0023039E">
        <w:rPr>
          <w:u w:val="none"/>
        </w:rPr>
        <w:t>14</w:t>
      </w:r>
      <w:r w:rsidR="00432FB6" w:rsidRPr="0023039E">
        <w:rPr>
          <w:u w:val="none"/>
        </w:rPr>
        <w:t xml:space="preserve"> falls below the applicable minimum level if Contractor has implemented a plan to raise the applicable reserve to the minimum level within a reasonable </w:t>
      </w:r>
      <w:proofErr w:type="gramStart"/>
      <w:r w:rsidR="00432FB6" w:rsidRPr="0023039E">
        <w:rPr>
          <w:u w:val="none"/>
        </w:rPr>
        <w:t>period of time</w:t>
      </w:r>
      <w:proofErr w:type="gramEnd"/>
      <w:r w:rsidR="00432FB6" w:rsidRPr="0023039E">
        <w:rPr>
          <w:u w:val="none"/>
        </w:rPr>
        <w:t xml:space="preserve">.  For avoidance of doubt, any line of credit or similar instruments </w:t>
      </w:r>
      <w:proofErr w:type="gramStart"/>
      <w:r w:rsidR="00432FB6" w:rsidRPr="0023039E">
        <w:rPr>
          <w:u w:val="none"/>
        </w:rPr>
        <w:t>may be used</w:t>
      </w:r>
      <w:proofErr w:type="gramEnd"/>
      <w:r w:rsidR="00432FB6" w:rsidRPr="0023039E">
        <w:rPr>
          <w:u w:val="none"/>
        </w:rPr>
        <w:t xml:space="preserve"> to determine whether th</w:t>
      </w:r>
      <w:r w:rsidRPr="0023039E">
        <w:rPr>
          <w:u w:val="none"/>
        </w:rPr>
        <w:t xml:space="preserve">e reserves required under this </w:t>
      </w:r>
      <w:r w:rsidR="000C6FF5" w:rsidRPr="0023039E">
        <w:rPr>
          <w:u w:val="none"/>
        </w:rPr>
        <w:t>Section</w:t>
      </w:r>
      <w:r w:rsidR="00432FB6" w:rsidRPr="0023039E">
        <w:rPr>
          <w:u w:val="none"/>
        </w:rPr>
        <w:t xml:space="preserve"> </w:t>
      </w:r>
      <w:r w:rsidR="005C62A3" w:rsidRPr="0023039E">
        <w:rPr>
          <w:u w:val="none"/>
        </w:rPr>
        <w:t>14</w:t>
      </w:r>
      <w:r w:rsidR="00432FB6" w:rsidRPr="0023039E">
        <w:rPr>
          <w:u w:val="none"/>
        </w:rPr>
        <w:t xml:space="preserve"> have been met.</w:t>
      </w:r>
    </w:p>
    <w:p w:rsidR="00A2380A" w:rsidRPr="0023039E" w:rsidRDefault="003F57FE">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Proprietary or Confidential Information of the aoc</w:t>
      </w:r>
    </w:p>
    <w:p w:rsidR="003F57FE" w:rsidRPr="0023039E"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proofErr w:type="gramStart"/>
      <w:r w:rsidRPr="0023039E">
        <w:t>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w:t>
      </w:r>
      <w:proofErr w:type="gramEnd"/>
      <w:r w:rsidRPr="0023039E">
        <w:t xml:space="preserve">  Contractor agrees that all information disclosed to Contractor in connection with this Agreement </w:t>
      </w:r>
      <w:proofErr w:type="gramStart"/>
      <w:r w:rsidRPr="0023039E">
        <w:t>shall be held in confidence and used only in the performance of the Agreement</w:t>
      </w:r>
      <w:proofErr w:type="gramEnd"/>
      <w:r w:rsidRPr="0023039E">
        <w:t xml:space="preserve">.  Contractor shall exercise the same standard of care to protect such information as Contractor uses to protect its own proprietary information and in any </w:t>
      </w:r>
      <w:r w:rsidR="00C13F31" w:rsidRPr="0023039E">
        <w:t>case,</w:t>
      </w:r>
      <w:r w:rsidRPr="0023039E">
        <w:t xml:space="preserve"> no less than a reasonably prudent person or entity would use to protect its own proprietary data.</w:t>
      </w:r>
    </w:p>
    <w:p w:rsidR="003F57FE" w:rsidRPr="0023039E"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proofErr w:type="gramStart"/>
      <w:r w:rsidRPr="0023039E">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roofErr w:type="gramEnd"/>
    </w:p>
    <w:p w:rsidR="003F57FE" w:rsidRPr="0023039E"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23039E">
        <w:t>Contractor agrees that monetary damages are inadequate to remedy any breach or threatened breach of this provision and, accordingly, consents to injunctive relief for any breach or threatened breach hereof without the posting of any bond.</w:t>
      </w:r>
    </w:p>
    <w:p w:rsidR="00A2380A" w:rsidRPr="0023039E" w:rsidRDefault="003F57FE">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Audit and Retention of Records</w:t>
      </w:r>
    </w:p>
    <w:p w:rsidR="003F57FE" w:rsidRPr="0023039E" w:rsidRDefault="005C62A3" w:rsidP="003F57FE">
      <w:pPr>
        <w:pStyle w:val="Heading-SingleP"/>
        <w:jc w:val="both"/>
      </w:pPr>
      <w:r w:rsidRPr="0023039E">
        <w:t xml:space="preserve">Contractor shall permit authorized representatives of the AOC and/or its designee at any reasonable time to inspect, copy, or audit </w:t>
      </w:r>
      <w:proofErr w:type="gramStart"/>
      <w:r w:rsidRPr="0023039E">
        <w:t>any and all</w:t>
      </w:r>
      <w:proofErr w:type="gramEnd"/>
      <w:r w:rsidRPr="0023039E">
        <w:t xml:space="preserve"> records and documentation related to the performance of the Agreement, including records related to billings and other financial records.  </w:t>
      </w:r>
      <w:r w:rsidRPr="0023039E">
        <w:lastRenderedPageBreak/>
        <w:t>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23039E">
        <w:rPr>
          <w:b/>
        </w:rPr>
        <w:t xml:space="preserve"> </w:t>
      </w:r>
      <w:r w:rsidRPr="0023039E">
        <w:t>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Section 16.  Without limiting the foregoing, this Agreement is subject to examinations and audit by the State Auditor for a period of three years after final payment.</w:t>
      </w:r>
      <w:r w:rsidR="003F57FE" w:rsidRPr="0023039E">
        <w:t xml:space="preserve">  </w:t>
      </w:r>
    </w:p>
    <w:p w:rsidR="00A2380A" w:rsidRPr="0023039E" w:rsidRDefault="003F57FE">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42"/>
      <w:r w:rsidRPr="0023039E">
        <w:rPr>
          <w:rFonts w:ascii="Times New Roman Bold" w:hAnsi="Times New Roman Bold"/>
          <w:b/>
          <w:caps/>
          <w:szCs w:val="20"/>
          <w:u w:val="none"/>
        </w:rPr>
        <w:t>Accounting System Requirements</w:t>
      </w:r>
      <w:bookmarkEnd w:id="1"/>
    </w:p>
    <w:p w:rsidR="003F57FE" w:rsidRPr="0023039E" w:rsidRDefault="003F57FE" w:rsidP="003F57FE">
      <w:pPr>
        <w:pStyle w:val="Heading-SingleP"/>
        <w:jc w:val="both"/>
      </w:pPr>
      <w:r w:rsidRPr="0023039E">
        <w:t>Contractor shall maintain an adequate system of accounting and internal controls in accordance with Generally Accepted Accounting Principles (GAAP).</w:t>
      </w:r>
    </w:p>
    <w:p w:rsidR="00A2380A" w:rsidRPr="0023039E" w:rsidRDefault="003F57FE">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45"/>
      <w:r w:rsidRPr="0023039E">
        <w:rPr>
          <w:rFonts w:ascii="Times New Roman Bold" w:hAnsi="Times New Roman Bold"/>
          <w:b/>
          <w:caps/>
          <w:szCs w:val="20"/>
          <w:u w:val="none"/>
        </w:rPr>
        <w:t>Certifications, Representations and Warranties</w:t>
      </w:r>
      <w:bookmarkEnd w:id="2"/>
    </w:p>
    <w:p w:rsidR="003F57FE" w:rsidRPr="0023039E"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23039E">
        <w:t>By executing this Agreement, Contractor certifies under penalty of perjury under the laws of the State of California that the following representations and warranties are true and correct as of the Effective Date of this Agreement:</w:t>
      </w:r>
    </w:p>
    <w:p w:rsidR="003F57FE" w:rsidRPr="0023039E"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proofErr w:type="gramStart"/>
      <w:r w:rsidRPr="0023039E">
        <w:rPr>
          <w:u w:val="single"/>
        </w:rPr>
        <w:t>Nondiscrimination/No Harassment Provisions and Compliance.</w:t>
      </w:r>
      <w:proofErr w:type="gramEnd"/>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rPr>
          <w:u w:val="single"/>
        </w:rPr>
        <w:t>Nondiscrimination</w:t>
      </w:r>
      <w:r w:rsidRPr="0023039E">
        <w:t>.</w:t>
      </w:r>
      <w:proofErr w:type="gramEnd"/>
      <w:r w:rsidRPr="0023039E">
        <w:t xml:space="preserve">  </w:t>
      </w:r>
      <w:proofErr w:type="gramStart"/>
      <w:r w:rsidRPr="0023039E">
        <w:t>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w:t>
      </w:r>
      <w:proofErr w:type="gramEnd"/>
      <w:r w:rsidRPr="0023039E">
        <w:t xml:space="preserve">  Contractor and its Subcontractors shall ensure that the evaluation and treatment of employees and applicants for employment are free of such discrimination.</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rPr>
          <w:u w:val="single"/>
        </w:rPr>
        <w:t>No Harassment</w:t>
      </w:r>
      <w:r w:rsidRPr="0023039E">
        <w:t>.</w:t>
      </w:r>
      <w:proofErr w:type="gramEnd"/>
      <w:r w:rsidRPr="0023039E">
        <w:t xml:space="preserve">  During the performance of this Agreement, Contractor and its Subcontractors shall not engage in unlawful harassment, including sexual harassment, with respect to any persons with whom Contractor or its Subcontractors interact in the performance of this Agreement</w:t>
      </w:r>
      <w:proofErr w:type="gramStart"/>
      <w:r w:rsidRPr="0023039E">
        <w:t xml:space="preserve">. </w:t>
      </w:r>
      <w:proofErr w:type="gramEnd"/>
      <w:r w:rsidRPr="0023039E">
        <w:t>Contractor and its Subcontractors shall take all reasonable steps to prevent harassment from occurring.</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rPr>
          <w:u w:val="single"/>
        </w:rPr>
        <w:t>FEHA</w:t>
      </w:r>
      <w:r w:rsidRPr="0023039E">
        <w:t>.</w:t>
      </w:r>
      <w:proofErr w:type="gramEnd"/>
      <w:r w:rsidRPr="0023039E">
        <w:t xml:space="preserve">  Contractor shall comply with all applicable provisions of the Fair Employment and Housing Act, Government Code</w:t>
      </w:r>
      <w:r w:rsidR="000C6FF5" w:rsidRPr="0023039E">
        <w:t>,</w:t>
      </w:r>
      <w:r w:rsidRPr="0023039E">
        <w:t xml:space="preserve"> </w:t>
      </w:r>
      <w:proofErr w:type="gramStart"/>
      <w:r w:rsidRPr="0023039E">
        <w:t>section 12990 et seq.,</w:t>
      </w:r>
      <w:proofErr w:type="gramEnd"/>
      <w:r w:rsidRPr="0023039E">
        <w:t xml:space="preserve"> and the applicable regulations promulgated under California Code of Regulations, title 2, sections 7285 et seq.  The applicable regulations of the Fair Employment and Housing Commission implementing Government Code</w:t>
      </w:r>
      <w:r w:rsidR="000C6FF5" w:rsidRPr="0023039E">
        <w:t>,</w:t>
      </w:r>
      <w:r w:rsidRPr="0023039E">
        <w:t xml:space="preserve"> section 12990, set forth in </w:t>
      </w:r>
      <w:r w:rsidRPr="0023039E">
        <w:lastRenderedPageBreak/>
        <w:t>chapter 5 of division 4 of title 2 of the California Code of Regulations, are incorporated into this Agreement by reference and made a part of it as if set forth in full.</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rPr>
          <w:u w:val="single"/>
        </w:rPr>
        <w:t>Compliance with Americans with Disabilities Act</w:t>
      </w:r>
      <w:r w:rsidRPr="0023039E">
        <w:t>.</w:t>
      </w:r>
      <w:proofErr w:type="gramEnd"/>
      <w:r w:rsidRPr="0023039E">
        <w:t xml:space="preserve">  Contractor shall provide the Services specified in this Agreement in a manner that complies with the Americans with Disabilities Act, 42 United States Code</w:t>
      </w:r>
      <w:r w:rsidR="000C6FF5" w:rsidRPr="0023039E">
        <w:t>,</w:t>
      </w:r>
      <w:r w:rsidRPr="0023039E">
        <w:t xml:space="preserve"> section 012101 </w:t>
      </w:r>
      <w:r w:rsidRPr="0023039E">
        <w:rPr>
          <w:i/>
        </w:rPr>
        <w:t>et seq</w:t>
      </w:r>
      <w:r w:rsidRPr="0023039E">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23039E">
        <w:rPr>
          <w:u w:val="single"/>
        </w:rPr>
        <w:t>Notice to Labor Organizations</w:t>
      </w:r>
      <w:r w:rsidRPr="0023039E">
        <w:t>.  Contractor and its Subcontractors shall give written notice of their obligations under this clause to any labor organizations with which they have a collective bargaining or other agreement.</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rPr>
          <w:u w:val="single"/>
        </w:rPr>
        <w:t>Compliance</w:t>
      </w:r>
      <w:r w:rsidRPr="0023039E">
        <w:t>.</w:t>
      </w:r>
      <w:proofErr w:type="gramEnd"/>
      <w:r w:rsidRPr="0023039E">
        <w:t xml:space="preserve">  Contractor shall include the </w:t>
      </w:r>
      <w:proofErr w:type="gramStart"/>
      <w:r w:rsidRPr="0023039E">
        <w:t xml:space="preserve">nondiscrimination and compliance provisions of this Section </w:t>
      </w:r>
      <w:proofErr w:type="spellStart"/>
      <w:r w:rsidR="005C62A3" w:rsidRPr="0023039E">
        <w:t>18</w:t>
      </w:r>
      <w:r w:rsidRPr="0023039E">
        <w:t>.A.i</w:t>
      </w:r>
      <w:proofErr w:type="spellEnd"/>
      <w:r w:rsidRPr="0023039E">
        <w:t xml:space="preserve"> in any</w:t>
      </w:r>
      <w:proofErr w:type="gramEnd"/>
      <w:r w:rsidRPr="0023039E">
        <w:t xml:space="preserve"> and all subcontracts issued to perform Services under the Agreement.</w:t>
      </w:r>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23039E">
        <w:rPr>
          <w:u w:val="single"/>
        </w:rPr>
        <w:t>Conflict of Interest</w:t>
      </w:r>
      <w:r w:rsidRPr="0023039E">
        <w:t>.</w:t>
      </w:r>
      <w:proofErr w:type="gramEnd"/>
      <w:r w:rsidRPr="0023039E">
        <w:t xml:space="preserve">  </w:t>
      </w:r>
      <w:r w:rsidRPr="0023039E">
        <w:rPr>
          <w:bCs/>
        </w:rPr>
        <w:t>Contractor has no interest that would constitute a conflict of interest under Public Contract Code</w:t>
      </w:r>
      <w:r w:rsidR="000C6FF5" w:rsidRPr="0023039E">
        <w:rPr>
          <w:bCs/>
        </w:rPr>
        <w:t>,</w:t>
      </w:r>
      <w:r w:rsidRPr="0023039E">
        <w:rPr>
          <w:bCs/>
        </w:rPr>
        <w:t xml:space="preserve"> sections 10365.5, 10410 or 10411; Government Code</w:t>
      </w:r>
      <w:r w:rsidR="000C6FF5" w:rsidRPr="0023039E">
        <w:rPr>
          <w:bCs/>
        </w:rPr>
        <w:t>,</w:t>
      </w:r>
      <w:r w:rsidRPr="0023039E">
        <w:rPr>
          <w:bCs/>
        </w:rPr>
        <w:t xml:space="preserve"> sections 1090 et seq. or </w:t>
      </w:r>
      <w:proofErr w:type="gramStart"/>
      <w:r w:rsidRPr="0023039E">
        <w:rPr>
          <w:bCs/>
        </w:rPr>
        <w:t>87100 et seq.;</w:t>
      </w:r>
      <w:proofErr w:type="gramEnd"/>
      <w:r w:rsidRPr="0023039E">
        <w:rPr>
          <w:bCs/>
        </w:rPr>
        <w:t xml:space="preserve"> or California Rules of Court, rule 10.103 or 10.104, which restrict employees and former employees from contracting with Judicial Branch Entities. </w:t>
      </w:r>
      <w:r w:rsidRPr="0023039E">
        <w:t xml:space="preserve"> </w:t>
      </w:r>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23039E">
        <w:rPr>
          <w:rStyle w:val="StyleExhibitA2UnderlineChar"/>
        </w:rPr>
        <w:t>Drug-Free Workplace</w:t>
      </w:r>
      <w:r w:rsidRPr="0023039E">
        <w:t>.</w:t>
      </w:r>
      <w:proofErr w:type="gramEnd"/>
      <w:r w:rsidRPr="0023039E">
        <w:t xml:space="preserve">  Contractor will provide a drug-free workplace as required by Government Code</w:t>
      </w:r>
      <w:r w:rsidR="000C6FF5" w:rsidRPr="0023039E">
        <w:t>,</w:t>
      </w:r>
      <w:r w:rsidRPr="0023039E">
        <w:t xml:space="preserve"> sections 8355 through 8357.</w:t>
      </w:r>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23039E">
        <w:rPr>
          <w:rStyle w:val="StyleExhibitA2UnderlineChar"/>
        </w:rPr>
        <w:t>National Labor Relations Board</w:t>
      </w:r>
      <w:r w:rsidRPr="0023039E">
        <w:t>.</w:t>
      </w:r>
      <w:proofErr w:type="gramEnd"/>
      <w:r w:rsidRPr="0023039E">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proofErr w:type="gramStart"/>
      <w:r w:rsidRPr="0023039E">
        <w:t xml:space="preserve">. </w:t>
      </w:r>
      <w:proofErr w:type="gramEnd"/>
      <w:r w:rsidRPr="0023039E">
        <w:t>Contractor swears under penalty of perjury that this representation is true.</w:t>
      </w:r>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23039E">
        <w:rPr>
          <w:rStyle w:val="StyleExhibitA2UnderlineChar"/>
        </w:rPr>
        <w:t>Licenses and Permits</w:t>
      </w:r>
      <w:r w:rsidRPr="0023039E">
        <w:t>.</w:t>
      </w:r>
      <w:proofErr w:type="gramEnd"/>
      <w:r w:rsidRPr="0023039E">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23039E">
        <w:rPr>
          <w:rStyle w:val="StyleExhibitA2UnderlineChar"/>
        </w:rPr>
        <w:t xml:space="preserve">Covenant </w:t>
      </w:r>
      <w:proofErr w:type="gramStart"/>
      <w:r w:rsidRPr="0023039E">
        <w:rPr>
          <w:rStyle w:val="StyleExhibitA2UnderlineChar"/>
        </w:rPr>
        <w:t>Against</w:t>
      </w:r>
      <w:proofErr w:type="gramEnd"/>
      <w:r w:rsidRPr="0023039E">
        <w:rPr>
          <w:rStyle w:val="StyleExhibitA2UnderlineChar"/>
        </w:rPr>
        <w:t xml:space="preserve"> Gratuities</w:t>
      </w:r>
      <w:r w:rsidRPr="0023039E">
        <w:rPr>
          <w:u w:val="single"/>
        </w:rPr>
        <w:t>.</w:t>
      </w:r>
      <w:r w:rsidRPr="0023039E">
        <w:t xml:space="preserve">  </w:t>
      </w:r>
      <w:proofErr w:type="gramStart"/>
      <w:r w:rsidRPr="0023039E">
        <w:t>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roofErr w:type="gramEnd"/>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23039E">
        <w:rPr>
          <w:rStyle w:val="StyleExhibitA2UnderlineChar"/>
        </w:rPr>
        <w:t>Authority</w:t>
      </w:r>
      <w:r w:rsidRPr="0023039E">
        <w:rPr>
          <w:u w:val="single"/>
        </w:rPr>
        <w:t>.</w:t>
      </w:r>
      <w:proofErr w:type="gramEnd"/>
      <w:r w:rsidRPr="0023039E">
        <w:t xml:space="preserve">  Contractor has authority to enter into and perform its obligations under this Agreement, and Contractor’s signatory has authority to bind Contractor to this Agreement</w:t>
      </w:r>
      <w:proofErr w:type="gramStart"/>
      <w:r w:rsidRPr="0023039E">
        <w:t xml:space="preserve">. </w:t>
      </w:r>
      <w:proofErr w:type="gramEnd"/>
      <w:r w:rsidRPr="0023039E">
        <w:t xml:space="preserve">This Agreement constitutes a valid and binding obligation of Contractor, </w:t>
      </w:r>
      <w:r w:rsidRPr="0023039E">
        <w:lastRenderedPageBreak/>
        <w:t xml:space="preserve">enforceable in accordance with its terms.  Contractor is qualified to do business and in good standing in the State of California. </w:t>
      </w:r>
    </w:p>
    <w:p w:rsidR="003F57FE" w:rsidRPr="0023039E"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23039E">
        <w:rPr>
          <w:u w:val="single"/>
        </w:rPr>
        <w:t>Not an Expatriate Corporation</w:t>
      </w:r>
      <w:proofErr w:type="gramStart"/>
      <w:r w:rsidRPr="0023039E">
        <w:t xml:space="preserve">. </w:t>
      </w:r>
      <w:proofErr w:type="gramEnd"/>
      <w:r w:rsidRPr="0023039E">
        <w:t>Contractor is not an expatriate corporation or subsidiary of an expatriate corporation within the meaning of Public Contract Code</w:t>
      </w:r>
      <w:r w:rsidR="000C6FF5" w:rsidRPr="0023039E">
        <w:t>,</w:t>
      </w:r>
      <w:r w:rsidRPr="0023039E">
        <w:t xml:space="preserve"> section 10286.1, and is eligible to contract with the AOC.  (Expatriate corporations are certain foreign incorporated entities that </w:t>
      </w:r>
      <w:proofErr w:type="gramStart"/>
      <w:r w:rsidRPr="0023039E">
        <w:t>are publicly traded</w:t>
      </w:r>
      <w:proofErr w:type="gramEnd"/>
      <w:r w:rsidRPr="0023039E">
        <w:t xml:space="preserve"> in the United States.  For additional information, see Public Contract Code</w:t>
      </w:r>
      <w:r w:rsidR="000C6FF5" w:rsidRPr="0023039E">
        <w:t>,</w:t>
      </w:r>
      <w:r w:rsidRPr="0023039E">
        <w:t xml:space="preserve"> section 10286.1.)</w:t>
      </w:r>
    </w:p>
    <w:p w:rsidR="005C62A3" w:rsidRPr="0023039E" w:rsidRDefault="005C62A3" w:rsidP="005C62A3">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proofErr w:type="gramStart"/>
      <w:r w:rsidRPr="0023039E">
        <w:rPr>
          <w:u w:val="single"/>
        </w:rPr>
        <w:t>Domestic Partners; Spouses; Gender Discrimination</w:t>
      </w:r>
      <w:r w:rsidRPr="0023039E">
        <w:rPr>
          <w:rStyle w:val="CommentReference"/>
          <w:rFonts w:eastAsia="Times"/>
        </w:rPr>
        <w:t xml:space="preserve"> </w:t>
      </w:r>
      <w:r w:rsidRPr="0023039E">
        <w:t xml:space="preserve"> Contractor is in compliance with Public Contract Code,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roofErr w:type="gramEnd"/>
    </w:p>
    <w:p w:rsidR="00A2380A" w:rsidRPr="0023039E" w:rsidRDefault="003F57FE">
      <w:pPr>
        <w:pStyle w:val="ExhibitA3"/>
        <w:keepNext w:val="0"/>
        <w:tabs>
          <w:tab w:val="clear" w:pos="2592"/>
          <w:tab w:val="clear" w:pos="4176"/>
          <w:tab w:val="clear" w:pos="10710"/>
        </w:tabs>
        <w:spacing w:before="120" w:after="120"/>
        <w:ind w:right="0"/>
        <w:outlineLvl w:val="9"/>
      </w:pPr>
      <w:r w:rsidRPr="0023039E">
        <w:rPr>
          <w:u w:val="single"/>
        </w:rPr>
        <w:t>Child Support Compliance Act</w:t>
      </w:r>
      <w:proofErr w:type="gramStart"/>
      <w:r w:rsidR="00CD5535" w:rsidRPr="0023039E">
        <w:t xml:space="preserve">. </w:t>
      </w:r>
      <w:proofErr w:type="gramEnd"/>
      <w:r w:rsidR="005C62A3" w:rsidRPr="0023039E">
        <w:t>If the Contract Amount is $100,000 or more:</w:t>
      </w:r>
      <w:r w:rsidR="00CD5535" w:rsidRPr="0023039E">
        <w:rPr>
          <w:u w:val="single"/>
        </w:rPr>
        <w:t xml:space="preserve"> </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23039E">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23039E"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23039E">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23039E" w:rsidRDefault="003F57FE" w:rsidP="003A57EE">
      <w:pPr>
        <w:pStyle w:val="ExhibitB1"/>
        <w:keepNext w:val="0"/>
        <w:widowControl w:val="0"/>
        <w:numPr>
          <w:ilvl w:val="1"/>
          <w:numId w:val="26"/>
        </w:numPr>
        <w:tabs>
          <w:tab w:val="clear" w:pos="1440"/>
        </w:tabs>
        <w:ind w:left="1350"/>
        <w:jc w:val="both"/>
        <w:rPr>
          <w:u w:val="none"/>
        </w:rPr>
      </w:pPr>
      <w:r w:rsidRPr="0023039E">
        <w:rPr>
          <w:u w:val="none"/>
        </w:rPr>
        <w:t>During the term of this Agreement, Contractor shall not take an action, or omit to perform any act, that results in a representation and warranty becoming untrue</w:t>
      </w:r>
      <w:proofErr w:type="gramStart"/>
      <w:r w:rsidRPr="0023039E">
        <w:rPr>
          <w:u w:val="none"/>
        </w:rPr>
        <w:t xml:space="preserve">. </w:t>
      </w:r>
      <w:proofErr w:type="gramEnd"/>
      <w:r w:rsidRPr="0023039E">
        <w:rPr>
          <w:u w:val="none"/>
        </w:rPr>
        <w:t>Contractor shall promptly notify the AOC if any representation and warranty becomes untrue.</w:t>
      </w:r>
    </w:p>
    <w:p w:rsidR="00A2380A" w:rsidRPr="0023039E" w:rsidRDefault="009207F7" w:rsidP="003A57EE">
      <w:pPr>
        <w:pStyle w:val="ExhibitA1"/>
        <w:keepNext w:val="0"/>
        <w:widowControl w:val="0"/>
        <w:numPr>
          <w:ilvl w:val="0"/>
          <w:numId w:val="1"/>
        </w:numPr>
        <w:tabs>
          <w:tab w:val="clear" w:pos="1296"/>
          <w:tab w:val="clear" w:pos="2016"/>
          <w:tab w:val="clear" w:pos="2592"/>
          <w:tab w:val="clear" w:pos="4176"/>
          <w:tab w:val="clear" w:pos="10710"/>
        </w:tabs>
        <w:spacing w:before="240" w:after="240"/>
        <w:jc w:val="both"/>
        <w:rPr>
          <w:rFonts w:ascii="Times New Roman Bold" w:hAnsi="Times New Roman Bold"/>
          <w:b/>
          <w:caps/>
          <w:szCs w:val="20"/>
          <w:u w:val="none"/>
        </w:rPr>
      </w:pPr>
      <w:r w:rsidRPr="0023039E">
        <w:rPr>
          <w:rFonts w:ascii="Times New Roman Bold" w:hAnsi="Times New Roman Bold"/>
          <w:b/>
          <w:caps/>
          <w:szCs w:val="20"/>
          <w:u w:val="none"/>
        </w:rPr>
        <w:t>loss Leader prohIbition</w:t>
      </w:r>
    </w:p>
    <w:p w:rsidR="009207F7" w:rsidRPr="0023039E" w:rsidRDefault="009207F7" w:rsidP="003A57EE">
      <w:pPr>
        <w:pStyle w:val="Heading-SingleP"/>
        <w:widowControl w:val="0"/>
        <w:jc w:val="both"/>
      </w:pPr>
      <w:r w:rsidRPr="0023039E">
        <w:t>Contractor shall not sell or use any article or product as a “loss leader” as defined in section 17030 of the Business and Professions Code.</w:t>
      </w:r>
    </w:p>
    <w:p w:rsidR="00A2380A" w:rsidRPr="0023039E" w:rsidRDefault="009207F7" w:rsidP="002A2198">
      <w:pPr>
        <w:pStyle w:val="ExhibitA1"/>
        <w:keepNext w:val="0"/>
        <w:widowControl w:val="0"/>
        <w:numPr>
          <w:ilvl w:val="0"/>
          <w:numId w:val="1"/>
        </w:numPr>
        <w:tabs>
          <w:tab w:val="clear" w:pos="1296"/>
          <w:tab w:val="clear" w:pos="2016"/>
          <w:tab w:val="clear" w:pos="2592"/>
          <w:tab w:val="clear" w:pos="4176"/>
          <w:tab w:val="clear" w:pos="10710"/>
        </w:tabs>
        <w:spacing w:before="240" w:after="240"/>
        <w:jc w:val="both"/>
        <w:rPr>
          <w:rFonts w:ascii="Times New Roman Bold" w:hAnsi="Times New Roman Bold"/>
          <w:b/>
          <w:caps/>
          <w:szCs w:val="20"/>
          <w:u w:val="none"/>
        </w:rPr>
      </w:pPr>
      <w:r w:rsidRPr="0023039E">
        <w:rPr>
          <w:rFonts w:ascii="Times New Roman Bold" w:hAnsi="Times New Roman Bold"/>
          <w:b/>
          <w:caps/>
          <w:szCs w:val="20"/>
          <w:u w:val="none"/>
        </w:rPr>
        <w:t xml:space="preserve">UNION ACTIVITIES </w:t>
      </w:r>
    </w:p>
    <w:p w:rsidR="00A2380A" w:rsidRPr="0023039E" w:rsidRDefault="00941CF5" w:rsidP="002A2198">
      <w:pPr>
        <w:widowControl w:val="0"/>
        <w:ind w:left="720"/>
      </w:pPr>
      <w:r w:rsidRPr="0023039E">
        <w:rPr>
          <w:bCs/>
        </w:rPr>
        <w:t>If the Contract Amount is $50,000 or more</w:t>
      </w:r>
      <w:r w:rsidRPr="0023039E">
        <w:t xml:space="preserve">, no AOC funds received under this Agreement </w:t>
      </w:r>
      <w:proofErr w:type="gramStart"/>
      <w:r w:rsidRPr="0023039E">
        <w:t>will be used</w:t>
      </w:r>
      <w:proofErr w:type="gramEnd"/>
      <w:r w:rsidRPr="0023039E">
        <w:t xml:space="preserve"> to assist, promote or deter union organizing during the term of this Agreement (including any extension or renewal term). </w:t>
      </w:r>
    </w:p>
    <w:p w:rsidR="00A2380A" w:rsidRPr="0023039E" w:rsidRDefault="00CD5535" w:rsidP="002A2198">
      <w:pPr>
        <w:pStyle w:val="ExhibitA1"/>
        <w:keepNext w:val="0"/>
        <w:widowControl w:val="0"/>
        <w:numPr>
          <w:ilvl w:val="0"/>
          <w:numId w:val="1"/>
        </w:numPr>
        <w:tabs>
          <w:tab w:val="clear" w:pos="1296"/>
          <w:tab w:val="clear" w:pos="2016"/>
          <w:tab w:val="clear" w:pos="2592"/>
          <w:tab w:val="clear" w:pos="4176"/>
          <w:tab w:val="clear" w:pos="10710"/>
        </w:tabs>
        <w:spacing w:before="240" w:after="240"/>
        <w:jc w:val="both"/>
        <w:rPr>
          <w:rFonts w:ascii="Times New Roman Bold" w:hAnsi="Times New Roman Bold"/>
          <w:b/>
          <w:caps/>
          <w:szCs w:val="20"/>
          <w:u w:val="none"/>
        </w:rPr>
      </w:pPr>
      <w:r w:rsidRPr="0023039E">
        <w:rPr>
          <w:rFonts w:ascii="Times New Roman Bold" w:hAnsi="Times New Roman Bold"/>
          <w:b/>
          <w:caps/>
          <w:szCs w:val="20"/>
          <w:u w:val="none"/>
        </w:rPr>
        <w:t>IRAN CONTRACTING ACT</w:t>
      </w:r>
    </w:p>
    <w:p w:rsidR="00941CF5" w:rsidRPr="0023039E" w:rsidRDefault="00941CF5" w:rsidP="002A2198">
      <w:pPr>
        <w:widowControl w:val="0"/>
        <w:ind w:left="720"/>
        <w:rPr>
          <w:bCs/>
        </w:rPr>
      </w:pPr>
      <w:proofErr w:type="gramStart"/>
      <w:r w:rsidRPr="0023039E">
        <w:rPr>
          <w:bCs/>
        </w:rPr>
        <w:t>If the Contract Amount is $1,000,000 or more, Contractor certifies either (i) it is not on the current list of persons engaged in investment activities in Iran (</w:t>
      </w:r>
      <w:r w:rsidRPr="0023039E">
        <w:rPr>
          <w:b/>
          <w:bCs/>
        </w:rPr>
        <w:t>“Iran List”</w:t>
      </w:r>
      <w:r w:rsidRPr="0023039E">
        <w:rPr>
          <w:bCs/>
        </w:rPr>
        <w:t xml:space="preserve">) created by the California Department of General Services pursuant to PCC 2203(b), and is not a financial institution </w:t>
      </w:r>
      <w:r w:rsidRPr="0023039E">
        <w:rPr>
          <w:bCs/>
        </w:rPr>
        <w:lastRenderedPageBreak/>
        <w:t>extending $20,000,000 or more in credit to another person, for 45 days or more, if that other person will use the credit to provide goods or services in the energy sector in Iran and is identified on the Iran List, or (ii) it has received written permission from the AOC to enter into this Agreement pursuant to PCC 2203(c).</w:t>
      </w:r>
      <w:proofErr w:type="gramEnd"/>
      <w:r w:rsidRPr="0023039E">
        <w:rPr>
          <w:bCs/>
        </w:rPr>
        <w:t xml:space="preserve">  </w:t>
      </w:r>
    </w:p>
    <w:p w:rsidR="00A2380A" w:rsidRPr="0023039E" w:rsidRDefault="009207F7" w:rsidP="003A57EE">
      <w:pPr>
        <w:pStyle w:val="ExhibitA1"/>
        <w:keepNext w:val="0"/>
        <w:widowControl w:val="0"/>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General</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u w:val="single"/>
        </w:rPr>
        <w:t>Survival.</w:t>
      </w:r>
      <w:proofErr w:type="gramEnd"/>
      <w:r w:rsidRPr="0023039E">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23039E">
        <w:rPr>
          <w:rStyle w:val="StyleExhibitA2UnderlineChar"/>
        </w:rPr>
        <w:t>No Endorsement</w:t>
      </w:r>
      <w:proofErr w:type="gramStart"/>
      <w:r w:rsidRPr="0023039E">
        <w:t xml:space="preserve">. </w:t>
      </w:r>
      <w:proofErr w:type="gramEnd"/>
      <w:r w:rsidRPr="0023039E">
        <w:t>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w:t>
      </w:r>
      <w:proofErr w:type="gramStart"/>
      <w:r w:rsidRPr="0023039E">
        <w:t xml:space="preserve">. </w:t>
      </w:r>
      <w:proofErr w:type="gramEnd"/>
      <w:r w:rsidRPr="0023039E">
        <w:t>Nothing herein shall prevent Contractor’s disclosure of the existence and nature of this Agreement.</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Assignment</w:t>
      </w:r>
      <w:r w:rsidRPr="0023039E">
        <w:t>.</w:t>
      </w:r>
      <w:proofErr w:type="gramEnd"/>
      <w:r w:rsidRPr="0023039E">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w:t>
      </w:r>
      <w:proofErr w:type="gramStart"/>
      <w:r w:rsidRPr="0023039E">
        <w:t>null and void</w:t>
      </w:r>
      <w:proofErr w:type="gramEnd"/>
      <w:r w:rsidRPr="0023039E">
        <w:t>.</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Waiver</w:t>
      </w:r>
      <w:r w:rsidRPr="0023039E">
        <w:t>.</w:t>
      </w:r>
      <w:proofErr w:type="gramEnd"/>
      <w:r w:rsidRPr="0023039E">
        <w:t xml:space="preserve">  Either party’s failure to enforce any of its rights pursuant to this Agreement </w:t>
      </w:r>
      <w:proofErr w:type="gramStart"/>
      <w:r w:rsidRPr="0023039E">
        <w:t>shall not be construed</w:t>
      </w:r>
      <w:proofErr w:type="gramEnd"/>
      <w:r w:rsidRPr="0023039E">
        <w:t xml:space="preserve"> as a waiver of such rights.  Any waiver of any term of this Agreement must be in </w:t>
      </w:r>
      <w:proofErr w:type="gramStart"/>
      <w:r w:rsidRPr="0023039E">
        <w:t>writing and executed by an authorized representative of the waiving party</w:t>
      </w:r>
      <w:proofErr w:type="gramEnd"/>
      <w:r w:rsidRPr="0023039E">
        <w:t xml:space="preserve"> and shall not be construed as a waiver of any succeeding breach of the same, or breach of any other, term of this Agreement.</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proofErr w:type="gramStart"/>
      <w:r w:rsidRPr="0023039E">
        <w:rPr>
          <w:rStyle w:val="StyleExhibitA2UnderlineChar"/>
        </w:rPr>
        <w:t>Severability</w:t>
      </w:r>
      <w:r w:rsidRPr="0023039E">
        <w:t>.</w:t>
      </w:r>
      <w:proofErr w:type="gramEnd"/>
      <w:r w:rsidRPr="0023039E">
        <w:t xml:space="preserve">  The provisions of this Agreement are separate and severable</w:t>
      </w:r>
      <w:proofErr w:type="gramStart"/>
      <w:r w:rsidRPr="0023039E">
        <w:t xml:space="preserve">. </w:t>
      </w:r>
      <w:proofErr w:type="gramEnd"/>
      <w:r w:rsidRPr="0023039E">
        <w:t xml:space="preserve">Should any court hold that any provision of this Agreement is invalid, void or unenforceable, then: </w:t>
      </w:r>
    </w:p>
    <w:p w:rsidR="009207F7" w:rsidRPr="0023039E" w:rsidRDefault="009207F7" w:rsidP="003A57EE">
      <w:pPr>
        <w:pStyle w:val="ExhibitA2"/>
        <w:keepNext w:val="0"/>
        <w:widowControl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23039E">
        <w:t>The validity of other provisions of this Agreement shall not be affected or impaired thereby, and</w:t>
      </w:r>
    </w:p>
    <w:p w:rsidR="009207F7" w:rsidRPr="0023039E" w:rsidRDefault="009207F7" w:rsidP="003A57EE">
      <w:pPr>
        <w:pStyle w:val="ExhibitA2"/>
        <w:keepNext w:val="0"/>
        <w:widowControl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23039E">
        <w:t xml:space="preserve">Such provision shall be enforced to the maximum extent possible </w:t>
      </w:r>
      <w:proofErr w:type="gramStart"/>
      <w:r w:rsidRPr="0023039E">
        <w:t>so as to</w:t>
      </w:r>
      <w:proofErr w:type="gramEnd"/>
      <w:r w:rsidRPr="0023039E">
        <w:t xml:space="preserve"> </w:t>
      </w:r>
      <w:r w:rsidR="00C13F31" w:rsidRPr="0023039E">
        <w:t>affect</w:t>
      </w:r>
      <w:r w:rsidRPr="0023039E">
        <w:t xml:space="preserve"> the reasonable intent of the parties and shall be reformed without further action by the parties to the extent necessary to make such provision valid and enforceable.</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Compliance with Laws</w:t>
      </w:r>
      <w:r w:rsidRPr="0023039E">
        <w:t>.</w:t>
      </w:r>
      <w:proofErr w:type="gramEnd"/>
      <w:r w:rsidRPr="0023039E">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Time is of the Essence</w:t>
      </w:r>
      <w:r w:rsidRPr="0023039E">
        <w:t>.</w:t>
      </w:r>
      <w:proofErr w:type="gramEnd"/>
      <w:r w:rsidRPr="0023039E">
        <w:t xml:space="preserve">  Time is of the essence in Contractor’s performance of this Agreement.</w:t>
      </w:r>
    </w:p>
    <w:p w:rsidR="009207F7" w:rsidRPr="0023039E" w:rsidRDefault="009207F7" w:rsidP="003A57EE">
      <w:pPr>
        <w:pStyle w:val="ExhibitA2"/>
        <w:keepNext w:val="0"/>
        <w:widowControl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lastRenderedPageBreak/>
        <w:t>Governing Law, Jurisdiction and Venue</w:t>
      </w:r>
      <w:r w:rsidRPr="0023039E">
        <w:t>.</w:t>
      </w:r>
      <w:proofErr w:type="gramEnd"/>
      <w:r w:rsidRPr="0023039E">
        <w:t xml:space="preserve">  This Agreement </w:t>
      </w:r>
      <w:proofErr w:type="gramStart"/>
      <w:r w:rsidRPr="0023039E">
        <w:t>shall be governed by and interpreted in accordance with California law, without regard to any conflict of law provisions that would direct the application of the laws of any other jurisdiction</w:t>
      </w:r>
      <w:proofErr w:type="gramEnd"/>
      <w:r w:rsidRPr="0023039E">
        <w:t xml:space="preserve">.  Contractor irrevocably consents to personal jurisdiction in the courts of the State of California, and any legal action filed by Contractor in connection with the Agreement </w:t>
      </w:r>
      <w:proofErr w:type="gramStart"/>
      <w:r w:rsidRPr="0023039E">
        <w:t>must be filed</w:t>
      </w:r>
      <w:proofErr w:type="gramEnd"/>
      <w:r w:rsidRPr="0023039E">
        <w:t xml:space="preserve"> in San Francisco County, California, which shall be the sole venue for any such action.</w:t>
      </w:r>
    </w:p>
    <w:p w:rsidR="009207F7" w:rsidRPr="0023039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Agreement Construction</w:t>
      </w:r>
      <w:r w:rsidRPr="0023039E">
        <w:t>.</w:t>
      </w:r>
      <w:proofErr w:type="gramEnd"/>
      <w:r w:rsidRPr="0023039E">
        <w:t xml:space="preserve">  Headings or captions to the provisions of this Agreement are solely for the convenience of the parties, are not part of this Agreement, and </w:t>
      </w:r>
      <w:proofErr w:type="gramStart"/>
      <w:r w:rsidRPr="0023039E">
        <w:t>shall not be used</w:t>
      </w:r>
      <w:proofErr w:type="gramEnd"/>
      <w:r w:rsidRPr="0023039E">
        <w:t xml:space="preserve"> to interpret or determine the validity of this Agreement.  Any ambiguity in this Agreement </w:t>
      </w:r>
      <w:proofErr w:type="gramStart"/>
      <w:r w:rsidRPr="0023039E">
        <w:t>shall not be construed</w:t>
      </w:r>
      <w:proofErr w:type="gramEnd"/>
      <w:r w:rsidRPr="0023039E">
        <w:t xml:space="preserve"> against the drafter, but rather the terms and provisions hereof shall be given their reasonable interpretation.</w:t>
      </w:r>
    </w:p>
    <w:p w:rsidR="009207F7" w:rsidRPr="0023039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Notices to the Parties</w:t>
      </w:r>
      <w:r w:rsidRPr="0023039E">
        <w:t>.</w:t>
      </w:r>
      <w:proofErr w:type="gramEnd"/>
      <w:r w:rsidRPr="0023039E">
        <w:t xml:space="preserve">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9207F7" w:rsidRPr="0023039E"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23039E">
        <w:rPr>
          <w:rStyle w:val="StyleExhibitA2UnderlineChar"/>
          <w:u w:val="none"/>
        </w:rPr>
        <w:tab/>
        <w:t xml:space="preserve">  </w:t>
      </w:r>
      <w:r w:rsidRPr="0023039E">
        <w:rPr>
          <w:rStyle w:val="StyleExhibitA2UnderlineChar"/>
          <w:b/>
          <w:u w:val="none"/>
        </w:rPr>
        <w:t>To the AOC</w:t>
      </w:r>
      <w:r w:rsidRPr="0023039E">
        <w:rPr>
          <w:rStyle w:val="StyleExhibitA2UnderlineChar"/>
          <w:u w:val="none"/>
        </w:rPr>
        <w:t>:</w:t>
      </w:r>
      <w:r w:rsidRPr="0023039E">
        <w:rPr>
          <w:rStyle w:val="StyleExhibitA2UnderlineChar"/>
          <w:u w:val="none"/>
        </w:rPr>
        <w:tab/>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23039E">
        <w:rPr>
          <w:rStyle w:val="StyleExhibitA2UnderlineChar"/>
          <w:u w:val="none"/>
        </w:rPr>
        <w:t>Judicial Council of California</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23039E">
        <w:rPr>
          <w:rStyle w:val="StyleExhibitA2UnderlineChar"/>
          <w:u w:val="none"/>
        </w:rPr>
        <w:t>Administrative Office of the Courts</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23039E">
        <w:rPr>
          <w:rStyle w:val="StyleExhibitA2UnderlineChar"/>
          <w:u w:val="none"/>
        </w:rPr>
        <w:t>Center for Families, Children &amp; the Courts</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23039E">
        <w:rPr>
          <w:rStyle w:val="StyleExhibitA2UnderlineChar"/>
          <w:u w:val="none"/>
        </w:rPr>
        <w:t xml:space="preserve">Attn:  </w:t>
      </w:r>
      <w:r w:rsidR="005E122F" w:rsidRPr="0023039E">
        <w:rPr>
          <w:rStyle w:val="StyleExhibitA2UnderlineChar"/>
          <w:u w:val="none"/>
        </w:rPr>
        <w:t>[</w:t>
      </w:r>
      <w:r w:rsidR="000E046B" w:rsidRPr="0023039E">
        <w:rPr>
          <w:rStyle w:val="StyleExhibitA2UnderlineChar"/>
          <w:u w:val="none"/>
        </w:rPr>
        <w:t>TBD</w:t>
      </w:r>
      <w:r w:rsidR="005E122F" w:rsidRPr="0023039E">
        <w:rPr>
          <w:rStyle w:val="StyleExhibitA2UnderlineChar"/>
          <w:u w:val="none"/>
        </w:rPr>
        <w:t>]</w:t>
      </w:r>
      <w:r w:rsidRPr="0023039E">
        <w:rPr>
          <w:rStyle w:val="StyleExhibitA2UnderlineChar"/>
          <w:u w:val="none"/>
        </w:rPr>
        <w:t xml:space="preserve">, </w:t>
      </w:r>
      <w:r w:rsidR="005E122F" w:rsidRPr="0023039E">
        <w:rPr>
          <w:rStyle w:val="StyleExhibitA2UnderlineChar"/>
          <w:u w:val="none"/>
        </w:rPr>
        <w:t xml:space="preserve">AOC </w:t>
      </w:r>
      <w:r w:rsidRPr="0023039E">
        <w:rPr>
          <w:rStyle w:val="StyleExhibitA2UnderlineChar"/>
          <w:u w:val="none"/>
        </w:rPr>
        <w:t>Project Manager</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23039E">
        <w:rPr>
          <w:rStyle w:val="StyleExhibitA2UnderlineChar"/>
          <w:u w:val="none"/>
        </w:rPr>
        <w:t xml:space="preserve">455 Golden Gate Avenue, </w:t>
      </w:r>
      <w:proofErr w:type="gramStart"/>
      <w:r w:rsidR="00475B93" w:rsidRPr="0023039E">
        <w:t>6</w:t>
      </w:r>
      <w:r w:rsidR="00475B93" w:rsidRPr="0023039E">
        <w:rPr>
          <w:vertAlign w:val="superscript"/>
        </w:rPr>
        <w:t>th</w:t>
      </w:r>
      <w:proofErr w:type="gramEnd"/>
      <w:r w:rsidR="00475B93" w:rsidRPr="0023039E">
        <w:t xml:space="preserve"> Floor</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23039E">
        <w:rPr>
          <w:rStyle w:val="StyleExhibitA2UnderlineChar"/>
          <w:u w:val="none"/>
        </w:rPr>
        <w:t>San Francisco, CA  94102-3688</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23039E">
        <w:rPr>
          <w:rStyle w:val="StyleExhibitA2UnderlineChar"/>
          <w:b/>
          <w:u w:val="none"/>
        </w:rPr>
        <w:t>To the Contractor:</w:t>
      </w:r>
      <w:r w:rsidRPr="0023039E">
        <w:rPr>
          <w:rStyle w:val="StyleExhibitA2UnderlineChar"/>
          <w:b/>
          <w:u w:val="none"/>
        </w:rPr>
        <w:tab/>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23039E">
        <w:rPr>
          <w:rStyle w:val="StyleExhibitA2UnderlineChar"/>
          <w:u w:val="none"/>
        </w:rPr>
        <w:t>[Contractor name]</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roofErr w:type="gramStart"/>
      <w:r w:rsidRPr="0023039E">
        <w:rPr>
          <w:rStyle w:val="StyleExhibitA2UnderlineChar"/>
          <w:u w:val="none"/>
        </w:rPr>
        <w:t>[Attn:]</w:t>
      </w:r>
      <w:proofErr w:type="gramEnd"/>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23039E">
        <w:rPr>
          <w:rStyle w:val="StyleExhibitA2UnderlineChar"/>
          <w:u w:val="none"/>
        </w:rPr>
        <w:t>[Address]</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720" w:right="0"/>
        <w:outlineLvl w:val="9"/>
        <w:rPr>
          <w:rStyle w:val="StyleExhibitA2UnderlineChar"/>
          <w:u w:val="none"/>
        </w:rPr>
      </w:pPr>
      <w:r w:rsidRPr="0023039E">
        <w:rPr>
          <w:rStyle w:val="StyleExhibitA2UnderlineChar"/>
          <w:u w:val="none"/>
        </w:rPr>
        <w:tab/>
        <w:t xml:space="preserve">       </w:t>
      </w:r>
      <w:r w:rsidR="00B86620" w:rsidRPr="0023039E">
        <w:rPr>
          <w:rStyle w:val="StyleExhibitA2UnderlineChar"/>
          <w:u w:val="none"/>
        </w:rPr>
        <w:t xml:space="preserve"> </w:t>
      </w:r>
      <w:r w:rsidR="00C1206B" w:rsidRPr="0023039E">
        <w:rPr>
          <w:rStyle w:val="StyleExhibitA2UnderlineChar"/>
          <w:u w:val="none"/>
        </w:rPr>
        <w:t xml:space="preserve"> </w:t>
      </w:r>
      <w:r w:rsidRPr="0023039E">
        <w:rPr>
          <w:rStyle w:val="StyleExhibitA2UnderlineChar"/>
          <w:u w:val="none"/>
        </w:rPr>
        <w:t>[Address]</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23039E">
        <w:rPr>
          <w:rStyle w:val="StyleExhibitA2UnderlineChar"/>
          <w:b/>
          <w:u w:val="none"/>
        </w:rPr>
        <w:t xml:space="preserve">With copy to: </w:t>
      </w:r>
      <w:r w:rsidRPr="0023039E">
        <w:rPr>
          <w:rStyle w:val="StyleExhibitA2UnderlineChar"/>
          <w:b/>
          <w:u w:val="none"/>
        </w:rPr>
        <w:tab/>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23039E">
        <w:rPr>
          <w:rStyle w:val="StyleExhibitA2UnderlineChar"/>
          <w:u w:val="none"/>
        </w:rPr>
        <w:t xml:space="preserve">Superior Court of California, County of </w:t>
      </w:r>
      <w:r w:rsidR="000B7CF5" w:rsidRPr="0023039E">
        <w:rPr>
          <w:rStyle w:val="StyleExhibitA2UnderlineChar"/>
          <w:u w:val="none"/>
        </w:rPr>
        <w:t>El Dorado</w:t>
      </w:r>
    </w:p>
    <w:p w:rsidR="00C13F31" w:rsidRPr="0023039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roofErr w:type="gramStart"/>
      <w:r w:rsidRPr="0023039E">
        <w:rPr>
          <w:rStyle w:val="StyleExhibitA2UnderlineChar"/>
          <w:u w:val="none"/>
        </w:rPr>
        <w:t>[Attn:]</w:t>
      </w:r>
      <w:proofErr w:type="gramEnd"/>
    </w:p>
    <w:p w:rsidR="00C13F31" w:rsidRPr="0023039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23039E">
        <w:rPr>
          <w:rStyle w:val="StyleExhibitA2UnderlineChar"/>
          <w:u w:val="none"/>
        </w:rPr>
        <w:t>[Address]</w:t>
      </w:r>
    </w:p>
    <w:p w:rsidR="00C13F31" w:rsidRPr="0023039E"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720" w:right="0"/>
        <w:outlineLvl w:val="9"/>
        <w:rPr>
          <w:rStyle w:val="StyleExhibitA2UnderlineChar"/>
          <w:u w:val="none"/>
        </w:rPr>
      </w:pPr>
      <w:r w:rsidRPr="0023039E">
        <w:rPr>
          <w:rStyle w:val="StyleExhibitA2UnderlineChar"/>
          <w:u w:val="none"/>
        </w:rPr>
        <w:tab/>
        <w:t xml:space="preserve">       </w:t>
      </w:r>
      <w:r w:rsidR="00C1206B" w:rsidRPr="0023039E">
        <w:rPr>
          <w:rStyle w:val="StyleExhibitA2UnderlineChar"/>
          <w:u w:val="none"/>
        </w:rPr>
        <w:t xml:space="preserve"> </w:t>
      </w:r>
      <w:r w:rsidRPr="0023039E">
        <w:rPr>
          <w:rStyle w:val="StyleExhibitA2UnderlineChar"/>
          <w:u w:val="none"/>
        </w:rPr>
        <w:t xml:space="preserve"> [Address]</w:t>
      </w:r>
    </w:p>
    <w:p w:rsidR="009207F7" w:rsidRPr="0023039E"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23039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proofErr w:type="gramStart"/>
      <w:r w:rsidRPr="0023039E">
        <w:rPr>
          <w:rStyle w:val="StyleExhibitA2UnderlineChar"/>
        </w:rPr>
        <w:t>Amendments</w:t>
      </w:r>
      <w:r w:rsidRPr="0023039E">
        <w:rPr>
          <w:rStyle w:val="StyleExhibitA2UnderlineChar"/>
          <w:u w:val="none"/>
        </w:rPr>
        <w:t>.</w:t>
      </w:r>
      <w:proofErr w:type="gramEnd"/>
      <w:r w:rsidRPr="0023039E">
        <w:rPr>
          <w:rStyle w:val="StyleExhibitA2UnderlineChar"/>
          <w:u w:val="none"/>
        </w:rPr>
        <w:t xml:space="preserve">  This Agreement may not be modified or amended, except by written instrument executed and approved by all parties in the same manner as this Agreement</w:t>
      </w:r>
      <w:proofErr w:type="gramStart"/>
      <w:r w:rsidRPr="0023039E">
        <w:rPr>
          <w:rStyle w:val="StyleExhibitA2UnderlineChar"/>
          <w:u w:val="none"/>
        </w:rPr>
        <w:t xml:space="preserve">.    </w:t>
      </w:r>
      <w:proofErr w:type="gramEnd"/>
      <w:r w:rsidRPr="0023039E">
        <w:rPr>
          <w:rStyle w:val="StyleExhibitA2UnderlineChar"/>
          <w:u w:val="none"/>
        </w:rPr>
        <w:t xml:space="preserve">Requests for Amendments </w:t>
      </w:r>
      <w:proofErr w:type="gramStart"/>
      <w:r w:rsidRPr="0023039E">
        <w:rPr>
          <w:rStyle w:val="StyleExhibitA2UnderlineChar"/>
          <w:u w:val="none"/>
        </w:rPr>
        <w:t>shall be submitted</w:t>
      </w:r>
      <w:proofErr w:type="gramEnd"/>
      <w:r w:rsidRPr="0023039E">
        <w:rPr>
          <w:rStyle w:val="StyleExhibitA2UnderlineChar"/>
          <w:u w:val="none"/>
        </w:rPr>
        <w:t xml:space="preserve"> in writing and shall be accompanied by a narrative description of the proposed change and the reasons for the change.  Additional funds </w:t>
      </w:r>
      <w:proofErr w:type="gramStart"/>
      <w:r w:rsidRPr="0023039E">
        <w:rPr>
          <w:rStyle w:val="StyleExhibitA2UnderlineChar"/>
          <w:u w:val="none"/>
        </w:rPr>
        <w:t>may not be encumbered</w:t>
      </w:r>
      <w:proofErr w:type="gramEnd"/>
      <w:r w:rsidRPr="0023039E">
        <w:rPr>
          <w:rStyle w:val="StyleExhibitA2UnderlineChar"/>
          <w:u w:val="none"/>
        </w:rPr>
        <w:t xml:space="preserve"> under the Agreement due to an act of Force Majeure, although the performance period of the Agreement may be amended due to an act of Force Majeure.  </w:t>
      </w:r>
      <w:r w:rsidRPr="0023039E">
        <w:rPr>
          <w:rStyle w:val="StyleExhibitA2UnderlineChar"/>
          <w:u w:val="none"/>
        </w:rPr>
        <w:lastRenderedPageBreak/>
        <w:t xml:space="preserve">Amendments to the Agreement </w:t>
      </w:r>
      <w:proofErr w:type="gramStart"/>
      <w:r w:rsidRPr="0023039E">
        <w:rPr>
          <w:rStyle w:val="StyleExhibitA2UnderlineChar"/>
          <w:u w:val="none"/>
        </w:rPr>
        <w:t>shall be authorized</w:t>
      </w:r>
      <w:proofErr w:type="gramEnd"/>
      <w:r w:rsidRPr="0023039E">
        <w:rPr>
          <w:rStyle w:val="StyleExhibitA2UnderlineChar"/>
          <w:u w:val="none"/>
        </w:rPr>
        <w:t xml:space="preserve"> via execution of </w:t>
      </w:r>
      <w:r w:rsidR="00C13F31" w:rsidRPr="0023039E">
        <w:rPr>
          <w:rStyle w:val="StyleExhibitA2UnderlineChar"/>
          <w:u w:val="none"/>
        </w:rPr>
        <w:t>a Standard</w:t>
      </w:r>
      <w:r w:rsidRPr="0023039E">
        <w:rPr>
          <w:rStyle w:val="StyleExhibitA2UnderlineChar"/>
          <w:u w:val="none"/>
        </w:rPr>
        <w:t xml:space="preserve"> Amendment Coversheet.</w:t>
      </w:r>
    </w:p>
    <w:p w:rsidR="009207F7" w:rsidRPr="0023039E"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proofErr w:type="gramStart"/>
      <w:r w:rsidRPr="0023039E">
        <w:rPr>
          <w:rStyle w:val="StyleExhibitA2UnderlineChar"/>
        </w:rPr>
        <w:t>Entire Agreement</w:t>
      </w:r>
      <w:r w:rsidRPr="0023039E">
        <w:t>.</w:t>
      </w:r>
      <w:proofErr w:type="gramEnd"/>
      <w:r w:rsidRPr="0023039E">
        <w:t xml:space="preserve">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A2380A" w:rsidRPr="0023039E" w:rsidRDefault="00CD5535" w:rsidP="005E122F">
      <w:pPr>
        <w:pStyle w:val="ExhibitA1"/>
        <w:numPr>
          <w:ilvl w:val="0"/>
          <w:numId w:val="1"/>
        </w:numPr>
        <w:tabs>
          <w:tab w:val="clear" w:pos="1296"/>
          <w:tab w:val="clear" w:pos="2016"/>
          <w:tab w:val="clear" w:pos="2592"/>
          <w:tab w:val="clear" w:pos="4176"/>
          <w:tab w:val="clear" w:pos="10710"/>
        </w:tabs>
        <w:spacing w:before="240"/>
        <w:jc w:val="both"/>
        <w:rPr>
          <w:rFonts w:ascii="Times New Roman Bold" w:hAnsi="Times New Roman Bold"/>
          <w:b/>
          <w:caps/>
          <w:szCs w:val="20"/>
          <w:u w:val="none"/>
        </w:rPr>
      </w:pPr>
      <w:r w:rsidRPr="0023039E">
        <w:rPr>
          <w:rFonts w:ascii="Times New Roman Bold" w:hAnsi="Times New Roman Bold"/>
          <w:b/>
          <w:caps/>
          <w:szCs w:val="20"/>
          <w:u w:val="none"/>
        </w:rPr>
        <w:t>DVBE Participation Certification</w:t>
      </w:r>
    </w:p>
    <w:p w:rsidR="00941CF5" w:rsidRPr="0023039E" w:rsidRDefault="00941CF5" w:rsidP="00941CF5">
      <w:pPr>
        <w:pStyle w:val="ExhibitA2"/>
        <w:numPr>
          <w:ilvl w:val="0"/>
          <w:numId w:val="0"/>
        </w:numPr>
        <w:spacing w:before="240"/>
        <w:ind w:left="720"/>
        <w:rPr>
          <w:b/>
        </w:rPr>
      </w:pPr>
      <w:r w:rsidRPr="0023039E">
        <w:t>If Contractor committed to achieve disabled veterans business enterprise (</w:t>
      </w:r>
      <w:r w:rsidRPr="0023039E">
        <w:rPr>
          <w:b/>
        </w:rPr>
        <w:t>“DVBE”</w:t>
      </w:r>
      <w:r w:rsidRPr="0023039E">
        <w:t xml:space="preserve">) participation, Contractor shall within sixty (60) days of receiving final payment under this Agreement (or within such other time period as may be specified elsewhere in this Agreement) certify in a report to the AOC: (1) the total amount the prime Contractor received under the Agreement; (2) the name and address of any DVBE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 </w:t>
      </w:r>
    </w:p>
    <w:p w:rsidR="00A2380A" w:rsidRPr="0023039E" w:rsidRDefault="009207F7" w:rsidP="005E122F">
      <w:pPr>
        <w:pStyle w:val="ExhibitA1"/>
        <w:numPr>
          <w:ilvl w:val="0"/>
          <w:numId w:val="1"/>
        </w:numPr>
        <w:tabs>
          <w:tab w:val="clear" w:pos="1296"/>
          <w:tab w:val="clear" w:pos="2016"/>
          <w:tab w:val="clear" w:pos="2592"/>
          <w:tab w:val="clear" w:pos="4176"/>
          <w:tab w:val="clear" w:pos="10710"/>
        </w:tabs>
        <w:spacing w:before="240"/>
        <w:jc w:val="both"/>
        <w:rPr>
          <w:rFonts w:ascii="Times New Roman Bold" w:hAnsi="Times New Roman Bold"/>
          <w:b/>
          <w:caps/>
          <w:szCs w:val="20"/>
          <w:u w:val="none"/>
        </w:rPr>
      </w:pPr>
      <w:r w:rsidRPr="0023039E">
        <w:rPr>
          <w:rFonts w:ascii="Times New Roman Bold" w:hAnsi="Times New Roman Bold"/>
          <w:b/>
          <w:caps/>
          <w:szCs w:val="20"/>
          <w:u w:val="none"/>
        </w:rPr>
        <w:t xml:space="preserve">Antitrust Claims </w:t>
      </w:r>
    </w:p>
    <w:p w:rsidR="00A2380A" w:rsidRPr="0023039E" w:rsidRDefault="00AF06BA" w:rsidP="00BA2BF0">
      <w:pPr>
        <w:pStyle w:val="BodyText"/>
        <w:spacing w:before="240" w:after="0" w:line="300" w:lineRule="atLeast"/>
        <w:ind w:left="720"/>
        <w:jc w:val="both"/>
        <w:rPr>
          <w:bCs/>
        </w:rPr>
      </w:pPr>
      <w:r w:rsidRPr="0023039E">
        <w:t>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w:t>
      </w:r>
      <w:proofErr w:type="gramStart"/>
      <w:r w:rsidRPr="0023039E">
        <w:t xml:space="preserve">. </w:t>
      </w:r>
      <w:proofErr w:type="gramEnd"/>
      <w:r w:rsidRPr="0023039E">
        <w:t>Such assignment shall be made and become effective at the time the AOC tenders final payment to the Contractor</w:t>
      </w:r>
      <w:proofErr w:type="gramStart"/>
      <w:r w:rsidRPr="0023039E">
        <w:t xml:space="preserve">. </w:t>
      </w:r>
      <w:proofErr w:type="gramEnd"/>
      <w:r w:rsidRPr="0023039E">
        <w:t xml:space="preserve">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w:t>
      </w:r>
      <w:proofErr w:type="gramStart"/>
      <w:r w:rsidRPr="0023039E">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roofErr w:type="gramEnd"/>
    </w:p>
    <w:p w:rsidR="000A4AE4" w:rsidRPr="0023039E" w:rsidRDefault="000A4AE4" w:rsidP="00DC6DD0">
      <w:pPr>
        <w:ind w:left="720" w:hanging="720"/>
        <w:jc w:val="center"/>
        <w:rPr>
          <w:b/>
          <w:i/>
        </w:rPr>
      </w:pPr>
    </w:p>
    <w:p w:rsidR="000A4AE4" w:rsidRPr="0023039E" w:rsidRDefault="000A4AE4" w:rsidP="00DC6DD0">
      <w:pPr>
        <w:ind w:left="720" w:hanging="720"/>
        <w:jc w:val="center"/>
        <w:rPr>
          <w:b/>
          <w:i/>
        </w:rPr>
      </w:pPr>
    </w:p>
    <w:p w:rsidR="00DC6DD0" w:rsidRPr="0023039E" w:rsidRDefault="00DC6DD0" w:rsidP="00DC6DD0">
      <w:pPr>
        <w:ind w:left="720" w:hanging="720"/>
        <w:jc w:val="center"/>
        <w:rPr>
          <w:b/>
          <w:i/>
        </w:rPr>
      </w:pPr>
      <w:r w:rsidRPr="0023039E">
        <w:rPr>
          <w:b/>
          <w:i/>
        </w:rPr>
        <w:t xml:space="preserve">END OF </w:t>
      </w:r>
      <w:r w:rsidR="00CA376A" w:rsidRPr="0023039E">
        <w:rPr>
          <w:b/>
          <w:i/>
        </w:rPr>
        <w:t>EXHIBIT</w:t>
      </w:r>
    </w:p>
    <w:p w:rsidR="00DC6DD0" w:rsidRPr="0023039E" w:rsidRDefault="00DC6DD0" w:rsidP="00DC6DD0">
      <w:pPr>
        <w:jc w:val="both"/>
        <w:sectPr w:rsidR="00DC6DD0" w:rsidRPr="0023039E" w:rsidSect="00DC6DD0">
          <w:headerReference w:type="default" r:id="rId8"/>
          <w:footerReference w:type="default" r:id="rId9"/>
          <w:pgSz w:w="12240" w:h="15840" w:code="1"/>
          <w:pgMar w:top="1440" w:right="1008" w:bottom="1440" w:left="1008" w:header="720" w:footer="720" w:gutter="0"/>
          <w:cols w:space="720"/>
          <w:docGrid w:linePitch="360"/>
        </w:sectPr>
      </w:pPr>
    </w:p>
    <w:p w:rsidR="00CA376A" w:rsidRPr="0023039E" w:rsidRDefault="00CA376A" w:rsidP="00CA376A">
      <w:pPr>
        <w:ind w:right="144"/>
        <w:jc w:val="center"/>
        <w:rPr>
          <w:b/>
          <w:sz w:val="26"/>
          <w:szCs w:val="26"/>
        </w:rPr>
      </w:pPr>
      <w:r w:rsidRPr="0023039E">
        <w:rPr>
          <w:b/>
          <w:sz w:val="26"/>
          <w:szCs w:val="26"/>
        </w:rPr>
        <w:lastRenderedPageBreak/>
        <w:t xml:space="preserve">EXHIBIT B - </w:t>
      </w:r>
      <w:r w:rsidR="00926AD7" w:rsidRPr="0023039E">
        <w:rPr>
          <w:b/>
          <w:sz w:val="26"/>
          <w:szCs w:val="26"/>
        </w:rPr>
        <w:t>SCOPE OF SERVICES AND SERVICE LEVELS</w:t>
      </w:r>
    </w:p>
    <w:p w:rsidR="00E26BF1" w:rsidRPr="0023039E" w:rsidRDefault="00E26BF1" w:rsidP="00CA376A">
      <w:pPr>
        <w:ind w:right="144"/>
        <w:jc w:val="both"/>
        <w:rPr>
          <w:sz w:val="12"/>
          <w:szCs w:val="12"/>
        </w:rPr>
      </w:pPr>
    </w:p>
    <w:p w:rsidR="00CA376A" w:rsidRPr="0023039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23039E">
        <w:rPr>
          <w:rFonts w:ascii="Times New Roman Bold" w:hAnsi="Times New Roman Bold"/>
          <w:b/>
          <w:caps/>
          <w:szCs w:val="20"/>
          <w:u w:val="none"/>
        </w:rPr>
        <w:t xml:space="preserve">Scope of Services  </w:t>
      </w:r>
    </w:p>
    <w:p w:rsidR="00CA376A" w:rsidRPr="0023039E" w:rsidRDefault="00CA376A" w:rsidP="008F1613">
      <w:pPr>
        <w:pStyle w:val="ExhibitB2"/>
        <w:keepNext w:val="0"/>
        <w:numPr>
          <w:ilvl w:val="1"/>
          <w:numId w:val="47"/>
        </w:numPr>
        <w:tabs>
          <w:tab w:val="clear" w:pos="1368"/>
          <w:tab w:val="clear" w:pos="2016"/>
          <w:tab w:val="left" w:pos="1440"/>
        </w:tabs>
        <w:spacing w:before="120" w:after="120"/>
        <w:ind w:right="144"/>
        <w:jc w:val="both"/>
        <w:outlineLvl w:val="9"/>
      </w:pPr>
      <w:r w:rsidRPr="0023039E">
        <w:t xml:space="preserve">Contractor shall comply with </w:t>
      </w:r>
      <w:r w:rsidR="000B7CF5" w:rsidRPr="0023039E">
        <w:t>El Dorado</w:t>
      </w:r>
      <w:r w:rsidRPr="0023039E">
        <w:t xml:space="preserve"> Superior Court Rules in performance of this Contract.</w:t>
      </w:r>
    </w:p>
    <w:p w:rsidR="00CA376A" w:rsidRPr="0023039E" w:rsidRDefault="000B7CF5" w:rsidP="00CA376A">
      <w:pPr>
        <w:pStyle w:val="ExhibitB2"/>
        <w:keepNext w:val="0"/>
        <w:tabs>
          <w:tab w:val="clear" w:pos="1368"/>
          <w:tab w:val="clear" w:pos="2016"/>
          <w:tab w:val="left" w:pos="1440"/>
        </w:tabs>
        <w:spacing w:before="120" w:after="120"/>
        <w:ind w:left="1440" w:right="144" w:hanging="720"/>
        <w:jc w:val="both"/>
        <w:outlineLvl w:val="9"/>
      </w:pPr>
      <w:r w:rsidRPr="0023039E">
        <w:t xml:space="preserve">Contractor shall represent a total of approximately </w:t>
      </w:r>
      <w:r w:rsidR="0063592B" w:rsidRPr="0023039E">
        <w:t>[</w:t>
      </w:r>
      <w:r w:rsidR="003354D2" w:rsidRPr="0023039E">
        <w:t>“TBD”</w:t>
      </w:r>
      <w:r w:rsidRPr="0023039E">
        <w:t>] clients in juvenile dependency proceedings in the Superior Court of California, County of El Dorado.  The client number is a point-in-time figure.</w:t>
      </w:r>
      <w:r w:rsidR="00CA376A" w:rsidRPr="0023039E">
        <w:t xml:space="preserve">  </w:t>
      </w:r>
    </w:p>
    <w:p w:rsidR="00CA376A" w:rsidRPr="0023039E" w:rsidRDefault="00CA376A" w:rsidP="00CA376A">
      <w:pPr>
        <w:pStyle w:val="ExhibitB2"/>
        <w:keepNext w:val="0"/>
        <w:tabs>
          <w:tab w:val="clear" w:pos="1368"/>
          <w:tab w:val="clear" w:pos="2016"/>
          <w:tab w:val="left" w:pos="1440"/>
        </w:tabs>
        <w:spacing w:before="120" w:after="120"/>
        <w:ind w:left="1440" w:right="144" w:hanging="720"/>
        <w:jc w:val="both"/>
        <w:outlineLvl w:val="9"/>
      </w:pPr>
      <w:r w:rsidRPr="0023039E">
        <w:t>This representation requires, but is not limited to, adherence to the following performance standards:</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Establishing and maintaining an attorney-client relationship;</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 xml:space="preserve">Visiting Child clients at each new placement, whenever feasible; </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Conducting thorough, continuing, and independent investigations and interviews at every stage of the proceedings;</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Determining their client’s interests and desires and advocating for those interests and desires;</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Contacting social workers and other professionals associated with their client’s case prior to each hearing, whenever practical and appropriate:</w:t>
      </w:r>
    </w:p>
    <w:p w:rsidR="00CA376A" w:rsidRPr="0023039E" w:rsidRDefault="00CA376A" w:rsidP="008F1613">
      <w:pPr>
        <w:pStyle w:val="ExhibitB4"/>
        <w:numPr>
          <w:ilvl w:val="3"/>
          <w:numId w:val="36"/>
        </w:numPr>
        <w:ind w:right="144"/>
        <w:jc w:val="both"/>
      </w:pPr>
      <w:r w:rsidRPr="0023039E">
        <w:t>For Child clients, this includes contacting CASA and school personnel;</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Requesting services (by court order if necessary) to access entitlements and to ensure a comprehensive service plan:</w:t>
      </w:r>
    </w:p>
    <w:p w:rsidR="00CA376A" w:rsidRPr="0023039E" w:rsidRDefault="00CA376A" w:rsidP="008F1613">
      <w:pPr>
        <w:pStyle w:val="ExhibitB4"/>
        <w:numPr>
          <w:ilvl w:val="3"/>
          <w:numId w:val="37"/>
        </w:numPr>
        <w:ind w:right="144"/>
        <w:jc w:val="both"/>
      </w:pPr>
      <w:r w:rsidRPr="0023039E">
        <w:t>For Child clients, this includes requesting services related to IEPs and attending  meetings related to the Child, as practical and appropriate;</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Monitoring compliance with court orders, including provision of and effectiveness of court-ordered services;</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Filing pleadings, motions, responses, or objections as necessary to represent the client;</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Preparing for and participating in all hearings:</w:t>
      </w:r>
    </w:p>
    <w:p w:rsidR="00CA376A" w:rsidRPr="0023039E" w:rsidRDefault="00CA376A" w:rsidP="008F1613">
      <w:pPr>
        <w:pStyle w:val="ExhibitB3"/>
        <w:keepNext w:val="0"/>
        <w:numPr>
          <w:ilvl w:val="3"/>
          <w:numId w:val="38"/>
        </w:numPr>
        <w:tabs>
          <w:tab w:val="clear" w:pos="1296"/>
          <w:tab w:val="clear" w:pos="2592"/>
          <w:tab w:val="clear" w:pos="4176"/>
          <w:tab w:val="clear" w:pos="10710"/>
        </w:tabs>
        <w:spacing w:before="120" w:after="120"/>
        <w:ind w:right="144"/>
        <w:jc w:val="both"/>
        <w:outlineLvl w:val="9"/>
      </w:pPr>
      <w:r w:rsidRPr="0023039E">
        <w:t>For Child clients, preparing for and participating in 241.1 hearings pertaining to current juvenile dependents with a goal of maintaining the dependency jurisdiction wherever possible and appropriate;</w:t>
      </w:r>
    </w:p>
    <w:p w:rsidR="00CA376A" w:rsidRPr="0023039E" w:rsidRDefault="00CA376A" w:rsidP="008F1613">
      <w:pPr>
        <w:pStyle w:val="ExhibitB3"/>
        <w:keepNext w:val="0"/>
        <w:numPr>
          <w:ilvl w:val="3"/>
          <w:numId w:val="38"/>
        </w:numPr>
        <w:tabs>
          <w:tab w:val="clear" w:pos="1296"/>
          <w:tab w:val="clear" w:pos="2592"/>
          <w:tab w:val="clear" w:pos="4176"/>
          <w:tab w:val="clear" w:pos="10710"/>
        </w:tabs>
        <w:spacing w:before="120" w:after="120"/>
        <w:ind w:right="144"/>
        <w:jc w:val="both"/>
        <w:outlineLvl w:val="9"/>
      </w:pPr>
      <w:r w:rsidRPr="0023039E">
        <w:t>For Parent clients, representation at hearings set to determine the ability to pay for the cost of court appointed counsel.</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proofErr w:type="gramStart"/>
      <w:r w:rsidRPr="0023039E">
        <w:t>Investigating the interests of Child clients beyond the scope of the juvenile dependency proceeding and notifying the court of issues on behalf of the Child, administratively or judicially.</w:t>
      </w:r>
      <w:proofErr w:type="gramEnd"/>
      <w:r w:rsidRPr="0023039E">
        <w:t xml:space="preserve">  These interests may include:</w:t>
      </w:r>
    </w:p>
    <w:p w:rsidR="00CA376A" w:rsidRPr="0023039E" w:rsidRDefault="00CA376A" w:rsidP="00CA376A">
      <w:pPr>
        <w:pStyle w:val="ExhibitB4"/>
        <w:ind w:left="2700" w:right="144"/>
        <w:jc w:val="both"/>
      </w:pPr>
      <w:r w:rsidRPr="0023039E">
        <w:t>School/special education issues;</w:t>
      </w:r>
    </w:p>
    <w:p w:rsidR="000B7CF5" w:rsidRPr="0023039E" w:rsidRDefault="00CA376A" w:rsidP="00CA376A">
      <w:pPr>
        <w:pStyle w:val="ExhibitB4"/>
        <w:ind w:left="2700" w:right="144"/>
        <w:jc w:val="both"/>
      </w:pPr>
      <w:r w:rsidRPr="0023039E">
        <w:lastRenderedPageBreak/>
        <w:t>Mental health assessment and treatment;</w:t>
      </w:r>
    </w:p>
    <w:p w:rsidR="00A2380A" w:rsidRPr="0023039E" w:rsidRDefault="00CA376A">
      <w:pPr>
        <w:pStyle w:val="ExhibitB4"/>
        <w:ind w:left="2700" w:right="144"/>
        <w:jc w:val="both"/>
      </w:pPr>
      <w:r w:rsidRPr="0023039E">
        <w:t>Immigration;</w:t>
      </w:r>
    </w:p>
    <w:p w:rsidR="00CA376A" w:rsidRPr="0023039E" w:rsidRDefault="00CA376A" w:rsidP="00CA376A">
      <w:pPr>
        <w:pStyle w:val="ExhibitB4"/>
        <w:ind w:left="2700" w:right="144"/>
        <w:jc w:val="both"/>
      </w:pPr>
      <w:r w:rsidRPr="0023039E">
        <w:t>Personal injury; and</w:t>
      </w:r>
    </w:p>
    <w:p w:rsidR="00CA376A" w:rsidRPr="0023039E" w:rsidRDefault="00CA376A" w:rsidP="00CA376A">
      <w:pPr>
        <w:pStyle w:val="ExhibitB4"/>
        <w:ind w:left="2700" w:right="144"/>
        <w:jc w:val="both"/>
      </w:pPr>
      <w:r w:rsidRPr="0023039E">
        <w:t>Delinquency or status offender matters;</w:t>
      </w:r>
    </w:p>
    <w:p w:rsidR="00CA376A" w:rsidRPr="0023039E" w:rsidRDefault="00CA376A" w:rsidP="00CA376A">
      <w:pPr>
        <w:spacing w:before="120" w:after="120"/>
        <w:ind w:left="1872" w:right="144"/>
        <w:jc w:val="both"/>
      </w:pPr>
      <w:r w:rsidRPr="0023039E">
        <w:t xml:space="preserve">Contractor </w:t>
      </w:r>
      <w:proofErr w:type="gramStart"/>
      <w:r w:rsidRPr="0023039E">
        <w:t>shall not be required</w:t>
      </w:r>
      <w:proofErr w:type="gramEnd"/>
      <w:r w:rsidRPr="0023039E">
        <w:t xml:space="preserve"> to provide legal representation regarding any of the above-referenced interests. </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Participating in alternative dispute resolution efforts, including but not limited to Family Group Conferences, Team Decision Making meetings and mediation, as appropriate and beneficial to the client;</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Determining if appeals and writs are appropriate and, where necessary, filing writ and notice of appeal; and</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proofErr w:type="gramStart"/>
      <w:r w:rsidRPr="0023039E">
        <w:t>Arranging for substitutive representation where necessary to avoid court delay.</w:t>
      </w:r>
      <w:proofErr w:type="gramEnd"/>
    </w:p>
    <w:p w:rsidR="00CA376A" w:rsidRPr="0023039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23039E">
        <w:rPr>
          <w:rFonts w:ascii="Times New Roman Bold" w:hAnsi="Times New Roman Bold"/>
          <w:b/>
          <w:caps/>
          <w:szCs w:val="20"/>
          <w:u w:val="none"/>
        </w:rPr>
        <w:t>Conflicts Avoidance</w:t>
      </w:r>
    </w:p>
    <w:p w:rsidR="00CA376A" w:rsidRPr="0023039E" w:rsidRDefault="00CA376A" w:rsidP="008F1613">
      <w:pPr>
        <w:pStyle w:val="ExhibitB2"/>
        <w:keepNext w:val="0"/>
        <w:numPr>
          <w:ilvl w:val="1"/>
          <w:numId w:val="35"/>
        </w:numPr>
        <w:tabs>
          <w:tab w:val="clear" w:pos="2016"/>
          <w:tab w:val="left" w:pos="1440"/>
        </w:tabs>
        <w:spacing w:before="120" w:after="120"/>
        <w:ind w:right="144"/>
        <w:jc w:val="both"/>
        <w:outlineLvl w:val="9"/>
      </w:pPr>
      <w:r w:rsidRPr="0023039E">
        <w:t xml:space="preserve">Contractor will ensure that conflicts </w:t>
      </w:r>
      <w:proofErr w:type="gramStart"/>
      <w:r w:rsidRPr="0023039E">
        <w:t>are declared</w:t>
      </w:r>
      <w:proofErr w:type="gramEnd"/>
      <w:r w:rsidRPr="0023039E">
        <w:t xml:space="preserve"> only when an actual conflict exists.</w:t>
      </w:r>
    </w:p>
    <w:p w:rsidR="00A2380A" w:rsidRPr="0023039E" w:rsidRDefault="00CA376A">
      <w:pPr>
        <w:pStyle w:val="ExhibitB3"/>
        <w:keepNext w:val="0"/>
        <w:numPr>
          <w:ilvl w:val="2"/>
          <w:numId w:val="94"/>
        </w:numPr>
        <w:tabs>
          <w:tab w:val="clear" w:pos="1296"/>
          <w:tab w:val="clear" w:pos="2592"/>
          <w:tab w:val="clear" w:pos="4176"/>
          <w:tab w:val="clear" w:pos="10710"/>
        </w:tabs>
        <w:spacing w:before="120" w:after="120"/>
        <w:ind w:right="144"/>
        <w:jc w:val="both"/>
        <w:outlineLvl w:val="9"/>
      </w:pPr>
      <w:r w:rsidRPr="0023039E">
        <w:t>New Appointments</w:t>
      </w:r>
    </w:p>
    <w:p w:rsidR="00CA376A" w:rsidRPr="0023039E" w:rsidRDefault="00CA376A" w:rsidP="008F1613">
      <w:pPr>
        <w:pStyle w:val="ExhibitB4"/>
        <w:numPr>
          <w:ilvl w:val="3"/>
          <w:numId w:val="39"/>
        </w:numPr>
        <w:tabs>
          <w:tab w:val="clear" w:pos="-1440"/>
        </w:tabs>
        <w:ind w:right="144"/>
        <w:jc w:val="both"/>
      </w:pPr>
      <w:r w:rsidRPr="0023039E">
        <w:t>Contractor shall establish procedures to check for conflicts of interest, and shall decline appointment of new clients who present a conflict of interest with their present clients.</w:t>
      </w:r>
    </w:p>
    <w:p w:rsidR="00CA376A" w:rsidRPr="0023039E" w:rsidRDefault="00CA376A" w:rsidP="00CA376A">
      <w:pPr>
        <w:pStyle w:val="ExhibitB4"/>
        <w:numPr>
          <w:ilvl w:val="0"/>
          <w:numId w:val="0"/>
        </w:numPr>
        <w:tabs>
          <w:tab w:val="clear" w:pos="-1440"/>
        </w:tabs>
        <w:ind w:left="2016" w:right="144"/>
        <w:jc w:val="both"/>
      </w:pPr>
      <w:r w:rsidRPr="0023039E">
        <w:t>[</w:t>
      </w:r>
      <w:proofErr w:type="gramStart"/>
      <w:r w:rsidRPr="0023039E">
        <w:t>Or</w:t>
      </w:r>
      <w:proofErr w:type="gramEnd"/>
      <w:r w:rsidRPr="0023039E">
        <w:t>, if contract includes conflicts representation:</w:t>
      </w:r>
    </w:p>
    <w:p w:rsidR="00CA376A" w:rsidRPr="0023039E" w:rsidRDefault="00CA376A" w:rsidP="008F1613">
      <w:pPr>
        <w:pStyle w:val="ExhibitB4"/>
        <w:numPr>
          <w:ilvl w:val="3"/>
          <w:numId w:val="39"/>
        </w:numPr>
        <w:tabs>
          <w:tab w:val="clear" w:pos="-1440"/>
        </w:tabs>
        <w:ind w:right="144"/>
        <w:jc w:val="both"/>
      </w:pPr>
      <w:r w:rsidRPr="0023039E">
        <w:t>Contractor shall establish procedures to check for conflicts of interest, and institute a process to avoid conflicts</w:t>
      </w:r>
      <w:proofErr w:type="gramStart"/>
      <w:r w:rsidRPr="0023039E">
        <w:t xml:space="preserve">. </w:t>
      </w:r>
      <w:proofErr w:type="gramEnd"/>
      <w:r w:rsidRPr="0023039E">
        <w:t>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23039E">
        <w:t>Ongoing Clients</w:t>
      </w:r>
    </w:p>
    <w:p w:rsidR="00CA376A" w:rsidRPr="0023039E" w:rsidRDefault="00CA376A" w:rsidP="008F1613">
      <w:pPr>
        <w:pStyle w:val="ExhibitB4"/>
        <w:numPr>
          <w:ilvl w:val="3"/>
          <w:numId w:val="40"/>
        </w:numPr>
        <w:ind w:right="144"/>
        <w:jc w:val="both"/>
      </w:pPr>
      <w:r w:rsidRPr="0023039E">
        <w:t>Contractor shall establish procedures to determine whether actual</w:t>
      </w:r>
      <w:r w:rsidRPr="0023039E">
        <w:rPr>
          <w:i/>
          <w:iCs/>
        </w:rPr>
        <w:t xml:space="preserve"> </w:t>
      </w:r>
      <w:r w:rsidRPr="0023039E">
        <w:t>conflicts of interest arise among current clients, including within sibling groups, and shall advise the court when such conflicts arise and seek to be relieved of appointment in such cases.</w:t>
      </w:r>
    </w:p>
    <w:p w:rsidR="00CA376A" w:rsidRPr="0023039E" w:rsidRDefault="00CA376A" w:rsidP="00CA376A">
      <w:pPr>
        <w:pStyle w:val="ExhibitB4"/>
        <w:numPr>
          <w:ilvl w:val="0"/>
          <w:numId w:val="0"/>
        </w:numPr>
        <w:tabs>
          <w:tab w:val="clear" w:pos="-1440"/>
        </w:tabs>
        <w:ind w:left="2016" w:right="144"/>
        <w:jc w:val="both"/>
      </w:pPr>
      <w:r w:rsidRPr="0023039E">
        <w:t>[</w:t>
      </w:r>
      <w:proofErr w:type="gramStart"/>
      <w:r w:rsidRPr="0023039E">
        <w:t>Or</w:t>
      </w:r>
      <w:proofErr w:type="gramEnd"/>
      <w:r w:rsidRPr="0023039E">
        <w:t>, if contract includes conflicts representation</w:t>
      </w:r>
    </w:p>
    <w:p w:rsidR="000B7CF5" w:rsidRPr="0023039E" w:rsidRDefault="00CA376A" w:rsidP="008F1613">
      <w:pPr>
        <w:pStyle w:val="ExhibitB4"/>
        <w:widowControl w:val="0"/>
        <w:numPr>
          <w:ilvl w:val="3"/>
          <w:numId w:val="40"/>
        </w:numPr>
        <w:ind w:right="144"/>
        <w:jc w:val="both"/>
      </w:pPr>
      <w:proofErr w:type="gramStart"/>
      <w:r w:rsidRPr="0023039E">
        <w:t>Contractor shall (a) establish procedures to determine whether actual</w:t>
      </w:r>
      <w:r w:rsidRPr="0023039E">
        <w:rPr>
          <w:i/>
          <w:iCs/>
        </w:rPr>
        <w:t xml:space="preserve"> </w:t>
      </w:r>
      <w:r w:rsidRPr="0023039E">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 to legal conflict of interest.]</w:t>
      </w:r>
      <w:proofErr w:type="gramEnd"/>
    </w:p>
    <w:p w:rsidR="00E13EC0" w:rsidRPr="0023039E" w:rsidRDefault="00E13EC0" w:rsidP="00E13EC0">
      <w:pPr>
        <w:pStyle w:val="ExhibitB4"/>
        <w:widowControl w:val="0"/>
        <w:numPr>
          <w:ilvl w:val="2"/>
          <w:numId w:val="40"/>
        </w:numPr>
        <w:ind w:right="144"/>
        <w:jc w:val="both"/>
        <w:sectPr w:rsidR="00E13EC0" w:rsidRPr="0023039E" w:rsidSect="000C64CB">
          <w:footerReference w:type="default" r:id="rId10"/>
          <w:pgSz w:w="12240" w:h="15840" w:code="1"/>
          <w:pgMar w:top="1440" w:right="1008" w:bottom="1440" w:left="1008" w:header="720" w:footer="720" w:gutter="0"/>
          <w:pgNumType w:start="1"/>
          <w:cols w:space="720"/>
          <w:docGrid w:linePitch="360"/>
        </w:sectPr>
      </w:pPr>
    </w:p>
    <w:p w:rsidR="00CA376A" w:rsidRPr="0023039E" w:rsidRDefault="00CA376A" w:rsidP="00774BC5">
      <w:pPr>
        <w:pStyle w:val="ExhibitA1"/>
        <w:keepNext w:val="0"/>
        <w:widowControl w:val="0"/>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23039E">
        <w:rPr>
          <w:rFonts w:ascii="Times New Roman Bold" w:hAnsi="Times New Roman Bold"/>
          <w:b/>
          <w:caps/>
          <w:szCs w:val="20"/>
          <w:u w:val="none"/>
        </w:rPr>
        <w:lastRenderedPageBreak/>
        <w:t>Conflict appointment administration</w:t>
      </w:r>
    </w:p>
    <w:p w:rsidR="00CA376A" w:rsidRPr="0023039E" w:rsidRDefault="00CA376A" w:rsidP="00774BC5">
      <w:pPr>
        <w:pStyle w:val="ExhibitB2"/>
        <w:keepNext w:val="0"/>
        <w:widowControl w:val="0"/>
        <w:numPr>
          <w:ilvl w:val="1"/>
          <w:numId w:val="43"/>
        </w:numPr>
        <w:tabs>
          <w:tab w:val="clear" w:pos="2016"/>
        </w:tabs>
        <w:spacing w:before="120" w:after="120"/>
        <w:ind w:right="144"/>
        <w:jc w:val="both"/>
        <w:outlineLvl w:val="9"/>
      </w:pPr>
      <w:r w:rsidRPr="0023039E">
        <w:t>Contractor will identify qualified independent contractor attorneys and execute contracts</w:t>
      </w:r>
      <w:r w:rsidR="00774BC5" w:rsidRPr="0023039E">
        <w:t xml:space="preserve"> </w:t>
      </w:r>
      <w:r w:rsidRPr="0023039E">
        <w:t>with those attorneys to be available for appointment in cases of conflict of interest, pursuant to Section 2</w:t>
      </w:r>
      <w:r w:rsidR="00106331" w:rsidRPr="0023039E">
        <w:t>,</w:t>
      </w:r>
      <w:r w:rsidRPr="0023039E">
        <w:t xml:space="preserve"> above.  Any such contract shall be subject to the process set forth in Exhibit A, Section </w:t>
      </w:r>
      <w:r w:rsidR="002E564D" w:rsidRPr="0023039E">
        <w:t>12</w:t>
      </w:r>
      <w:r w:rsidRPr="0023039E">
        <w:t>.  Contractor will ensure that enough independent contractor attorneys are available to represent all clients whose representation would present a conflict of interest pursuant to Section 2 above.</w:t>
      </w:r>
    </w:p>
    <w:p w:rsidR="00CA376A" w:rsidRPr="0023039E" w:rsidRDefault="00CA376A" w:rsidP="00774BC5">
      <w:pPr>
        <w:pStyle w:val="ExhibitB2"/>
        <w:keepNext w:val="0"/>
        <w:widowControl w:val="0"/>
        <w:numPr>
          <w:ilvl w:val="1"/>
          <w:numId w:val="43"/>
        </w:numPr>
        <w:tabs>
          <w:tab w:val="clear" w:pos="2016"/>
        </w:tabs>
        <w:spacing w:before="120" w:after="120"/>
        <w:ind w:right="144"/>
        <w:jc w:val="both"/>
        <w:outlineLvl w:val="9"/>
      </w:pPr>
      <w:r w:rsidRPr="0023039E">
        <w:t xml:space="preserve">The cost for independent contractor attorney services </w:t>
      </w:r>
      <w:proofErr w:type="gramStart"/>
      <w:r w:rsidRPr="0023039E">
        <w:t>will be paid</w:t>
      </w:r>
      <w:proofErr w:type="gramEnd"/>
      <w:r w:rsidRPr="0023039E">
        <w:t xml:space="preserve"> on a reimbursement basis, as provided in </w:t>
      </w:r>
      <w:r w:rsidR="0054162B" w:rsidRPr="0023039E">
        <w:t>Exhibit C, Section 3</w:t>
      </w:r>
      <w:r w:rsidRPr="0023039E">
        <w:t xml:space="preserve">.  Contractor agrees to incorporate the reporting of monthly statistics, regarding the number of conflict clients represented, into the independent contractor attorney contracts.  Contractor will facilitate the reporting of monthly statistics as identified in </w:t>
      </w:r>
      <w:r w:rsidR="0054162B" w:rsidRPr="0023039E">
        <w:t>Section 8</w:t>
      </w:r>
      <w:r w:rsidRPr="0023039E">
        <w:t xml:space="preserve">, below. </w:t>
      </w:r>
    </w:p>
    <w:p w:rsidR="00CA376A" w:rsidRPr="0023039E" w:rsidRDefault="00CA376A" w:rsidP="009F7597">
      <w:pPr>
        <w:pStyle w:val="ExhibitA1"/>
        <w:keepNext w:val="0"/>
        <w:widowControl w:val="0"/>
        <w:numPr>
          <w:ilvl w:val="0"/>
          <w:numId w:val="44"/>
        </w:numPr>
        <w:tabs>
          <w:tab w:val="clear" w:pos="1296"/>
          <w:tab w:val="clear" w:pos="2016"/>
          <w:tab w:val="clear" w:pos="2592"/>
          <w:tab w:val="clear" w:pos="4176"/>
          <w:tab w:val="clear" w:pos="10710"/>
        </w:tabs>
        <w:spacing w:before="240" w:after="120"/>
        <w:ind w:right="144"/>
        <w:jc w:val="both"/>
        <w:rPr>
          <w:rFonts w:ascii="Times New Roman Bold" w:hAnsi="Times New Roman Bold"/>
          <w:b/>
          <w:caps/>
          <w:szCs w:val="20"/>
          <w:u w:val="none"/>
        </w:rPr>
      </w:pPr>
      <w:r w:rsidRPr="0023039E">
        <w:rPr>
          <w:rFonts w:ascii="Times New Roman Bold" w:hAnsi="Times New Roman Bold"/>
          <w:b/>
          <w:caps/>
          <w:szCs w:val="20"/>
          <w:u w:val="none"/>
        </w:rPr>
        <w:t>Courtroom Staffing</w:t>
      </w:r>
    </w:p>
    <w:p w:rsidR="00CA376A" w:rsidRPr="0023039E" w:rsidRDefault="00CA376A" w:rsidP="00774BC5">
      <w:pPr>
        <w:pStyle w:val="Heading-SingleP"/>
        <w:widowControl w:val="0"/>
        <w:ind w:right="144"/>
        <w:jc w:val="both"/>
      </w:pPr>
      <w:r w:rsidRPr="0023039E">
        <w:t xml:space="preserve">Contractor shall staff the Dependency courtroom(s) </w:t>
      </w:r>
      <w:r w:rsidR="007B3C78" w:rsidRPr="0023039E">
        <w:t>to</w:t>
      </w:r>
      <w:r w:rsidRPr="0023039E">
        <w:t xml:space="preserve"> ensure adequate attorney availability at all times.</w:t>
      </w:r>
    </w:p>
    <w:p w:rsidR="00CA376A" w:rsidRPr="0023039E" w:rsidRDefault="00CA376A" w:rsidP="009F7597">
      <w:pPr>
        <w:pStyle w:val="ExhibitA1"/>
        <w:keepNext w:val="0"/>
        <w:widowControl w:val="0"/>
        <w:numPr>
          <w:ilvl w:val="0"/>
          <w:numId w:val="44"/>
        </w:numPr>
        <w:tabs>
          <w:tab w:val="clear" w:pos="1296"/>
          <w:tab w:val="clear" w:pos="2016"/>
          <w:tab w:val="clear" w:pos="2592"/>
          <w:tab w:val="clear" w:pos="4176"/>
          <w:tab w:val="clear" w:pos="10710"/>
        </w:tabs>
        <w:spacing w:before="240" w:after="120"/>
        <w:ind w:right="144"/>
        <w:jc w:val="both"/>
        <w:rPr>
          <w:rFonts w:ascii="Times New Roman Bold" w:hAnsi="Times New Roman Bold"/>
          <w:b/>
          <w:caps/>
          <w:szCs w:val="20"/>
          <w:u w:val="none"/>
        </w:rPr>
      </w:pPr>
      <w:r w:rsidRPr="0023039E">
        <w:rPr>
          <w:rFonts w:ascii="Times New Roman Bold" w:hAnsi="Times New Roman Bold"/>
          <w:b/>
          <w:caps/>
          <w:szCs w:val="20"/>
          <w:u w:val="none"/>
        </w:rPr>
        <w:t>Education and Training</w:t>
      </w:r>
    </w:p>
    <w:p w:rsidR="00CA376A" w:rsidRPr="0023039E" w:rsidRDefault="00CA376A" w:rsidP="00774BC5">
      <w:pPr>
        <w:pStyle w:val="ExhibitB2"/>
        <w:keepNext w:val="0"/>
        <w:widowControl w:val="0"/>
        <w:numPr>
          <w:ilvl w:val="1"/>
          <w:numId w:val="44"/>
        </w:numPr>
        <w:tabs>
          <w:tab w:val="clear" w:pos="2016"/>
          <w:tab w:val="left" w:pos="1440"/>
        </w:tabs>
        <w:spacing w:before="120" w:after="120"/>
        <w:ind w:right="144"/>
        <w:jc w:val="both"/>
        <w:outlineLvl w:val="9"/>
      </w:pPr>
      <w:r w:rsidRPr="0023039E">
        <w:t xml:space="preserve">Contractor shall comply with the education and training standards outlined in </w:t>
      </w:r>
      <w:r w:rsidRPr="0023039E">
        <w:rPr>
          <w:bCs/>
        </w:rPr>
        <w:t xml:space="preserve">California Rules of Court, rule </w:t>
      </w:r>
      <w:r w:rsidRPr="0023039E">
        <w:t>5.660.</w:t>
      </w:r>
    </w:p>
    <w:p w:rsidR="00CA376A" w:rsidRPr="0023039E" w:rsidRDefault="00CA376A" w:rsidP="00774BC5">
      <w:pPr>
        <w:pStyle w:val="ExhibitB2"/>
        <w:keepNext w:val="0"/>
        <w:widowControl w:val="0"/>
        <w:numPr>
          <w:ilvl w:val="1"/>
          <w:numId w:val="48"/>
        </w:numPr>
        <w:tabs>
          <w:tab w:val="clear" w:pos="1368"/>
          <w:tab w:val="clear" w:pos="2016"/>
          <w:tab w:val="left" w:pos="1440"/>
        </w:tabs>
        <w:spacing w:before="120" w:after="120"/>
        <w:ind w:right="144"/>
        <w:jc w:val="both"/>
        <w:outlineLvl w:val="9"/>
      </w:pPr>
      <w:r w:rsidRPr="0023039E">
        <w:t>Contractor shall attend statewide multi-disciplinary trainings or conferences, including but not limited to the AOC’s annual “Beyond the Bench Conference</w:t>
      </w:r>
      <w:proofErr w:type="gramStart"/>
      <w:r w:rsidRPr="0023039E">
        <w:t>.”</w:t>
      </w:r>
      <w:proofErr w:type="gramEnd"/>
    </w:p>
    <w:p w:rsidR="00CA376A" w:rsidRPr="0023039E" w:rsidRDefault="00CA376A" w:rsidP="009F7597">
      <w:pPr>
        <w:pStyle w:val="ExhibitA1"/>
        <w:keepNext w:val="0"/>
        <w:widowControl w:val="0"/>
        <w:numPr>
          <w:ilvl w:val="0"/>
          <w:numId w:val="44"/>
        </w:numPr>
        <w:tabs>
          <w:tab w:val="clear" w:pos="1296"/>
          <w:tab w:val="clear" w:pos="2016"/>
          <w:tab w:val="clear" w:pos="2592"/>
          <w:tab w:val="clear" w:pos="4176"/>
          <w:tab w:val="clear" w:pos="10710"/>
        </w:tabs>
        <w:spacing w:before="240" w:after="120"/>
        <w:ind w:right="144"/>
        <w:jc w:val="both"/>
        <w:rPr>
          <w:rFonts w:ascii="Times New Roman Bold" w:hAnsi="Times New Roman Bold"/>
          <w:b/>
          <w:caps/>
          <w:szCs w:val="20"/>
          <w:u w:val="none"/>
        </w:rPr>
      </w:pPr>
      <w:r w:rsidRPr="0023039E">
        <w:rPr>
          <w:rFonts w:ascii="Times New Roman Bold" w:hAnsi="Times New Roman Bold"/>
          <w:b/>
          <w:caps/>
          <w:szCs w:val="20"/>
          <w:u w:val="none"/>
        </w:rPr>
        <w:t>System Meetings</w:t>
      </w:r>
    </w:p>
    <w:p w:rsidR="00CA376A" w:rsidRPr="0023039E" w:rsidRDefault="00CA376A" w:rsidP="00774BC5">
      <w:pPr>
        <w:pStyle w:val="ExhibitB2"/>
        <w:keepNext w:val="0"/>
        <w:widowControl w:val="0"/>
        <w:numPr>
          <w:ilvl w:val="0"/>
          <w:numId w:val="0"/>
        </w:numPr>
        <w:ind w:left="720"/>
      </w:pPr>
      <w:r w:rsidRPr="0023039E">
        <w:t xml:space="preserve">Contractor shall participate in systems meetings that </w:t>
      </w:r>
      <w:proofErr w:type="gramStart"/>
      <w:r w:rsidRPr="0023039E">
        <w:t>are intended</w:t>
      </w:r>
      <w:proofErr w:type="gramEnd"/>
      <w:r w:rsidRPr="0023039E">
        <w:t xml:space="preserve"> to improve services for Children and families in dependency court.  Those meetings include but are not limited </w:t>
      </w:r>
      <w:proofErr w:type="gramStart"/>
      <w:r w:rsidRPr="0023039E">
        <w:t>to</w:t>
      </w:r>
      <w:proofErr w:type="gramEnd"/>
      <w:r w:rsidRPr="0023039E">
        <w:t>:</w:t>
      </w:r>
    </w:p>
    <w:p w:rsidR="00A2380A" w:rsidRPr="0023039E" w:rsidRDefault="004E02A6" w:rsidP="00774BC5">
      <w:pPr>
        <w:pStyle w:val="ExhibitB3"/>
        <w:keepNext w:val="0"/>
        <w:widowControl w:val="0"/>
        <w:numPr>
          <w:ilvl w:val="2"/>
          <w:numId w:val="44"/>
        </w:numPr>
        <w:tabs>
          <w:tab w:val="clear" w:pos="1296"/>
          <w:tab w:val="clear" w:pos="2592"/>
          <w:tab w:val="clear" w:pos="4176"/>
          <w:tab w:val="clear" w:pos="10710"/>
        </w:tabs>
        <w:spacing w:before="120" w:after="120"/>
        <w:ind w:right="-360"/>
        <w:outlineLvl w:val="9"/>
      </w:pPr>
      <w:r w:rsidRPr="0023039E">
        <w:t>Quarterly dependency meetings convened by the Court;</w:t>
      </w:r>
    </w:p>
    <w:p w:rsidR="00A2380A" w:rsidRPr="0023039E" w:rsidRDefault="004E02A6" w:rsidP="00774BC5">
      <w:pPr>
        <w:pStyle w:val="ExhibitB3"/>
        <w:keepNext w:val="0"/>
        <w:widowControl w:val="0"/>
        <w:numPr>
          <w:ilvl w:val="2"/>
          <w:numId w:val="44"/>
        </w:numPr>
        <w:tabs>
          <w:tab w:val="clear" w:pos="1296"/>
          <w:tab w:val="clear" w:pos="2592"/>
          <w:tab w:val="clear" w:pos="4176"/>
          <w:tab w:val="clear" w:pos="10710"/>
        </w:tabs>
        <w:spacing w:before="120" w:after="120"/>
        <w:ind w:right="-360"/>
        <w:outlineLvl w:val="9"/>
      </w:pPr>
      <w:r w:rsidRPr="0023039E">
        <w:t>Local training sessions on dependency issues; and</w:t>
      </w:r>
    </w:p>
    <w:p w:rsidR="000B7CF5" w:rsidRPr="0023039E" w:rsidRDefault="004E02A6" w:rsidP="00774BC5">
      <w:pPr>
        <w:pStyle w:val="ExhibitB3"/>
        <w:keepNext w:val="0"/>
        <w:widowControl w:val="0"/>
        <w:numPr>
          <w:ilvl w:val="2"/>
          <w:numId w:val="44"/>
        </w:numPr>
        <w:tabs>
          <w:tab w:val="clear" w:pos="1296"/>
          <w:tab w:val="clear" w:pos="2592"/>
          <w:tab w:val="clear" w:pos="4176"/>
          <w:tab w:val="clear" w:pos="10710"/>
        </w:tabs>
        <w:spacing w:before="120" w:after="120"/>
        <w:ind w:right="-360"/>
        <w:outlineLvl w:val="9"/>
      </w:pPr>
      <w:r w:rsidRPr="0023039E">
        <w:t>As appropriate and practicable, development meetings for specialized dependency programs, e.g. Drug Court, Court Appointed Special Advocates (CASA), etc.</w:t>
      </w:r>
    </w:p>
    <w:p w:rsidR="00CA376A" w:rsidRPr="0023039E" w:rsidRDefault="00CA376A" w:rsidP="009F7597">
      <w:pPr>
        <w:pStyle w:val="ExhibitA1"/>
        <w:keepNext w:val="0"/>
        <w:widowControl w:val="0"/>
        <w:numPr>
          <w:ilvl w:val="0"/>
          <w:numId w:val="44"/>
        </w:numPr>
        <w:tabs>
          <w:tab w:val="clear" w:pos="1296"/>
          <w:tab w:val="clear" w:pos="2016"/>
          <w:tab w:val="clear" w:pos="2592"/>
          <w:tab w:val="clear" w:pos="4176"/>
          <w:tab w:val="clear" w:pos="10710"/>
        </w:tabs>
        <w:spacing w:before="240" w:after="120"/>
        <w:ind w:right="144"/>
        <w:jc w:val="both"/>
        <w:rPr>
          <w:rFonts w:ascii="Times New Roman Bold" w:hAnsi="Times New Roman Bold"/>
          <w:b/>
          <w:caps/>
          <w:szCs w:val="20"/>
          <w:u w:val="none"/>
        </w:rPr>
      </w:pPr>
      <w:r w:rsidRPr="0023039E">
        <w:rPr>
          <w:rFonts w:ascii="Times New Roman Bold" w:hAnsi="Times New Roman Bold"/>
          <w:b/>
          <w:caps/>
          <w:szCs w:val="20"/>
          <w:u w:val="none"/>
        </w:rPr>
        <w:t>Staffing and Service Level</w:t>
      </w:r>
    </w:p>
    <w:p w:rsidR="00CA376A" w:rsidRPr="0023039E" w:rsidRDefault="00CA376A" w:rsidP="00774BC5">
      <w:pPr>
        <w:pStyle w:val="ExhibitB2"/>
        <w:keepNext w:val="0"/>
        <w:widowControl w:val="0"/>
        <w:numPr>
          <w:ilvl w:val="1"/>
          <w:numId w:val="45"/>
        </w:numPr>
        <w:tabs>
          <w:tab w:val="clear" w:pos="2016"/>
          <w:tab w:val="left" w:pos="1440"/>
        </w:tabs>
        <w:spacing w:before="120" w:after="120"/>
        <w:ind w:right="144"/>
        <w:jc w:val="both"/>
        <w:outlineLvl w:val="9"/>
      </w:pPr>
      <w:r w:rsidRPr="0023039E">
        <w:t>Contractor agrees to provide, at a minimum, the following staffing pursuant to this agreement:</w:t>
      </w:r>
    </w:p>
    <w:p w:rsidR="00CA376A" w:rsidRPr="0023039E" w:rsidRDefault="00CA376A" w:rsidP="00774BC5">
      <w:pPr>
        <w:pStyle w:val="ExhibitB3"/>
        <w:keepNext w:val="0"/>
        <w:widowControl w:val="0"/>
        <w:numPr>
          <w:ilvl w:val="2"/>
          <w:numId w:val="45"/>
        </w:numPr>
        <w:tabs>
          <w:tab w:val="clear" w:pos="1296"/>
          <w:tab w:val="clear" w:pos="2592"/>
          <w:tab w:val="clear" w:pos="4176"/>
          <w:tab w:val="clear" w:pos="10710"/>
        </w:tabs>
        <w:spacing w:before="120" w:after="120"/>
        <w:ind w:right="144"/>
        <w:jc w:val="both"/>
        <w:outlineLvl w:val="9"/>
      </w:pPr>
      <w:r w:rsidRPr="0023039E">
        <w:t>[</w:t>
      </w:r>
      <w:r w:rsidR="00EF72FA" w:rsidRPr="0023039E">
        <w:t>number</w:t>
      </w:r>
      <w:r w:rsidRPr="0023039E">
        <w:t xml:space="preserve"> of full time equivalent Attorney(s)] FTE Attorneys</w:t>
      </w:r>
    </w:p>
    <w:p w:rsidR="00CA376A" w:rsidRPr="0023039E" w:rsidRDefault="00CA376A" w:rsidP="00774BC5">
      <w:pPr>
        <w:pStyle w:val="ExhibitB3"/>
        <w:keepNext w:val="0"/>
        <w:widowControl w:val="0"/>
        <w:numPr>
          <w:ilvl w:val="2"/>
          <w:numId w:val="50"/>
        </w:numPr>
        <w:tabs>
          <w:tab w:val="clear" w:pos="1296"/>
          <w:tab w:val="clear" w:pos="2016"/>
          <w:tab w:val="clear" w:pos="2592"/>
          <w:tab w:val="clear" w:pos="4176"/>
          <w:tab w:val="clear" w:pos="10710"/>
        </w:tabs>
        <w:spacing w:before="120" w:after="120"/>
        <w:ind w:left="1890" w:right="144" w:hanging="522"/>
        <w:jc w:val="both"/>
        <w:outlineLvl w:val="9"/>
      </w:pPr>
      <w:r w:rsidRPr="0023039E">
        <w:t>[additional staff if appropriate]</w:t>
      </w:r>
    </w:p>
    <w:p w:rsidR="00CA376A" w:rsidRPr="0023039E" w:rsidRDefault="00CA376A" w:rsidP="00774BC5">
      <w:pPr>
        <w:pStyle w:val="ExhibitB2"/>
        <w:keepNext w:val="0"/>
        <w:widowControl w:val="0"/>
        <w:numPr>
          <w:ilvl w:val="1"/>
          <w:numId w:val="41"/>
        </w:numPr>
        <w:tabs>
          <w:tab w:val="clear" w:pos="2016"/>
          <w:tab w:val="left" w:pos="1296"/>
        </w:tabs>
        <w:spacing w:before="120" w:after="120"/>
        <w:ind w:right="144"/>
        <w:jc w:val="both"/>
        <w:outlineLvl w:val="9"/>
      </w:pPr>
      <w:r w:rsidRPr="0023039E">
        <w:t>The annual salary for key personnel shall be as follows:</w:t>
      </w:r>
    </w:p>
    <w:p w:rsidR="001F4DE9" w:rsidRPr="0023039E" w:rsidRDefault="00CA376A" w:rsidP="00774BC5">
      <w:pPr>
        <w:pStyle w:val="ExhibitB4"/>
        <w:widowControl w:val="0"/>
        <w:numPr>
          <w:ilvl w:val="0"/>
          <w:numId w:val="0"/>
        </w:numPr>
        <w:ind w:left="1260" w:right="144"/>
        <w:sectPr w:rsidR="001F4DE9" w:rsidRPr="0023039E" w:rsidSect="00CA376A">
          <w:footerReference w:type="default" r:id="rId11"/>
          <w:pgSz w:w="12240" w:h="15840" w:code="1"/>
          <w:pgMar w:top="1440" w:right="1008" w:bottom="1440" w:left="1008" w:header="720" w:footer="720" w:gutter="0"/>
          <w:cols w:space="720"/>
          <w:docGrid w:linePitch="360"/>
        </w:sectPr>
      </w:pPr>
      <w:r w:rsidRPr="0023039E">
        <w:t>[Staff and salaries identified in this section will include management staff, attorneys and social workers.]</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3960"/>
      </w:tblGrid>
      <w:tr w:rsidR="00CA376A" w:rsidRPr="0023039E" w:rsidTr="008A3586">
        <w:trPr>
          <w:trHeight w:val="332"/>
        </w:trPr>
        <w:tc>
          <w:tcPr>
            <w:tcW w:w="4680" w:type="dxa"/>
            <w:shd w:val="clear" w:color="auto" w:fill="F2F2F2" w:themeFill="background1" w:themeFillShade="F2"/>
            <w:vAlign w:val="center"/>
          </w:tcPr>
          <w:p w:rsidR="00CA376A" w:rsidRPr="0023039E" w:rsidRDefault="00CA376A" w:rsidP="00774BC5">
            <w:pPr>
              <w:pStyle w:val="ExhibitB2"/>
              <w:keepNext w:val="0"/>
              <w:widowControl w:val="0"/>
              <w:numPr>
                <w:ilvl w:val="0"/>
                <w:numId w:val="0"/>
              </w:numPr>
              <w:ind w:right="144"/>
              <w:rPr>
                <w:b/>
                <w:sz w:val="22"/>
                <w:szCs w:val="22"/>
              </w:rPr>
            </w:pPr>
            <w:r w:rsidRPr="0023039E">
              <w:rPr>
                <w:b/>
                <w:sz w:val="22"/>
                <w:szCs w:val="22"/>
              </w:rPr>
              <w:lastRenderedPageBreak/>
              <w:t>Key Personnel</w:t>
            </w:r>
          </w:p>
        </w:tc>
        <w:tc>
          <w:tcPr>
            <w:tcW w:w="3960" w:type="dxa"/>
            <w:shd w:val="clear" w:color="auto" w:fill="F2F2F2" w:themeFill="background1" w:themeFillShade="F2"/>
            <w:vAlign w:val="center"/>
          </w:tcPr>
          <w:p w:rsidR="00CA376A" w:rsidRPr="0023039E" w:rsidRDefault="00CA376A" w:rsidP="00774BC5">
            <w:pPr>
              <w:pStyle w:val="ExhibitB2"/>
              <w:keepNext w:val="0"/>
              <w:widowControl w:val="0"/>
              <w:numPr>
                <w:ilvl w:val="0"/>
                <w:numId w:val="0"/>
              </w:numPr>
              <w:ind w:right="144"/>
              <w:rPr>
                <w:b/>
                <w:sz w:val="22"/>
                <w:szCs w:val="22"/>
              </w:rPr>
            </w:pPr>
            <w:r w:rsidRPr="0023039E">
              <w:rPr>
                <w:b/>
                <w:sz w:val="22"/>
                <w:szCs w:val="22"/>
              </w:rPr>
              <w:t>Annual Salary</w:t>
            </w:r>
          </w:p>
        </w:tc>
      </w:tr>
      <w:tr w:rsidR="00CA376A" w:rsidRPr="0023039E" w:rsidTr="008A3586">
        <w:trPr>
          <w:trHeight w:val="350"/>
        </w:trPr>
        <w:tc>
          <w:tcPr>
            <w:tcW w:w="4680" w:type="dxa"/>
            <w:vAlign w:val="center"/>
          </w:tcPr>
          <w:p w:rsidR="00CA376A" w:rsidRPr="0023039E" w:rsidRDefault="00CA376A" w:rsidP="00774BC5">
            <w:pPr>
              <w:pStyle w:val="ExhibitB2"/>
              <w:keepNext w:val="0"/>
              <w:widowControl w:val="0"/>
              <w:numPr>
                <w:ilvl w:val="0"/>
                <w:numId w:val="0"/>
              </w:numPr>
              <w:ind w:right="144"/>
              <w:rPr>
                <w:sz w:val="22"/>
                <w:szCs w:val="22"/>
              </w:rPr>
            </w:pPr>
            <w:r w:rsidRPr="0023039E">
              <w:rPr>
                <w:sz w:val="22"/>
                <w:szCs w:val="22"/>
              </w:rPr>
              <w:t>[</w:t>
            </w:r>
            <w:r w:rsidR="008342A4" w:rsidRPr="0023039E">
              <w:rPr>
                <w:sz w:val="22"/>
                <w:szCs w:val="22"/>
              </w:rPr>
              <w:t xml:space="preserve">Name and </w:t>
            </w:r>
            <w:r w:rsidRPr="0023039E">
              <w:rPr>
                <w:sz w:val="22"/>
                <w:szCs w:val="22"/>
              </w:rPr>
              <w:t>T</w:t>
            </w:r>
            <w:r w:rsidR="008342A4" w:rsidRPr="0023039E">
              <w:rPr>
                <w:sz w:val="22"/>
                <w:szCs w:val="22"/>
              </w:rPr>
              <w:t>itle</w:t>
            </w:r>
            <w:r w:rsidRPr="0023039E">
              <w:rPr>
                <w:sz w:val="22"/>
                <w:szCs w:val="22"/>
              </w:rPr>
              <w:t>]</w:t>
            </w:r>
          </w:p>
        </w:tc>
        <w:tc>
          <w:tcPr>
            <w:tcW w:w="3960" w:type="dxa"/>
            <w:vAlign w:val="center"/>
          </w:tcPr>
          <w:p w:rsidR="00CA376A" w:rsidRPr="0023039E" w:rsidRDefault="00CA376A" w:rsidP="008A3586">
            <w:pPr>
              <w:pStyle w:val="ExhibitB2"/>
              <w:keepNext w:val="0"/>
              <w:widowControl w:val="0"/>
              <w:numPr>
                <w:ilvl w:val="0"/>
                <w:numId w:val="0"/>
              </w:numPr>
              <w:ind w:right="-108"/>
              <w:rPr>
                <w:sz w:val="22"/>
                <w:szCs w:val="22"/>
              </w:rPr>
            </w:pPr>
            <w:r w:rsidRPr="0023039E">
              <w:rPr>
                <w:sz w:val="22"/>
                <w:szCs w:val="22"/>
              </w:rPr>
              <w:t>$[A</w:t>
            </w:r>
            <w:r w:rsidR="008342A4" w:rsidRPr="0023039E">
              <w:rPr>
                <w:sz w:val="22"/>
                <w:szCs w:val="22"/>
              </w:rPr>
              <w:t>nnual salary amount, average or range]</w:t>
            </w:r>
          </w:p>
        </w:tc>
      </w:tr>
      <w:tr w:rsidR="008342A4" w:rsidRPr="0023039E" w:rsidTr="008A3586">
        <w:trPr>
          <w:trHeight w:val="350"/>
        </w:trPr>
        <w:tc>
          <w:tcPr>
            <w:tcW w:w="4680" w:type="dxa"/>
          </w:tcPr>
          <w:p w:rsidR="008342A4" w:rsidRPr="0023039E" w:rsidRDefault="008342A4" w:rsidP="00774BC5">
            <w:pPr>
              <w:pStyle w:val="ExhibitB2"/>
              <w:keepNext w:val="0"/>
              <w:widowControl w:val="0"/>
              <w:numPr>
                <w:ilvl w:val="0"/>
                <w:numId w:val="0"/>
              </w:numPr>
              <w:ind w:right="144"/>
              <w:jc w:val="both"/>
              <w:rPr>
                <w:sz w:val="22"/>
                <w:szCs w:val="22"/>
              </w:rPr>
            </w:pPr>
          </w:p>
        </w:tc>
        <w:tc>
          <w:tcPr>
            <w:tcW w:w="3960" w:type="dxa"/>
          </w:tcPr>
          <w:p w:rsidR="008342A4" w:rsidRPr="0023039E" w:rsidRDefault="008342A4" w:rsidP="00774BC5">
            <w:pPr>
              <w:pStyle w:val="ExhibitB2"/>
              <w:keepNext w:val="0"/>
              <w:widowControl w:val="0"/>
              <w:numPr>
                <w:ilvl w:val="0"/>
                <w:numId w:val="0"/>
              </w:numPr>
              <w:ind w:right="144"/>
              <w:rPr>
                <w:sz w:val="22"/>
                <w:szCs w:val="22"/>
              </w:rPr>
            </w:pPr>
          </w:p>
        </w:tc>
      </w:tr>
    </w:tbl>
    <w:p w:rsidR="00CA376A" w:rsidRPr="0023039E" w:rsidRDefault="00CA376A" w:rsidP="00774BC5">
      <w:pPr>
        <w:pStyle w:val="ExhibitB2"/>
        <w:keepNext w:val="0"/>
        <w:widowControl w:val="0"/>
        <w:numPr>
          <w:ilvl w:val="0"/>
          <w:numId w:val="0"/>
        </w:numPr>
        <w:ind w:left="720" w:right="144"/>
        <w:jc w:val="both"/>
        <w:rPr>
          <w:sz w:val="16"/>
          <w:szCs w:val="16"/>
        </w:rPr>
      </w:pPr>
    </w:p>
    <w:p w:rsidR="00CA376A" w:rsidRPr="0023039E" w:rsidRDefault="00CA376A" w:rsidP="00774BC5">
      <w:pPr>
        <w:pStyle w:val="ExhibitB2"/>
        <w:keepNext w:val="0"/>
        <w:widowControl w:val="0"/>
        <w:numPr>
          <w:ilvl w:val="1"/>
          <w:numId w:val="41"/>
        </w:numPr>
        <w:tabs>
          <w:tab w:val="clear" w:pos="2016"/>
        </w:tabs>
        <w:spacing w:before="120" w:after="120"/>
        <w:ind w:right="144"/>
        <w:jc w:val="both"/>
        <w:outlineLvl w:val="9"/>
      </w:pPr>
      <w:r w:rsidRPr="0023039E">
        <w:t xml:space="preserve">Contractor agrees to represent approximately </w:t>
      </w:r>
      <w:r w:rsidR="00164AAB" w:rsidRPr="0023039E">
        <w:t xml:space="preserve">(no. of clients) </w:t>
      </w:r>
      <w:r w:rsidRPr="0023039E">
        <w:t xml:space="preserve">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CA376A" w:rsidRPr="0023039E" w:rsidRDefault="00CA376A" w:rsidP="009F7597">
      <w:pPr>
        <w:pStyle w:val="ExhibitA1"/>
        <w:keepNext w:val="0"/>
        <w:widowControl w:val="0"/>
        <w:numPr>
          <w:ilvl w:val="0"/>
          <w:numId w:val="44"/>
        </w:numPr>
        <w:tabs>
          <w:tab w:val="clear" w:pos="1296"/>
          <w:tab w:val="clear" w:pos="2016"/>
          <w:tab w:val="clear" w:pos="2592"/>
          <w:tab w:val="clear" w:pos="4176"/>
          <w:tab w:val="clear" w:pos="10710"/>
        </w:tabs>
        <w:spacing w:before="240" w:after="120"/>
        <w:ind w:right="144"/>
        <w:jc w:val="both"/>
        <w:rPr>
          <w:rFonts w:ascii="Times New Roman Bold" w:hAnsi="Times New Roman Bold"/>
          <w:b/>
          <w:caps/>
          <w:szCs w:val="20"/>
          <w:u w:val="none"/>
        </w:rPr>
      </w:pPr>
      <w:r w:rsidRPr="0023039E">
        <w:rPr>
          <w:rFonts w:ascii="Times New Roman Bold" w:hAnsi="Times New Roman Bold"/>
          <w:b/>
          <w:caps/>
          <w:szCs w:val="20"/>
          <w:u w:val="none"/>
        </w:rPr>
        <w:t>Case Reports and Maintenance of Records</w:t>
      </w:r>
    </w:p>
    <w:p w:rsidR="00CA376A" w:rsidRPr="0023039E" w:rsidRDefault="00CA376A" w:rsidP="00774BC5">
      <w:pPr>
        <w:pStyle w:val="ExhibitB2"/>
        <w:keepNext w:val="0"/>
        <w:widowControl w:val="0"/>
        <w:numPr>
          <w:ilvl w:val="1"/>
          <w:numId w:val="46"/>
        </w:numPr>
        <w:tabs>
          <w:tab w:val="clear" w:pos="2016"/>
          <w:tab w:val="left" w:pos="1296"/>
        </w:tabs>
        <w:spacing w:before="120" w:after="120"/>
        <w:ind w:right="144"/>
        <w:jc w:val="both"/>
        <w:outlineLvl w:val="9"/>
      </w:pPr>
      <w:r w:rsidRPr="0023039E">
        <w:t>Contractor shall provide the following AOC case management reports:</w:t>
      </w:r>
    </w:p>
    <w:p w:rsidR="00CA376A" w:rsidRPr="0023039E" w:rsidRDefault="00CA376A" w:rsidP="00774BC5">
      <w:pPr>
        <w:pStyle w:val="ExhibitB3"/>
        <w:keepNext w:val="0"/>
        <w:widowControl w:val="0"/>
        <w:numPr>
          <w:ilvl w:val="2"/>
          <w:numId w:val="46"/>
        </w:numPr>
        <w:tabs>
          <w:tab w:val="clear" w:pos="1296"/>
          <w:tab w:val="clear" w:pos="2592"/>
          <w:tab w:val="clear" w:pos="4176"/>
          <w:tab w:val="clear" w:pos="10710"/>
        </w:tabs>
        <w:spacing w:before="120" w:after="120"/>
        <w:ind w:right="144"/>
        <w:jc w:val="both"/>
        <w:outlineLvl w:val="9"/>
      </w:pPr>
      <w:r w:rsidRPr="0023039E">
        <w:rPr>
          <w:u w:val="single"/>
        </w:rPr>
        <w:t>Within One Month of Contract Signing</w:t>
      </w:r>
      <w:proofErr w:type="gramStart"/>
      <w:r w:rsidRPr="0023039E">
        <w:t xml:space="preserve">. </w:t>
      </w:r>
      <w:proofErr w:type="gramEnd"/>
      <w:r w:rsidRPr="0023039E">
        <w:t xml:space="preserve">A list of all current cases, including those transferred to Contractor from prior counsel. </w:t>
      </w:r>
    </w:p>
    <w:p w:rsidR="00CA376A" w:rsidRPr="0023039E" w:rsidRDefault="00CA376A" w:rsidP="00774BC5">
      <w:pPr>
        <w:pStyle w:val="ExhibitB3"/>
        <w:keepNext w:val="0"/>
        <w:widowControl w:val="0"/>
        <w:numPr>
          <w:ilvl w:val="2"/>
          <w:numId w:val="51"/>
        </w:numPr>
        <w:tabs>
          <w:tab w:val="clear" w:pos="1296"/>
          <w:tab w:val="clear" w:pos="2016"/>
          <w:tab w:val="clear" w:pos="2592"/>
          <w:tab w:val="clear" w:pos="4176"/>
          <w:tab w:val="clear" w:pos="10710"/>
        </w:tabs>
        <w:spacing w:before="120" w:after="120"/>
        <w:ind w:right="144"/>
        <w:jc w:val="both"/>
        <w:outlineLvl w:val="9"/>
      </w:pPr>
      <w:proofErr w:type="gramStart"/>
      <w:r w:rsidRPr="0023039E">
        <w:rPr>
          <w:u w:val="single"/>
        </w:rPr>
        <w:t>Monthly Caseload Reports</w:t>
      </w:r>
      <w:r w:rsidRPr="0023039E">
        <w:t>.</w:t>
      </w:r>
      <w:proofErr w:type="gramEnd"/>
      <w:r w:rsidRPr="0023039E">
        <w:t xml:space="preserve">  Contractor shall provide statistical information on a monthly basis</w:t>
      </w:r>
      <w:proofErr w:type="gramStart"/>
      <w:r w:rsidRPr="0023039E">
        <w:t xml:space="preserve">. </w:t>
      </w:r>
      <w:proofErr w:type="gramEnd"/>
      <w:r w:rsidRPr="0023039E">
        <w:t>Specific information will be provided in the manner prescribed by the AOC and will include, but will not be limited to, the following:</w:t>
      </w:r>
    </w:p>
    <w:p w:rsidR="00CA376A" w:rsidRPr="0023039E" w:rsidRDefault="00CA376A" w:rsidP="00774BC5">
      <w:pPr>
        <w:pStyle w:val="ExhibitB4"/>
        <w:widowControl w:val="0"/>
        <w:ind w:left="2304" w:right="144"/>
        <w:jc w:val="both"/>
      </w:pPr>
      <w:r w:rsidRPr="0023039E">
        <w:t>For newly-appointed cases:</w:t>
      </w:r>
    </w:p>
    <w:p w:rsidR="00CA376A" w:rsidRPr="0023039E" w:rsidRDefault="00CA376A" w:rsidP="00774BC5">
      <w:pPr>
        <w:pStyle w:val="ExhibitB5"/>
        <w:widowControl w:val="0"/>
        <w:numPr>
          <w:ilvl w:val="4"/>
          <w:numId w:val="41"/>
        </w:numPr>
        <w:ind w:right="144" w:hanging="630"/>
        <w:jc w:val="both"/>
      </w:pPr>
      <w:r w:rsidRPr="0023039E">
        <w:t>Case number;</w:t>
      </w:r>
    </w:p>
    <w:p w:rsidR="00CA376A" w:rsidRPr="0023039E" w:rsidRDefault="00CA376A" w:rsidP="00774BC5">
      <w:pPr>
        <w:pStyle w:val="ExhibitB5"/>
        <w:widowControl w:val="0"/>
        <w:numPr>
          <w:ilvl w:val="4"/>
          <w:numId w:val="41"/>
        </w:numPr>
        <w:ind w:right="144" w:hanging="630"/>
        <w:jc w:val="both"/>
      </w:pPr>
      <w:r w:rsidRPr="0023039E">
        <w:t>Party represented;</w:t>
      </w:r>
    </w:p>
    <w:p w:rsidR="00CA376A" w:rsidRPr="0023039E" w:rsidRDefault="00CA376A" w:rsidP="00774BC5">
      <w:pPr>
        <w:pStyle w:val="ExhibitB5"/>
        <w:widowControl w:val="0"/>
        <w:numPr>
          <w:ilvl w:val="4"/>
          <w:numId w:val="41"/>
        </w:numPr>
        <w:ind w:right="144" w:hanging="630"/>
        <w:jc w:val="both"/>
      </w:pPr>
      <w:r w:rsidRPr="0023039E">
        <w:t>For sibling groups, number of Children represented</w:t>
      </w:r>
    </w:p>
    <w:p w:rsidR="00CA376A" w:rsidRPr="0023039E" w:rsidRDefault="00CA376A" w:rsidP="00774BC5">
      <w:pPr>
        <w:pStyle w:val="ExhibitB5"/>
        <w:widowControl w:val="0"/>
        <w:numPr>
          <w:ilvl w:val="4"/>
          <w:numId w:val="41"/>
        </w:numPr>
        <w:ind w:right="144" w:hanging="639"/>
        <w:jc w:val="both"/>
      </w:pPr>
      <w:r w:rsidRPr="0023039E">
        <w:t>Appointment date;</w:t>
      </w:r>
    </w:p>
    <w:p w:rsidR="00CA376A" w:rsidRPr="0023039E" w:rsidRDefault="00CA376A" w:rsidP="00774BC5">
      <w:pPr>
        <w:pStyle w:val="ExhibitB5"/>
        <w:widowControl w:val="0"/>
        <w:numPr>
          <w:ilvl w:val="4"/>
          <w:numId w:val="41"/>
        </w:numPr>
        <w:ind w:right="144" w:hanging="630"/>
        <w:jc w:val="both"/>
      </w:pPr>
      <w:r w:rsidRPr="0023039E">
        <w:t>Initial hearing date; and</w:t>
      </w:r>
    </w:p>
    <w:p w:rsidR="00CA376A" w:rsidRPr="0023039E" w:rsidRDefault="00CA376A" w:rsidP="00774BC5">
      <w:pPr>
        <w:pStyle w:val="ExhibitB5"/>
        <w:widowControl w:val="0"/>
        <w:numPr>
          <w:ilvl w:val="4"/>
          <w:numId w:val="41"/>
        </w:numPr>
        <w:ind w:right="144" w:hanging="639"/>
        <w:jc w:val="both"/>
      </w:pPr>
      <w:proofErr w:type="gramStart"/>
      <w:r w:rsidRPr="0023039E">
        <w:t>Name of appointed attorney.</w:t>
      </w:r>
      <w:proofErr w:type="gramEnd"/>
    </w:p>
    <w:p w:rsidR="00CA376A" w:rsidRPr="0023039E" w:rsidRDefault="00CA376A" w:rsidP="00CA376A">
      <w:pPr>
        <w:pStyle w:val="ExhibitB4"/>
        <w:ind w:left="2304" w:right="144"/>
        <w:jc w:val="both"/>
      </w:pPr>
      <w:r w:rsidRPr="0023039E">
        <w:t>For cases where representation is terminated:</w:t>
      </w:r>
    </w:p>
    <w:p w:rsidR="00CA376A" w:rsidRPr="0023039E" w:rsidRDefault="00CA376A" w:rsidP="008F1613">
      <w:pPr>
        <w:pStyle w:val="ExhibitB5"/>
        <w:numPr>
          <w:ilvl w:val="4"/>
          <w:numId w:val="41"/>
        </w:numPr>
        <w:ind w:right="144" w:hanging="630"/>
        <w:jc w:val="both"/>
      </w:pPr>
      <w:r w:rsidRPr="0023039E">
        <w:t>Case number:</w:t>
      </w:r>
    </w:p>
    <w:p w:rsidR="00CA376A" w:rsidRPr="0023039E" w:rsidRDefault="00CA376A" w:rsidP="008F1613">
      <w:pPr>
        <w:pStyle w:val="ExhibitB5"/>
        <w:numPr>
          <w:ilvl w:val="4"/>
          <w:numId w:val="41"/>
        </w:numPr>
        <w:ind w:right="144" w:hanging="630"/>
        <w:jc w:val="both"/>
      </w:pPr>
      <w:r w:rsidRPr="0023039E">
        <w:t>Date of termination of representation; and</w:t>
      </w:r>
    </w:p>
    <w:p w:rsidR="00CA376A" w:rsidRPr="0023039E" w:rsidRDefault="00CA376A" w:rsidP="008F1613">
      <w:pPr>
        <w:pStyle w:val="ExhibitB5"/>
        <w:numPr>
          <w:ilvl w:val="4"/>
          <w:numId w:val="41"/>
        </w:numPr>
        <w:ind w:right="144" w:hanging="630"/>
        <w:jc w:val="both"/>
      </w:pPr>
      <w:proofErr w:type="gramStart"/>
      <w:r w:rsidRPr="0023039E">
        <w:t>Reason for termination of representation.</w:t>
      </w:r>
      <w:proofErr w:type="gramEnd"/>
      <w:r w:rsidRPr="0023039E">
        <w:t xml:space="preserve"> </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proofErr w:type="gramStart"/>
      <w:r w:rsidRPr="0023039E">
        <w:rPr>
          <w:u w:val="single"/>
        </w:rPr>
        <w:t>JCATS Case Calendaring.</w:t>
      </w:r>
      <w:proofErr w:type="gramEnd"/>
      <w:r w:rsidRPr="0023039E">
        <w:t xml:space="preserve">  Contractor will use the JCATS calendaring function to track court hearings.</w:t>
      </w:r>
    </w:p>
    <w:p w:rsidR="001F4DE9" w:rsidRPr="0023039E" w:rsidRDefault="00CA376A" w:rsidP="008A3586">
      <w:pPr>
        <w:pStyle w:val="ExhibitB3"/>
        <w:keepNext w:val="0"/>
        <w:widowControl w:val="0"/>
        <w:tabs>
          <w:tab w:val="clear" w:pos="1296"/>
          <w:tab w:val="clear" w:pos="2016"/>
          <w:tab w:val="clear" w:pos="2592"/>
          <w:tab w:val="clear" w:pos="4176"/>
          <w:tab w:val="clear" w:pos="10710"/>
          <w:tab w:val="num" w:pos="1872"/>
        </w:tabs>
        <w:spacing w:before="120" w:after="120"/>
        <w:ind w:left="1872" w:right="144" w:hanging="432"/>
        <w:jc w:val="both"/>
        <w:outlineLvl w:val="9"/>
        <w:sectPr w:rsidR="001F4DE9" w:rsidRPr="0023039E" w:rsidSect="00CA376A">
          <w:footerReference w:type="default" r:id="rId12"/>
          <w:pgSz w:w="12240" w:h="15840" w:code="1"/>
          <w:pgMar w:top="1440" w:right="1008" w:bottom="1440" w:left="1008" w:header="720" w:footer="720" w:gutter="0"/>
          <w:cols w:space="720"/>
          <w:docGrid w:linePitch="360"/>
        </w:sectPr>
      </w:pPr>
      <w:proofErr w:type="gramStart"/>
      <w:r w:rsidRPr="0023039E">
        <w:rPr>
          <w:u w:val="single"/>
        </w:rPr>
        <w:t>Quarterly Workload Reports.</w:t>
      </w:r>
      <w:proofErr w:type="gramEnd"/>
      <w:r w:rsidRPr="0023039E">
        <w:t xml:space="preserve">  Contractor shall provide detailed statistical workload data to the AOC for a three-month period each year.  The reporting quarter will change during each year of the Contract, and </w:t>
      </w:r>
      <w:proofErr w:type="gramStart"/>
      <w:r w:rsidRPr="0023039E">
        <w:t>shall be specified</w:t>
      </w:r>
      <w:proofErr w:type="gramEnd"/>
      <w:r w:rsidRPr="0023039E">
        <w:t xml:space="preserve"> by the AOC.  Data </w:t>
      </w:r>
    </w:p>
    <w:p w:rsidR="00CA376A" w:rsidRPr="0023039E" w:rsidRDefault="00CA376A" w:rsidP="008A3586">
      <w:pPr>
        <w:pStyle w:val="ExhibitB3"/>
        <w:keepNext w:val="0"/>
        <w:widowControl w:val="0"/>
        <w:numPr>
          <w:ilvl w:val="0"/>
          <w:numId w:val="0"/>
        </w:numPr>
        <w:tabs>
          <w:tab w:val="clear" w:pos="1296"/>
          <w:tab w:val="clear" w:pos="2592"/>
          <w:tab w:val="clear" w:pos="4176"/>
          <w:tab w:val="clear" w:pos="10710"/>
        </w:tabs>
        <w:spacing w:before="120" w:after="120"/>
        <w:ind w:left="1872" w:right="144"/>
        <w:jc w:val="both"/>
        <w:outlineLvl w:val="9"/>
      </w:pPr>
      <w:proofErr w:type="gramStart"/>
      <w:r w:rsidRPr="0023039E">
        <w:lastRenderedPageBreak/>
        <w:t>will</w:t>
      </w:r>
      <w:proofErr w:type="gramEnd"/>
      <w:r w:rsidRPr="0023039E">
        <w:t xml:space="preserve"> be provided by the Contractor in the manner prescribed by the AOC and will include, but will not be limited to, the following information for all ongoing cases:</w:t>
      </w:r>
    </w:p>
    <w:p w:rsidR="00CA376A" w:rsidRPr="0023039E" w:rsidRDefault="00CA376A" w:rsidP="008A3586">
      <w:pPr>
        <w:pStyle w:val="ExhibitB4"/>
        <w:widowControl w:val="0"/>
        <w:numPr>
          <w:ilvl w:val="3"/>
          <w:numId w:val="42"/>
        </w:numPr>
        <w:ind w:right="144"/>
        <w:jc w:val="both"/>
      </w:pPr>
      <w:r w:rsidRPr="0023039E">
        <w:t>The amount of out-of-court time spent on each case each day, including a breakdown of  time spent on specific tasks for each case; and</w:t>
      </w:r>
    </w:p>
    <w:p w:rsidR="00CA376A" w:rsidRPr="0023039E" w:rsidRDefault="00CA376A" w:rsidP="008A3586">
      <w:pPr>
        <w:pStyle w:val="ExhibitB4"/>
        <w:widowControl w:val="0"/>
        <w:tabs>
          <w:tab w:val="clear" w:pos="2376"/>
        </w:tabs>
        <w:ind w:right="144"/>
        <w:jc w:val="both"/>
      </w:pPr>
      <w:r w:rsidRPr="0023039E">
        <w:t xml:space="preserve">The amount of time spent in court each day, including a daily list of the types of hearings for which an appearance </w:t>
      </w:r>
      <w:proofErr w:type="gramStart"/>
      <w:r w:rsidRPr="0023039E">
        <w:t>is made</w:t>
      </w:r>
      <w:proofErr w:type="gramEnd"/>
      <w:r w:rsidRPr="0023039E">
        <w:t>.</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proofErr w:type="gramStart"/>
      <w:r w:rsidRPr="0023039E">
        <w:rPr>
          <w:u w:val="single"/>
        </w:rPr>
        <w:t>Monthly Staffing Reports</w:t>
      </w:r>
      <w:r w:rsidRPr="0023039E">
        <w:t>.</w:t>
      </w:r>
      <w:proofErr w:type="gramEnd"/>
      <w:r w:rsidRPr="0023039E">
        <w:t xml:space="preserve">  Contractor shall provide staffing information on a monthly basis in a manner prescribed by the AOC.  Staffing reports will include the following:</w:t>
      </w:r>
    </w:p>
    <w:p w:rsidR="00CA376A" w:rsidRPr="0023039E" w:rsidRDefault="00CA376A" w:rsidP="00CA376A">
      <w:pPr>
        <w:pStyle w:val="ExhibitB3"/>
        <w:keepNext w:val="0"/>
        <w:numPr>
          <w:ilvl w:val="3"/>
          <w:numId w:val="9"/>
        </w:numPr>
        <w:tabs>
          <w:tab w:val="clear" w:pos="1296"/>
          <w:tab w:val="clear" w:pos="2592"/>
          <w:tab w:val="clear" w:pos="4176"/>
          <w:tab w:val="clear" w:pos="10710"/>
        </w:tabs>
        <w:spacing w:before="120" w:after="120"/>
        <w:ind w:right="144" w:hanging="360"/>
        <w:jc w:val="both"/>
        <w:outlineLvl w:val="9"/>
      </w:pPr>
      <w:r w:rsidRPr="0023039E">
        <w:t>Number of filled and unfilled positions listed in Section 7.A, above; and</w:t>
      </w:r>
    </w:p>
    <w:p w:rsidR="00CA376A" w:rsidRPr="0023039E" w:rsidRDefault="00CA376A" w:rsidP="00CA376A">
      <w:pPr>
        <w:pStyle w:val="ExhibitB3"/>
        <w:keepNext w:val="0"/>
        <w:numPr>
          <w:ilvl w:val="3"/>
          <w:numId w:val="9"/>
        </w:numPr>
        <w:tabs>
          <w:tab w:val="clear" w:pos="1296"/>
          <w:tab w:val="clear" w:pos="2592"/>
          <w:tab w:val="clear" w:pos="4176"/>
          <w:tab w:val="clear" w:pos="10710"/>
        </w:tabs>
        <w:spacing w:before="120" w:after="120"/>
        <w:ind w:right="144" w:hanging="360"/>
        <w:jc w:val="both"/>
        <w:outlineLvl w:val="9"/>
      </w:pPr>
      <w:r w:rsidRPr="0023039E">
        <w:t>Name and FTE status of each person employed in the positions listed in Section 7.A, above.</w:t>
      </w:r>
    </w:p>
    <w:p w:rsidR="00CA376A" w:rsidRPr="0023039E" w:rsidRDefault="00CA376A" w:rsidP="00CA376A">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proofErr w:type="gramStart"/>
      <w:r w:rsidRPr="0023039E">
        <w:rPr>
          <w:u w:val="single"/>
        </w:rPr>
        <w:t>Annual Financial Reports</w:t>
      </w:r>
      <w:r w:rsidRPr="0023039E">
        <w:t>.</w:t>
      </w:r>
      <w:proofErr w:type="gramEnd"/>
      <w:r w:rsidRPr="0023039E">
        <w:t xml:space="preserve">  Contractor shall provide annual financial information, by completing and submitting the Income and Expenditures Report, which </w:t>
      </w:r>
      <w:proofErr w:type="gramStart"/>
      <w:r w:rsidRPr="0023039E">
        <w:t>will be provided</w:t>
      </w:r>
      <w:proofErr w:type="gramEnd"/>
      <w:r w:rsidRPr="0023039E">
        <w:t xml:space="preserve"> by the Project Manager, no later than forty-five (45) days after the end of the AOC’s fiscal year.  An audited financial statement </w:t>
      </w:r>
      <w:proofErr w:type="gramStart"/>
      <w:r w:rsidRPr="0023039E">
        <w:t>may be provided</w:t>
      </w:r>
      <w:proofErr w:type="gramEnd"/>
      <w:r w:rsidRPr="0023039E">
        <w:t xml:space="preserve"> in lieu of this report.</w:t>
      </w:r>
    </w:p>
    <w:p w:rsidR="00CA376A" w:rsidRPr="0023039E" w:rsidRDefault="00CA376A" w:rsidP="008F1613">
      <w:pPr>
        <w:pStyle w:val="ExhibitA1"/>
        <w:numPr>
          <w:ilvl w:val="0"/>
          <w:numId w:val="44"/>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23039E">
        <w:rPr>
          <w:rFonts w:ascii="Times New Roman Bold" w:hAnsi="Times New Roman Bold"/>
          <w:b/>
          <w:caps/>
          <w:szCs w:val="20"/>
          <w:u w:val="none"/>
        </w:rPr>
        <w:t>juvenile dependency counsel collections</w:t>
      </w:r>
    </w:p>
    <w:p w:rsidR="00CA376A" w:rsidRPr="0023039E" w:rsidRDefault="00CA376A" w:rsidP="008F1613">
      <w:pPr>
        <w:ind w:left="720" w:right="144"/>
        <w:jc w:val="both"/>
      </w:pPr>
      <w:r w:rsidRPr="0023039E">
        <w:t>The AOC and the Court have implemented a collections program for dependency counsel services</w:t>
      </w:r>
      <w:proofErr w:type="gramStart"/>
      <w:r w:rsidRPr="0023039E">
        <w:t xml:space="preserve">. </w:t>
      </w:r>
      <w:proofErr w:type="gramEnd"/>
      <w:r w:rsidRPr="0023039E">
        <w:t>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8F1613" w:rsidRPr="0023039E" w:rsidRDefault="008F1613" w:rsidP="008F1613">
      <w:pPr>
        <w:ind w:left="720" w:right="144"/>
        <w:jc w:val="both"/>
      </w:pPr>
    </w:p>
    <w:p w:rsidR="008F1613" w:rsidRPr="0023039E" w:rsidRDefault="008F1613" w:rsidP="008F1613">
      <w:pPr>
        <w:ind w:left="720" w:right="144"/>
        <w:jc w:val="both"/>
      </w:pPr>
    </w:p>
    <w:p w:rsidR="00320EE0" w:rsidRPr="0023039E" w:rsidRDefault="008F1613" w:rsidP="008F1613">
      <w:pPr>
        <w:ind w:left="720" w:right="144"/>
        <w:jc w:val="center"/>
        <w:rPr>
          <w:b/>
          <w:i/>
        </w:rPr>
        <w:sectPr w:rsidR="00320EE0" w:rsidRPr="0023039E" w:rsidSect="00CA376A">
          <w:footerReference w:type="default" r:id="rId13"/>
          <w:pgSz w:w="12240" w:h="15840" w:code="1"/>
          <w:pgMar w:top="1440" w:right="1008" w:bottom="1440" w:left="1008" w:header="720" w:footer="720" w:gutter="0"/>
          <w:cols w:space="720"/>
          <w:docGrid w:linePitch="360"/>
        </w:sectPr>
      </w:pPr>
      <w:r w:rsidRPr="0023039E">
        <w:rPr>
          <w:b/>
          <w:i/>
        </w:rPr>
        <w:t>END OF EXHIBIT</w:t>
      </w:r>
    </w:p>
    <w:p w:rsidR="008F1613" w:rsidRPr="0023039E" w:rsidRDefault="000E046B" w:rsidP="000E046B">
      <w:pPr>
        <w:pStyle w:val="StandardCont3"/>
        <w:spacing w:after="120"/>
        <w:jc w:val="center"/>
        <w:rPr>
          <w:b/>
          <w:bCs/>
          <w:sz w:val="26"/>
          <w:szCs w:val="26"/>
        </w:rPr>
      </w:pPr>
      <w:r w:rsidRPr="0023039E">
        <w:rPr>
          <w:b/>
          <w:sz w:val="26"/>
          <w:szCs w:val="26"/>
        </w:rPr>
        <w:lastRenderedPageBreak/>
        <w:t xml:space="preserve">EXHIBIT C - </w:t>
      </w:r>
      <w:r w:rsidRPr="0023039E">
        <w:rPr>
          <w:b/>
          <w:bCs/>
          <w:sz w:val="26"/>
          <w:szCs w:val="26"/>
        </w:rPr>
        <w:t>PAYMENT TERMS</w:t>
      </w:r>
    </w:p>
    <w:p w:rsidR="000E046B" w:rsidRPr="0023039E" w:rsidRDefault="000E046B" w:rsidP="000E046B">
      <w:pPr>
        <w:pStyle w:val="StandardCont3"/>
        <w:spacing w:after="120"/>
        <w:jc w:val="center"/>
        <w:rPr>
          <w:b/>
          <w:bCs/>
          <w:sz w:val="18"/>
          <w:szCs w:val="18"/>
        </w:rPr>
      </w:pPr>
    </w:p>
    <w:p w:rsidR="000E046B" w:rsidRPr="0023039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Compensation FOR SERVICES</w:t>
      </w:r>
    </w:p>
    <w:p w:rsidR="000E046B" w:rsidRPr="0023039E" w:rsidRDefault="000E046B" w:rsidP="000E046B">
      <w:pPr>
        <w:pStyle w:val="ExhibitC2"/>
        <w:spacing w:before="120" w:after="120"/>
        <w:jc w:val="both"/>
      </w:pPr>
      <w:r w:rsidRPr="0023039E">
        <w:t>Contractor shall be paid as compensation in full for the Services to be performed under this Agreement per period, as set forth in Table 1, below, which includes all of Contractor’s in-state travel expenses:</w:t>
      </w:r>
    </w:p>
    <w:p w:rsidR="000E046B" w:rsidRPr="0023039E" w:rsidRDefault="000E046B" w:rsidP="000E046B">
      <w:pPr>
        <w:ind w:left="-180"/>
        <w:jc w:val="both"/>
        <w:rPr>
          <w:b/>
          <w:i/>
        </w:rPr>
      </w:pPr>
      <w:r w:rsidRPr="0023039E">
        <w:rPr>
          <w:b/>
        </w:rPr>
        <w:tab/>
      </w:r>
      <w:r w:rsidRPr="0023039E">
        <w:rPr>
          <w:b/>
        </w:rPr>
        <w:tab/>
        <w:t xml:space="preserve">  Table 1:  Compensation for Services</w:t>
      </w:r>
    </w:p>
    <w:p w:rsidR="000E046B" w:rsidRPr="0023039E" w:rsidRDefault="000E046B" w:rsidP="000E046B">
      <w:pPr>
        <w:jc w:val="both"/>
        <w:rPr>
          <w:sz w:val="16"/>
          <w:szCs w:val="16"/>
        </w:rPr>
      </w:pPr>
    </w:p>
    <w:tbl>
      <w:tblPr>
        <w:tblW w:w="9974" w:type="dxa"/>
        <w:tblInd w:w="9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756"/>
        <w:gridCol w:w="1170"/>
        <w:gridCol w:w="1620"/>
        <w:gridCol w:w="1800"/>
        <w:gridCol w:w="2160"/>
        <w:gridCol w:w="1468"/>
      </w:tblGrid>
      <w:tr w:rsidR="00625A59" w:rsidRPr="0023039E" w:rsidTr="00D358EF">
        <w:tc>
          <w:tcPr>
            <w:tcW w:w="1756" w:type="dxa"/>
            <w:shd w:val="clear" w:color="auto" w:fill="F2F2F2" w:themeFill="background1" w:themeFillShade="F2"/>
          </w:tcPr>
          <w:p w:rsidR="00625A59" w:rsidRPr="0023039E" w:rsidRDefault="00625A59" w:rsidP="000E046B">
            <w:pPr>
              <w:pStyle w:val="StandardL2"/>
              <w:numPr>
                <w:ilvl w:val="0"/>
                <w:numId w:val="0"/>
              </w:numPr>
              <w:spacing w:after="0"/>
              <w:rPr>
                <w:b/>
                <w:sz w:val="21"/>
                <w:szCs w:val="21"/>
              </w:rPr>
            </w:pPr>
            <w:r w:rsidRPr="0023039E">
              <w:rPr>
                <w:b/>
                <w:sz w:val="21"/>
                <w:szCs w:val="21"/>
              </w:rPr>
              <w:t>Period of Service</w:t>
            </w:r>
          </w:p>
        </w:tc>
        <w:tc>
          <w:tcPr>
            <w:tcW w:w="1170" w:type="dxa"/>
            <w:shd w:val="clear" w:color="auto" w:fill="F2F2F2" w:themeFill="background1" w:themeFillShade="F2"/>
          </w:tcPr>
          <w:p w:rsidR="00625A59" w:rsidRPr="0023039E" w:rsidRDefault="00625A59" w:rsidP="001510CB">
            <w:pPr>
              <w:pStyle w:val="StandardL2"/>
              <w:numPr>
                <w:ilvl w:val="0"/>
                <w:numId w:val="0"/>
              </w:numPr>
              <w:spacing w:after="0"/>
              <w:ind w:left="-108" w:right="-108"/>
              <w:jc w:val="center"/>
              <w:rPr>
                <w:b/>
                <w:sz w:val="21"/>
                <w:szCs w:val="21"/>
              </w:rPr>
            </w:pPr>
            <w:r w:rsidRPr="0023039E">
              <w:rPr>
                <w:b/>
                <w:sz w:val="21"/>
                <w:szCs w:val="21"/>
              </w:rPr>
              <w:t>Fiscal Year</w:t>
            </w:r>
          </w:p>
        </w:tc>
        <w:tc>
          <w:tcPr>
            <w:tcW w:w="1620" w:type="dxa"/>
            <w:shd w:val="clear" w:color="auto" w:fill="F2F2F2" w:themeFill="background1" w:themeFillShade="F2"/>
          </w:tcPr>
          <w:p w:rsidR="00625A59" w:rsidRPr="0023039E" w:rsidRDefault="00625A59" w:rsidP="000E046B">
            <w:pPr>
              <w:pStyle w:val="StandardL2"/>
              <w:numPr>
                <w:ilvl w:val="0"/>
                <w:numId w:val="0"/>
              </w:numPr>
              <w:spacing w:after="0"/>
              <w:rPr>
                <w:b/>
                <w:sz w:val="21"/>
                <w:szCs w:val="21"/>
              </w:rPr>
            </w:pPr>
            <w:r w:rsidRPr="0023039E">
              <w:rPr>
                <w:b/>
                <w:sz w:val="21"/>
                <w:szCs w:val="21"/>
              </w:rPr>
              <w:t>Period Amount</w:t>
            </w:r>
          </w:p>
        </w:tc>
        <w:tc>
          <w:tcPr>
            <w:tcW w:w="1800" w:type="dxa"/>
            <w:shd w:val="clear" w:color="auto" w:fill="F2F2F2" w:themeFill="background1" w:themeFillShade="F2"/>
          </w:tcPr>
          <w:p w:rsidR="00625A59" w:rsidRPr="0023039E" w:rsidRDefault="00625A59" w:rsidP="000E046B">
            <w:pPr>
              <w:pStyle w:val="StandardL2"/>
              <w:numPr>
                <w:ilvl w:val="0"/>
                <w:numId w:val="0"/>
              </w:numPr>
              <w:spacing w:after="0"/>
              <w:ind w:right="-90"/>
              <w:rPr>
                <w:b/>
                <w:sz w:val="21"/>
                <w:szCs w:val="21"/>
              </w:rPr>
            </w:pPr>
            <w:r w:rsidRPr="0023039E">
              <w:rPr>
                <w:b/>
                <w:sz w:val="21"/>
                <w:szCs w:val="21"/>
              </w:rPr>
              <w:t>Monthly Amount</w:t>
            </w:r>
          </w:p>
        </w:tc>
        <w:tc>
          <w:tcPr>
            <w:tcW w:w="2160" w:type="dxa"/>
            <w:shd w:val="clear" w:color="auto" w:fill="F2F2F2" w:themeFill="background1" w:themeFillShade="F2"/>
          </w:tcPr>
          <w:p w:rsidR="00625A59" w:rsidRPr="0023039E" w:rsidRDefault="00625A59" w:rsidP="000E046B">
            <w:pPr>
              <w:pStyle w:val="StandardL2"/>
              <w:numPr>
                <w:ilvl w:val="0"/>
                <w:numId w:val="0"/>
              </w:numPr>
              <w:spacing w:after="0"/>
              <w:rPr>
                <w:b/>
                <w:sz w:val="21"/>
                <w:szCs w:val="21"/>
              </w:rPr>
            </w:pPr>
            <w:r w:rsidRPr="0023039E">
              <w:rPr>
                <w:b/>
                <w:sz w:val="21"/>
                <w:szCs w:val="21"/>
              </w:rPr>
              <w:t>Number of Monthly Payments per Period</w:t>
            </w:r>
          </w:p>
        </w:tc>
        <w:tc>
          <w:tcPr>
            <w:tcW w:w="1468" w:type="dxa"/>
            <w:shd w:val="clear" w:color="auto" w:fill="F2F2F2" w:themeFill="background1" w:themeFillShade="F2"/>
          </w:tcPr>
          <w:p w:rsidR="00625A59" w:rsidRPr="0023039E" w:rsidRDefault="00625A59" w:rsidP="001510CB">
            <w:pPr>
              <w:pStyle w:val="StandardL2"/>
              <w:numPr>
                <w:ilvl w:val="0"/>
                <w:numId w:val="0"/>
              </w:numPr>
              <w:spacing w:after="0"/>
              <w:ind w:right="-80"/>
              <w:rPr>
                <w:b/>
                <w:sz w:val="21"/>
                <w:szCs w:val="21"/>
              </w:rPr>
            </w:pPr>
            <w:r w:rsidRPr="0023039E">
              <w:rPr>
                <w:b/>
                <w:sz w:val="21"/>
                <w:szCs w:val="21"/>
              </w:rPr>
              <w:t>Invoice Due By Date</w:t>
            </w:r>
          </w:p>
        </w:tc>
      </w:tr>
      <w:tr w:rsidR="00625A59" w:rsidRPr="0023039E" w:rsidTr="00D358EF">
        <w:tc>
          <w:tcPr>
            <w:tcW w:w="1756" w:type="dxa"/>
          </w:tcPr>
          <w:p w:rsidR="00625A59" w:rsidRPr="0023039E" w:rsidRDefault="00625A59" w:rsidP="000E046B">
            <w:pPr>
              <w:pStyle w:val="StandardL2"/>
              <w:numPr>
                <w:ilvl w:val="0"/>
                <w:numId w:val="0"/>
              </w:numPr>
              <w:spacing w:after="0"/>
              <w:rPr>
                <w:sz w:val="20"/>
              </w:rPr>
            </w:pPr>
            <w:r w:rsidRPr="0023039E">
              <w:rPr>
                <w:sz w:val="20"/>
              </w:rPr>
              <w:t>[insert period]</w:t>
            </w:r>
          </w:p>
        </w:tc>
        <w:tc>
          <w:tcPr>
            <w:tcW w:w="1170" w:type="dxa"/>
          </w:tcPr>
          <w:p w:rsidR="00625A59" w:rsidRPr="0023039E" w:rsidRDefault="00625A59" w:rsidP="000E046B">
            <w:pPr>
              <w:pStyle w:val="StandardL2"/>
              <w:numPr>
                <w:ilvl w:val="0"/>
                <w:numId w:val="0"/>
              </w:numPr>
              <w:spacing w:after="0"/>
              <w:rPr>
                <w:sz w:val="20"/>
              </w:rPr>
            </w:pPr>
            <w:r w:rsidRPr="0023039E">
              <w:rPr>
                <w:sz w:val="20"/>
              </w:rPr>
              <w:t>[insert fiscal year]</w:t>
            </w:r>
          </w:p>
        </w:tc>
        <w:tc>
          <w:tcPr>
            <w:tcW w:w="1620" w:type="dxa"/>
          </w:tcPr>
          <w:p w:rsidR="00625A59" w:rsidRPr="0023039E" w:rsidRDefault="00625A59" w:rsidP="000E046B">
            <w:pPr>
              <w:pStyle w:val="StandardL2"/>
              <w:numPr>
                <w:ilvl w:val="0"/>
                <w:numId w:val="0"/>
              </w:numPr>
              <w:spacing w:after="0"/>
              <w:rPr>
                <w:sz w:val="20"/>
              </w:rPr>
            </w:pPr>
            <w:r w:rsidRPr="0023039E">
              <w:rPr>
                <w:sz w:val="20"/>
              </w:rPr>
              <w:t>$[insert amount]</w:t>
            </w:r>
          </w:p>
        </w:tc>
        <w:tc>
          <w:tcPr>
            <w:tcW w:w="1800" w:type="dxa"/>
          </w:tcPr>
          <w:p w:rsidR="00625A59" w:rsidRPr="0023039E" w:rsidRDefault="00625A59" w:rsidP="000E046B">
            <w:pPr>
              <w:pStyle w:val="StandardL2"/>
              <w:numPr>
                <w:ilvl w:val="0"/>
                <w:numId w:val="0"/>
              </w:numPr>
              <w:spacing w:after="0"/>
              <w:rPr>
                <w:sz w:val="20"/>
              </w:rPr>
            </w:pPr>
            <w:r w:rsidRPr="0023039E">
              <w:rPr>
                <w:sz w:val="20"/>
              </w:rPr>
              <w:t>$[insert amount]</w:t>
            </w:r>
          </w:p>
        </w:tc>
        <w:tc>
          <w:tcPr>
            <w:tcW w:w="2160" w:type="dxa"/>
          </w:tcPr>
          <w:p w:rsidR="00625A59" w:rsidRPr="0023039E" w:rsidRDefault="00625A59" w:rsidP="000E046B">
            <w:pPr>
              <w:pStyle w:val="StandardL2"/>
              <w:numPr>
                <w:ilvl w:val="0"/>
                <w:numId w:val="0"/>
              </w:numPr>
              <w:spacing w:after="0"/>
              <w:rPr>
                <w:sz w:val="20"/>
              </w:rPr>
            </w:pPr>
            <w:r w:rsidRPr="0023039E">
              <w:rPr>
                <w:sz w:val="20"/>
              </w:rPr>
              <w:t>[insert amount]</w:t>
            </w:r>
          </w:p>
        </w:tc>
        <w:tc>
          <w:tcPr>
            <w:tcW w:w="1468" w:type="dxa"/>
          </w:tcPr>
          <w:p w:rsidR="00625A59" w:rsidRPr="0023039E" w:rsidRDefault="00625A59" w:rsidP="001510CB">
            <w:pPr>
              <w:pStyle w:val="StandardL2"/>
              <w:numPr>
                <w:ilvl w:val="0"/>
                <w:numId w:val="0"/>
              </w:numPr>
              <w:spacing w:after="0"/>
              <w:ind w:right="-80"/>
              <w:rPr>
                <w:sz w:val="21"/>
                <w:szCs w:val="21"/>
              </w:rPr>
            </w:pPr>
          </w:p>
        </w:tc>
      </w:tr>
    </w:tbl>
    <w:p w:rsidR="000E046B" w:rsidRPr="0023039E" w:rsidRDefault="000E046B" w:rsidP="000E046B">
      <w:pPr>
        <w:jc w:val="both"/>
        <w:rPr>
          <w:sz w:val="12"/>
          <w:szCs w:val="12"/>
        </w:rPr>
      </w:pPr>
    </w:p>
    <w:p w:rsidR="000E046B" w:rsidRPr="0023039E" w:rsidRDefault="000E046B" w:rsidP="000E046B">
      <w:pPr>
        <w:pStyle w:val="ExhibitC2"/>
        <w:spacing w:before="120" w:after="120"/>
        <w:jc w:val="both"/>
      </w:pPr>
      <w:r w:rsidRPr="0023039E">
        <w:t xml:space="preserve">Funds for a fiscal year are available at the point the Budget Act of said fiscal year passes; e.g., fiscal year </w:t>
      </w:r>
      <w:r w:rsidR="00DD2F0C" w:rsidRPr="0023039E">
        <w:t>2013</w:t>
      </w:r>
      <w:r w:rsidRPr="0023039E">
        <w:t>-201</w:t>
      </w:r>
      <w:r w:rsidR="00DD2F0C" w:rsidRPr="0023039E">
        <w:t>4</w:t>
      </w:r>
      <w:r w:rsidRPr="0023039E">
        <w:t xml:space="preserve"> funds are available at the point the Budget Act of fiscal year 201</w:t>
      </w:r>
      <w:r w:rsidR="00DD2F0C" w:rsidRPr="0023039E">
        <w:t>3</w:t>
      </w:r>
      <w:r w:rsidRPr="0023039E">
        <w:t>-201</w:t>
      </w:r>
      <w:r w:rsidR="00DD2F0C" w:rsidRPr="0023039E">
        <w:t>4</w:t>
      </w:r>
      <w:r w:rsidRPr="0023039E">
        <w:t xml:space="preserve"> passes.</w:t>
      </w:r>
    </w:p>
    <w:p w:rsidR="000E046B" w:rsidRPr="0023039E" w:rsidRDefault="000E046B" w:rsidP="000E046B">
      <w:pPr>
        <w:pStyle w:val="ExhibitC2"/>
        <w:spacing w:before="120" w:after="120"/>
        <w:jc w:val="both"/>
      </w:pPr>
      <w:r w:rsidRPr="0023039E">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0E046B" w:rsidRPr="0023039E" w:rsidRDefault="000E046B" w:rsidP="001D5649">
      <w:pPr>
        <w:pStyle w:val="ExhibitA1"/>
        <w:numPr>
          <w:ilvl w:val="0"/>
          <w:numId w:val="52"/>
        </w:numPr>
        <w:tabs>
          <w:tab w:val="clear" w:pos="1296"/>
          <w:tab w:val="clear" w:pos="2016"/>
          <w:tab w:val="clear" w:pos="2592"/>
          <w:tab w:val="clear" w:pos="4176"/>
          <w:tab w:val="clear" w:pos="10710"/>
        </w:tabs>
        <w:spacing w:before="240" w:after="120"/>
        <w:jc w:val="both"/>
        <w:rPr>
          <w:rFonts w:ascii="Times New Roman Bold" w:hAnsi="Times New Roman Bold"/>
          <w:b/>
          <w:caps/>
          <w:szCs w:val="20"/>
          <w:u w:val="none"/>
        </w:rPr>
      </w:pPr>
      <w:r w:rsidRPr="0023039E">
        <w:rPr>
          <w:rFonts w:ascii="Times New Roman Bold" w:hAnsi="Times New Roman Bold"/>
          <w:b/>
          <w:caps/>
          <w:szCs w:val="20"/>
          <w:u w:val="none"/>
        </w:rPr>
        <w:t>reimbursement for Extraordinary Expenses</w:t>
      </w:r>
    </w:p>
    <w:p w:rsidR="000E046B" w:rsidRPr="0023039E" w:rsidRDefault="000E046B" w:rsidP="008C16D8">
      <w:pPr>
        <w:pStyle w:val="ExhibitC2"/>
        <w:numPr>
          <w:ilvl w:val="1"/>
          <w:numId w:val="53"/>
        </w:numPr>
        <w:spacing w:before="120" w:after="120"/>
        <w:jc w:val="both"/>
      </w:pPr>
      <w:r w:rsidRPr="0023039E">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0E046B" w:rsidRPr="0023039E" w:rsidRDefault="000E046B" w:rsidP="000E046B">
      <w:pPr>
        <w:pStyle w:val="ExhibitC3"/>
        <w:keepNext w:val="0"/>
        <w:tabs>
          <w:tab w:val="clear" w:pos="2592"/>
          <w:tab w:val="clear" w:pos="4176"/>
          <w:tab w:val="clear" w:pos="10710"/>
        </w:tabs>
        <w:spacing w:before="120" w:after="120"/>
        <w:ind w:right="0"/>
        <w:jc w:val="both"/>
        <w:outlineLvl w:val="9"/>
      </w:pPr>
      <w:r w:rsidRPr="0023039E">
        <w:t xml:space="preserve">Contractor shall notify the AOC if extraordinary expenses will include travel, in advance of any expenditure.  For overnight travel, in accordance with AOC approved guidelines, the AOC will reimburse Contractor as follows: meals </w:t>
      </w:r>
      <w:proofErr w:type="gramStart"/>
      <w:r w:rsidRPr="0023039E">
        <w:t>shall be reimbursed</w:t>
      </w:r>
      <w:proofErr w:type="gramEnd"/>
      <w:r w:rsidRPr="0023039E">
        <w:t xml:space="preserve"> at the actual cost incurred, not to exceed the following maximum amounts per person per day:  breakfast </w:t>
      </w:r>
      <w:r w:rsidRPr="00CF3532">
        <w:rPr>
          <w:b/>
          <w:bCs/>
        </w:rPr>
        <w:t xml:space="preserve">= </w:t>
      </w:r>
      <w:r w:rsidRPr="00CF3532">
        <w:rPr>
          <w:bCs/>
        </w:rPr>
        <w:t>$6.00</w:t>
      </w:r>
      <w:r w:rsidRPr="0023039E">
        <w:t xml:space="preserve">; lunch = </w:t>
      </w:r>
      <w:r w:rsidRPr="00CF3532">
        <w:rPr>
          <w:bCs/>
        </w:rPr>
        <w:t>$10.00</w:t>
      </w:r>
      <w:r w:rsidRPr="0023039E">
        <w:t xml:space="preserve">; dinner = </w:t>
      </w:r>
      <w:r w:rsidRPr="00CF3532">
        <w:rPr>
          <w:bCs/>
        </w:rPr>
        <w:t>$18.00</w:t>
      </w:r>
      <w:r w:rsidRPr="0023039E">
        <w:t xml:space="preserve">; and/or incidentals = </w:t>
      </w:r>
      <w:r w:rsidRPr="00CF3532">
        <w:rPr>
          <w:bCs/>
        </w:rPr>
        <w:t>$6.00</w:t>
      </w:r>
      <w:r w:rsidRPr="0023039E">
        <w:t xml:space="preserve">.  The AOC shall reimburse Contractor for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t>
      </w:r>
      <w:proofErr w:type="gramStart"/>
      <w:r w:rsidRPr="0023039E">
        <w:t>will be reimbursed</w:t>
      </w:r>
      <w:proofErr w:type="gramEnd"/>
      <w:r w:rsidRPr="0023039E">
        <w:t xml:space="preserve"> based on lowest available coach fare.  Reasonable ground transportation expenses will be reimbursed at applicable IRS approved rate per mile</w:t>
      </w:r>
      <w:proofErr w:type="gramStart"/>
      <w:r w:rsidRPr="0023039E">
        <w:t xml:space="preserve">. </w:t>
      </w:r>
      <w:proofErr w:type="gramEnd"/>
      <w:r w:rsidRPr="0023039E">
        <w:t xml:space="preserve">The AOC will reimburse Contractor for expert witnesses at actual cost and expenses incurred, when substantiated by copies of the expert witnesses’ invoices.  </w:t>
      </w:r>
    </w:p>
    <w:p w:rsidR="00DD2F0C" w:rsidRPr="0023039E" w:rsidRDefault="00DD2F0C" w:rsidP="00DD2F0C">
      <w:pPr>
        <w:pStyle w:val="ExhibitC2"/>
        <w:spacing w:before="120" w:after="120"/>
      </w:pPr>
      <w:r w:rsidRPr="0023039E">
        <w:lastRenderedPageBreak/>
        <w:t>Contractor shall be reimbursed in full for allowable extraordinary expenses incurred under this Agreement per period as set forth in Table 2, below.</w:t>
      </w:r>
    </w:p>
    <w:p w:rsidR="00A2380A" w:rsidRPr="0023039E" w:rsidRDefault="00CD5535">
      <w:pPr>
        <w:ind w:left="1260"/>
        <w:jc w:val="both"/>
        <w:rPr>
          <w:b/>
        </w:rPr>
      </w:pPr>
      <w:r w:rsidRPr="0023039E">
        <w:rPr>
          <w:b/>
        </w:rPr>
        <w:t>Table 2:  Reimbursement for Extraordinary Expenses</w:t>
      </w:r>
    </w:p>
    <w:p w:rsidR="00A2380A" w:rsidRPr="0023039E" w:rsidRDefault="00A2380A">
      <w:pPr>
        <w:ind w:left="1260"/>
        <w:jc w:val="both"/>
        <w:rPr>
          <w:b/>
        </w:rPr>
      </w:pPr>
    </w:p>
    <w:tbl>
      <w:tblPr>
        <w:tblStyle w:val="TableGrid"/>
        <w:tblW w:w="0" w:type="auto"/>
        <w:tblInd w:w="1368" w:type="dxa"/>
        <w:tblLook w:val="04A0"/>
      </w:tblPr>
      <w:tblGrid>
        <w:gridCol w:w="3150"/>
        <w:gridCol w:w="1530"/>
        <w:gridCol w:w="1800"/>
        <w:gridCol w:w="2160"/>
      </w:tblGrid>
      <w:tr w:rsidR="00DD2F0C" w:rsidRPr="0023039E" w:rsidTr="00785A33">
        <w:tc>
          <w:tcPr>
            <w:tcW w:w="3150" w:type="dxa"/>
            <w:shd w:val="clear" w:color="auto" w:fill="F2F2F2" w:themeFill="background1" w:themeFillShade="F2"/>
          </w:tcPr>
          <w:p w:rsidR="00DD2F0C" w:rsidRPr="0023039E" w:rsidRDefault="00DD2F0C" w:rsidP="007E5F37">
            <w:pPr>
              <w:pStyle w:val="ExhibitC2"/>
              <w:numPr>
                <w:ilvl w:val="0"/>
                <w:numId w:val="0"/>
              </w:numPr>
              <w:rPr>
                <w:sz w:val="22"/>
                <w:szCs w:val="22"/>
              </w:rPr>
            </w:pPr>
            <w:r w:rsidRPr="0023039E">
              <w:rPr>
                <w:b/>
                <w:sz w:val="22"/>
                <w:szCs w:val="22"/>
              </w:rPr>
              <w:t>Allowable Period for Extraordinary Expenses</w:t>
            </w:r>
          </w:p>
        </w:tc>
        <w:tc>
          <w:tcPr>
            <w:tcW w:w="1530" w:type="dxa"/>
            <w:shd w:val="clear" w:color="auto" w:fill="F2F2F2" w:themeFill="background1" w:themeFillShade="F2"/>
          </w:tcPr>
          <w:p w:rsidR="00DD2F0C" w:rsidRPr="0023039E" w:rsidRDefault="00DD2F0C" w:rsidP="007E5F37">
            <w:pPr>
              <w:pStyle w:val="ExhibitC2"/>
              <w:numPr>
                <w:ilvl w:val="0"/>
                <w:numId w:val="0"/>
              </w:numPr>
              <w:jc w:val="center"/>
              <w:rPr>
                <w:sz w:val="22"/>
                <w:szCs w:val="22"/>
              </w:rPr>
            </w:pPr>
            <w:r w:rsidRPr="0023039E">
              <w:rPr>
                <w:b/>
                <w:sz w:val="22"/>
                <w:szCs w:val="22"/>
              </w:rPr>
              <w:t>Fiscal Year</w:t>
            </w:r>
          </w:p>
        </w:tc>
        <w:tc>
          <w:tcPr>
            <w:tcW w:w="1800" w:type="dxa"/>
            <w:shd w:val="clear" w:color="auto" w:fill="F2F2F2" w:themeFill="background1" w:themeFillShade="F2"/>
          </w:tcPr>
          <w:p w:rsidR="00DD2F0C" w:rsidRPr="0023039E" w:rsidRDefault="00DD2F0C" w:rsidP="007E5F37">
            <w:pPr>
              <w:pStyle w:val="ExhibitC2"/>
              <w:numPr>
                <w:ilvl w:val="0"/>
                <w:numId w:val="0"/>
              </w:numPr>
              <w:jc w:val="center"/>
              <w:rPr>
                <w:sz w:val="22"/>
                <w:szCs w:val="22"/>
              </w:rPr>
            </w:pPr>
            <w:r w:rsidRPr="0023039E">
              <w:rPr>
                <w:b/>
                <w:sz w:val="22"/>
                <w:szCs w:val="22"/>
              </w:rPr>
              <w:t>Period Amount</w:t>
            </w:r>
          </w:p>
        </w:tc>
        <w:tc>
          <w:tcPr>
            <w:tcW w:w="2160" w:type="dxa"/>
            <w:shd w:val="clear" w:color="auto" w:fill="F2F2F2" w:themeFill="background1" w:themeFillShade="F2"/>
            <w:vAlign w:val="center"/>
          </w:tcPr>
          <w:p w:rsidR="00DD2F0C" w:rsidRPr="0023039E" w:rsidRDefault="00DD2F0C" w:rsidP="007E5F37">
            <w:pPr>
              <w:pStyle w:val="StandardL2"/>
              <w:numPr>
                <w:ilvl w:val="0"/>
                <w:numId w:val="0"/>
              </w:numPr>
              <w:spacing w:after="0"/>
              <w:jc w:val="center"/>
              <w:rPr>
                <w:b/>
                <w:sz w:val="22"/>
                <w:szCs w:val="22"/>
              </w:rPr>
            </w:pPr>
            <w:r w:rsidRPr="0023039E">
              <w:rPr>
                <w:b/>
                <w:sz w:val="22"/>
                <w:szCs w:val="22"/>
              </w:rPr>
              <w:t xml:space="preserve">Invoices Due </w:t>
            </w:r>
          </w:p>
          <w:p w:rsidR="00DD2F0C" w:rsidRPr="0023039E" w:rsidRDefault="00DD2F0C" w:rsidP="007E5F37">
            <w:pPr>
              <w:pStyle w:val="StandardL2"/>
              <w:numPr>
                <w:ilvl w:val="0"/>
                <w:numId w:val="0"/>
              </w:numPr>
              <w:spacing w:after="0"/>
              <w:jc w:val="center"/>
              <w:rPr>
                <w:b/>
                <w:sz w:val="22"/>
                <w:szCs w:val="22"/>
              </w:rPr>
            </w:pPr>
            <w:r w:rsidRPr="0023039E">
              <w:rPr>
                <w:b/>
                <w:sz w:val="22"/>
                <w:szCs w:val="22"/>
              </w:rPr>
              <w:t>By Date</w:t>
            </w:r>
          </w:p>
        </w:tc>
      </w:tr>
      <w:tr w:rsidR="00DD2F0C" w:rsidRPr="0023039E" w:rsidTr="00785A33">
        <w:tc>
          <w:tcPr>
            <w:tcW w:w="3150" w:type="dxa"/>
          </w:tcPr>
          <w:p w:rsidR="00DD2F0C" w:rsidRPr="0023039E" w:rsidRDefault="00DD2F0C" w:rsidP="007E5F37">
            <w:pPr>
              <w:pStyle w:val="ExhibitC2"/>
              <w:numPr>
                <w:ilvl w:val="0"/>
                <w:numId w:val="0"/>
              </w:numPr>
              <w:jc w:val="both"/>
              <w:rPr>
                <w:sz w:val="22"/>
                <w:szCs w:val="22"/>
              </w:rPr>
            </w:pPr>
            <w:r w:rsidRPr="0023039E">
              <w:t>[insert period]</w:t>
            </w:r>
          </w:p>
        </w:tc>
        <w:tc>
          <w:tcPr>
            <w:tcW w:w="1530" w:type="dxa"/>
          </w:tcPr>
          <w:p w:rsidR="00DD2F0C" w:rsidRPr="0023039E" w:rsidRDefault="00DD2F0C" w:rsidP="007E5F37">
            <w:pPr>
              <w:pStyle w:val="ExhibitC2"/>
              <w:numPr>
                <w:ilvl w:val="0"/>
                <w:numId w:val="0"/>
              </w:numPr>
              <w:jc w:val="center"/>
              <w:rPr>
                <w:sz w:val="22"/>
                <w:szCs w:val="22"/>
              </w:rPr>
            </w:pPr>
            <w:r w:rsidRPr="0023039E">
              <w:t>[insert fiscal year]</w:t>
            </w:r>
          </w:p>
        </w:tc>
        <w:tc>
          <w:tcPr>
            <w:tcW w:w="1800" w:type="dxa"/>
          </w:tcPr>
          <w:p w:rsidR="00DD2F0C" w:rsidRPr="0023039E" w:rsidRDefault="00DD2F0C" w:rsidP="007E5F37">
            <w:pPr>
              <w:pStyle w:val="ExhibitC2"/>
              <w:numPr>
                <w:ilvl w:val="0"/>
                <w:numId w:val="0"/>
              </w:numPr>
              <w:jc w:val="center"/>
              <w:rPr>
                <w:sz w:val="22"/>
                <w:szCs w:val="22"/>
              </w:rPr>
            </w:pPr>
            <w:r w:rsidRPr="0023039E">
              <w:t>$[insert amount]</w:t>
            </w:r>
          </w:p>
        </w:tc>
        <w:tc>
          <w:tcPr>
            <w:tcW w:w="2160" w:type="dxa"/>
          </w:tcPr>
          <w:p w:rsidR="00DD2F0C" w:rsidRPr="0023039E" w:rsidRDefault="00DD2F0C" w:rsidP="00893323">
            <w:pPr>
              <w:pStyle w:val="ExhibitC2"/>
              <w:numPr>
                <w:ilvl w:val="0"/>
                <w:numId w:val="0"/>
              </w:numPr>
              <w:jc w:val="center"/>
              <w:rPr>
                <w:sz w:val="22"/>
                <w:szCs w:val="22"/>
              </w:rPr>
            </w:pPr>
            <w:r w:rsidRPr="0023039E">
              <w:t xml:space="preserve">April 30, [Insert year] </w:t>
            </w:r>
            <w:r w:rsidR="00893323" w:rsidRPr="0023039E">
              <w:t xml:space="preserve"> </w:t>
            </w:r>
          </w:p>
        </w:tc>
      </w:tr>
    </w:tbl>
    <w:p w:rsidR="00DD2F0C" w:rsidRPr="0023039E" w:rsidRDefault="00DD2F0C" w:rsidP="00DD2F0C">
      <w:pPr>
        <w:pStyle w:val="ExhibitC2"/>
        <w:numPr>
          <w:ilvl w:val="0"/>
          <w:numId w:val="0"/>
        </w:numPr>
        <w:ind w:left="720"/>
        <w:rPr>
          <w:sz w:val="12"/>
          <w:szCs w:val="12"/>
        </w:rPr>
      </w:pPr>
    </w:p>
    <w:p w:rsidR="000E046B" w:rsidRPr="0023039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reimbursement for conflict appointment payments</w:t>
      </w:r>
    </w:p>
    <w:p w:rsidR="000E046B" w:rsidRPr="0023039E" w:rsidRDefault="000E046B" w:rsidP="000E046B">
      <w:pPr>
        <w:pStyle w:val="ExhibitC2"/>
        <w:numPr>
          <w:ilvl w:val="1"/>
          <w:numId w:val="54"/>
        </w:numPr>
        <w:spacing w:before="120" w:after="120"/>
        <w:jc w:val="both"/>
      </w:pPr>
      <w:r w:rsidRPr="0023039E">
        <w:t>The AOC will reimburse Contractor for payment of conflict counsel appointed pursuant to Exhibit B, Sections 2 and 3, billed in the manner set forth in Section 4, below.</w:t>
      </w:r>
    </w:p>
    <w:p w:rsidR="000E046B" w:rsidRPr="0023039E" w:rsidRDefault="000E046B" w:rsidP="000E046B">
      <w:pPr>
        <w:pStyle w:val="ExhibitC2"/>
        <w:spacing w:before="120" w:after="120"/>
        <w:jc w:val="both"/>
      </w:pPr>
      <w:r w:rsidRPr="0023039E">
        <w:t>Contractor will submit requests for reimbursement on a monthly basis on a separate invoice form, along with a report that includes the following information:</w:t>
      </w:r>
    </w:p>
    <w:p w:rsidR="000E046B" w:rsidRPr="0023039E" w:rsidRDefault="000E046B" w:rsidP="000E046B">
      <w:pPr>
        <w:pStyle w:val="ExhibitC3"/>
        <w:keepNext w:val="0"/>
        <w:tabs>
          <w:tab w:val="clear" w:pos="2592"/>
          <w:tab w:val="clear" w:pos="4176"/>
          <w:tab w:val="clear" w:pos="10710"/>
        </w:tabs>
        <w:spacing w:before="120" w:after="120"/>
        <w:ind w:right="0"/>
        <w:jc w:val="both"/>
        <w:outlineLvl w:val="9"/>
      </w:pPr>
      <w:r w:rsidRPr="0023039E">
        <w:t>For each conflict appointment:</w:t>
      </w:r>
    </w:p>
    <w:p w:rsidR="000E046B" w:rsidRPr="0023039E" w:rsidRDefault="000E046B" w:rsidP="000E046B">
      <w:pPr>
        <w:pStyle w:val="ExhibitC4"/>
        <w:jc w:val="both"/>
      </w:pPr>
      <w:r w:rsidRPr="0023039E">
        <w:t>Attorney Name;</w:t>
      </w:r>
    </w:p>
    <w:p w:rsidR="000E046B" w:rsidRPr="0023039E" w:rsidRDefault="000E046B" w:rsidP="000E046B">
      <w:pPr>
        <w:pStyle w:val="ExhibitC4"/>
        <w:jc w:val="both"/>
      </w:pPr>
      <w:r w:rsidRPr="0023039E">
        <w:t>Case Number;</w:t>
      </w:r>
    </w:p>
    <w:p w:rsidR="000E046B" w:rsidRPr="0023039E" w:rsidRDefault="000E046B" w:rsidP="000E046B">
      <w:pPr>
        <w:pStyle w:val="ExhibitC4"/>
        <w:jc w:val="both"/>
      </w:pPr>
      <w:r w:rsidRPr="0023039E">
        <w:t>Appointment Date;</w:t>
      </w:r>
    </w:p>
    <w:p w:rsidR="000E046B" w:rsidRPr="0023039E" w:rsidRDefault="000E046B" w:rsidP="000E046B">
      <w:pPr>
        <w:pStyle w:val="ExhibitC4"/>
        <w:jc w:val="both"/>
      </w:pPr>
      <w:r w:rsidRPr="0023039E">
        <w:t>Payment Date; and</w:t>
      </w:r>
    </w:p>
    <w:p w:rsidR="000E046B" w:rsidRPr="0023039E" w:rsidRDefault="000E046B" w:rsidP="000E046B">
      <w:pPr>
        <w:pStyle w:val="ExhibitC4"/>
        <w:jc w:val="both"/>
      </w:pPr>
      <w:r w:rsidRPr="0023039E">
        <w:t>Payment Amount;</w:t>
      </w:r>
    </w:p>
    <w:p w:rsidR="000E046B" w:rsidRPr="0023039E" w:rsidRDefault="000E046B" w:rsidP="000E046B">
      <w:pPr>
        <w:pStyle w:val="ExhibitC3"/>
        <w:keepNext w:val="0"/>
        <w:tabs>
          <w:tab w:val="clear" w:pos="2592"/>
          <w:tab w:val="clear" w:pos="4176"/>
          <w:tab w:val="clear" w:pos="10710"/>
        </w:tabs>
        <w:spacing w:before="120" w:after="120"/>
        <w:ind w:right="0"/>
        <w:jc w:val="both"/>
        <w:outlineLvl w:val="9"/>
      </w:pPr>
      <w:r w:rsidRPr="0023039E">
        <w:t>Total number of conflict appointments made during that month; and</w:t>
      </w:r>
    </w:p>
    <w:p w:rsidR="000E046B" w:rsidRPr="0023039E" w:rsidRDefault="000E046B" w:rsidP="000E046B">
      <w:pPr>
        <w:pStyle w:val="ExhibitC3"/>
        <w:keepNext w:val="0"/>
        <w:tabs>
          <w:tab w:val="clear" w:pos="2592"/>
          <w:tab w:val="clear" w:pos="4176"/>
          <w:tab w:val="clear" w:pos="10710"/>
        </w:tabs>
        <w:spacing w:before="120" w:after="120"/>
        <w:ind w:right="0"/>
        <w:jc w:val="both"/>
        <w:outlineLvl w:val="9"/>
      </w:pPr>
      <w:r w:rsidRPr="0023039E">
        <w:t>Total number and amount of conflict payments made during that month.</w:t>
      </w:r>
    </w:p>
    <w:p w:rsidR="00DD2F0C" w:rsidRPr="0023039E" w:rsidRDefault="00DD2F0C" w:rsidP="00DD2F0C">
      <w:pPr>
        <w:pStyle w:val="ExhibitC2"/>
        <w:spacing w:before="120" w:after="120"/>
      </w:pPr>
      <w:r w:rsidRPr="0023039E">
        <w:t>Contractor shall be reimbursed in full for conflicts appointment payments incurred under this Agreement per period as set forth in Table 3, below.</w:t>
      </w:r>
    </w:p>
    <w:p w:rsidR="00A2380A" w:rsidRPr="0023039E" w:rsidRDefault="00CD5535">
      <w:pPr>
        <w:ind w:left="1260"/>
        <w:jc w:val="both"/>
        <w:rPr>
          <w:b/>
        </w:rPr>
      </w:pPr>
      <w:r w:rsidRPr="0023039E">
        <w:rPr>
          <w:b/>
        </w:rPr>
        <w:t>Table 3:  Reimbursement for Conflict Appointment Payments</w:t>
      </w:r>
    </w:p>
    <w:p w:rsidR="00A2380A" w:rsidRPr="0023039E" w:rsidRDefault="00A2380A">
      <w:pPr>
        <w:ind w:left="1260"/>
        <w:jc w:val="both"/>
        <w:rPr>
          <w:b/>
        </w:rPr>
      </w:pPr>
    </w:p>
    <w:tbl>
      <w:tblPr>
        <w:tblStyle w:val="TableGrid"/>
        <w:tblW w:w="0" w:type="auto"/>
        <w:tblInd w:w="1368" w:type="dxa"/>
        <w:tblLook w:val="04A0"/>
      </w:tblPr>
      <w:tblGrid>
        <w:gridCol w:w="3150"/>
        <w:gridCol w:w="1530"/>
        <w:gridCol w:w="1800"/>
        <w:gridCol w:w="2160"/>
      </w:tblGrid>
      <w:tr w:rsidR="00DD2F0C" w:rsidRPr="0023039E" w:rsidTr="00785A33">
        <w:tc>
          <w:tcPr>
            <w:tcW w:w="3150" w:type="dxa"/>
            <w:shd w:val="clear" w:color="auto" w:fill="F2F2F2" w:themeFill="background1" w:themeFillShade="F2"/>
          </w:tcPr>
          <w:p w:rsidR="00DD2F0C" w:rsidRPr="0023039E" w:rsidRDefault="00DD2F0C" w:rsidP="007E5F37">
            <w:pPr>
              <w:pStyle w:val="ExhibitC2"/>
              <w:numPr>
                <w:ilvl w:val="0"/>
                <w:numId w:val="0"/>
              </w:numPr>
              <w:rPr>
                <w:sz w:val="22"/>
                <w:szCs w:val="22"/>
              </w:rPr>
            </w:pPr>
            <w:r w:rsidRPr="0023039E">
              <w:rPr>
                <w:b/>
                <w:sz w:val="22"/>
                <w:szCs w:val="22"/>
              </w:rPr>
              <w:t>Allowable Period for Extraordinary Expenses</w:t>
            </w:r>
          </w:p>
        </w:tc>
        <w:tc>
          <w:tcPr>
            <w:tcW w:w="1530" w:type="dxa"/>
            <w:shd w:val="clear" w:color="auto" w:fill="F2F2F2" w:themeFill="background1" w:themeFillShade="F2"/>
          </w:tcPr>
          <w:p w:rsidR="00DD2F0C" w:rsidRPr="0023039E" w:rsidRDefault="00DD2F0C" w:rsidP="007E5F37">
            <w:pPr>
              <w:pStyle w:val="ExhibitC2"/>
              <w:numPr>
                <w:ilvl w:val="0"/>
                <w:numId w:val="0"/>
              </w:numPr>
              <w:jc w:val="center"/>
              <w:rPr>
                <w:sz w:val="22"/>
                <w:szCs w:val="22"/>
              </w:rPr>
            </w:pPr>
            <w:r w:rsidRPr="0023039E">
              <w:rPr>
                <w:b/>
                <w:sz w:val="22"/>
                <w:szCs w:val="22"/>
              </w:rPr>
              <w:t>Fiscal Year</w:t>
            </w:r>
          </w:p>
        </w:tc>
        <w:tc>
          <w:tcPr>
            <w:tcW w:w="1800" w:type="dxa"/>
            <w:shd w:val="clear" w:color="auto" w:fill="F2F2F2" w:themeFill="background1" w:themeFillShade="F2"/>
          </w:tcPr>
          <w:p w:rsidR="00DD2F0C" w:rsidRPr="0023039E" w:rsidRDefault="00DD2F0C" w:rsidP="007E5F37">
            <w:pPr>
              <w:pStyle w:val="ExhibitC2"/>
              <w:numPr>
                <w:ilvl w:val="0"/>
                <w:numId w:val="0"/>
              </w:numPr>
              <w:jc w:val="center"/>
              <w:rPr>
                <w:sz w:val="22"/>
                <w:szCs w:val="22"/>
              </w:rPr>
            </w:pPr>
            <w:r w:rsidRPr="0023039E">
              <w:rPr>
                <w:b/>
                <w:sz w:val="22"/>
                <w:szCs w:val="22"/>
              </w:rPr>
              <w:t>Period Amount</w:t>
            </w:r>
          </w:p>
        </w:tc>
        <w:tc>
          <w:tcPr>
            <w:tcW w:w="2160" w:type="dxa"/>
            <w:shd w:val="clear" w:color="auto" w:fill="F2F2F2" w:themeFill="background1" w:themeFillShade="F2"/>
            <w:vAlign w:val="center"/>
          </w:tcPr>
          <w:p w:rsidR="00DD2F0C" w:rsidRPr="0023039E" w:rsidRDefault="00DD2F0C" w:rsidP="007E5F37">
            <w:pPr>
              <w:pStyle w:val="StandardL2"/>
              <w:numPr>
                <w:ilvl w:val="0"/>
                <w:numId w:val="0"/>
              </w:numPr>
              <w:spacing w:after="0"/>
              <w:jc w:val="center"/>
              <w:rPr>
                <w:b/>
                <w:sz w:val="22"/>
                <w:szCs w:val="22"/>
              </w:rPr>
            </w:pPr>
            <w:r w:rsidRPr="0023039E">
              <w:rPr>
                <w:b/>
                <w:sz w:val="22"/>
                <w:szCs w:val="22"/>
              </w:rPr>
              <w:t xml:space="preserve">Invoices Due </w:t>
            </w:r>
          </w:p>
          <w:p w:rsidR="00DD2F0C" w:rsidRPr="0023039E" w:rsidRDefault="00DD2F0C" w:rsidP="007E5F37">
            <w:pPr>
              <w:pStyle w:val="StandardL2"/>
              <w:numPr>
                <w:ilvl w:val="0"/>
                <w:numId w:val="0"/>
              </w:numPr>
              <w:spacing w:after="0"/>
              <w:jc w:val="center"/>
              <w:rPr>
                <w:b/>
                <w:sz w:val="22"/>
                <w:szCs w:val="22"/>
              </w:rPr>
            </w:pPr>
            <w:r w:rsidRPr="0023039E">
              <w:rPr>
                <w:b/>
                <w:sz w:val="22"/>
                <w:szCs w:val="22"/>
              </w:rPr>
              <w:t>By Date</w:t>
            </w:r>
          </w:p>
        </w:tc>
      </w:tr>
      <w:tr w:rsidR="00DD2F0C" w:rsidRPr="0023039E" w:rsidTr="00785A33">
        <w:tc>
          <w:tcPr>
            <w:tcW w:w="3150" w:type="dxa"/>
          </w:tcPr>
          <w:p w:rsidR="00DD2F0C" w:rsidRPr="0023039E" w:rsidRDefault="00DD2F0C" w:rsidP="007E5F37">
            <w:pPr>
              <w:pStyle w:val="ExhibitC2"/>
              <w:numPr>
                <w:ilvl w:val="0"/>
                <w:numId w:val="0"/>
              </w:numPr>
              <w:jc w:val="both"/>
              <w:rPr>
                <w:sz w:val="22"/>
                <w:szCs w:val="22"/>
              </w:rPr>
            </w:pPr>
            <w:r w:rsidRPr="0023039E">
              <w:t>[insert period]</w:t>
            </w:r>
          </w:p>
        </w:tc>
        <w:tc>
          <w:tcPr>
            <w:tcW w:w="1530" w:type="dxa"/>
          </w:tcPr>
          <w:p w:rsidR="00DD2F0C" w:rsidRPr="0023039E" w:rsidRDefault="00DD2F0C" w:rsidP="007E5F37">
            <w:pPr>
              <w:pStyle w:val="ExhibitC2"/>
              <w:numPr>
                <w:ilvl w:val="0"/>
                <w:numId w:val="0"/>
              </w:numPr>
              <w:jc w:val="center"/>
              <w:rPr>
                <w:sz w:val="22"/>
                <w:szCs w:val="22"/>
              </w:rPr>
            </w:pPr>
            <w:r w:rsidRPr="0023039E">
              <w:t>[insert fiscal year]</w:t>
            </w:r>
          </w:p>
        </w:tc>
        <w:tc>
          <w:tcPr>
            <w:tcW w:w="1800" w:type="dxa"/>
          </w:tcPr>
          <w:p w:rsidR="00DD2F0C" w:rsidRPr="0023039E" w:rsidRDefault="00DD2F0C" w:rsidP="007E5F37">
            <w:pPr>
              <w:pStyle w:val="ExhibitC2"/>
              <w:numPr>
                <w:ilvl w:val="0"/>
                <w:numId w:val="0"/>
              </w:numPr>
              <w:jc w:val="center"/>
              <w:rPr>
                <w:sz w:val="22"/>
                <w:szCs w:val="22"/>
              </w:rPr>
            </w:pPr>
            <w:r w:rsidRPr="0023039E">
              <w:t>$[insert amount]</w:t>
            </w:r>
          </w:p>
        </w:tc>
        <w:tc>
          <w:tcPr>
            <w:tcW w:w="2160" w:type="dxa"/>
          </w:tcPr>
          <w:p w:rsidR="00DD2F0C" w:rsidRPr="0023039E" w:rsidRDefault="00DD2F0C" w:rsidP="007E5F37">
            <w:pPr>
              <w:pStyle w:val="ExhibitC2"/>
              <w:numPr>
                <w:ilvl w:val="0"/>
                <w:numId w:val="0"/>
              </w:numPr>
              <w:jc w:val="center"/>
              <w:rPr>
                <w:sz w:val="22"/>
                <w:szCs w:val="22"/>
              </w:rPr>
            </w:pPr>
            <w:r w:rsidRPr="0023039E">
              <w:t xml:space="preserve">April 30, [Insert year] </w:t>
            </w:r>
          </w:p>
        </w:tc>
      </w:tr>
    </w:tbl>
    <w:p w:rsidR="000E046B" w:rsidRPr="0023039E" w:rsidRDefault="000E046B" w:rsidP="000E046B">
      <w:pPr>
        <w:pStyle w:val="ExhibitA1"/>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Manner of Payment</w:t>
      </w:r>
    </w:p>
    <w:p w:rsidR="000E046B" w:rsidRPr="0023039E" w:rsidRDefault="000E046B" w:rsidP="000E046B">
      <w:pPr>
        <w:pStyle w:val="ExhibitC2"/>
        <w:numPr>
          <w:ilvl w:val="1"/>
          <w:numId w:val="55"/>
        </w:numPr>
        <w:spacing w:before="120" w:after="120"/>
        <w:jc w:val="both"/>
      </w:pPr>
      <w:r w:rsidRPr="0023039E">
        <w:t>Within thirty (30) days after the end of each month, Contractor shall submit one original and two copies of each invoice for payment for the Services rendered and extraordinary expenses and conflict appointment payments incurred under this Agreement (“</w:t>
      </w:r>
      <w:r w:rsidRPr="0023039E">
        <w:rPr>
          <w:b/>
        </w:rPr>
        <w:t>Invoices</w:t>
      </w:r>
      <w:r w:rsidRPr="0023039E">
        <w:t>”) for approval by the AOC to:</w:t>
      </w:r>
    </w:p>
    <w:p w:rsidR="00893323" w:rsidRDefault="00893323" w:rsidP="00A25E68">
      <w:pPr>
        <w:pStyle w:val="StandardCont2"/>
        <w:spacing w:after="0"/>
        <w:ind w:left="2880"/>
        <w:jc w:val="both"/>
      </w:pPr>
    </w:p>
    <w:p w:rsidR="00CF3532" w:rsidRDefault="00CF3532" w:rsidP="00A25E68">
      <w:pPr>
        <w:pStyle w:val="StandardCont2"/>
        <w:spacing w:after="0"/>
        <w:ind w:left="2880"/>
        <w:jc w:val="both"/>
      </w:pPr>
    </w:p>
    <w:p w:rsidR="00CF3532" w:rsidRPr="0023039E" w:rsidRDefault="00CF3532" w:rsidP="00A25E68">
      <w:pPr>
        <w:pStyle w:val="StandardCont2"/>
        <w:spacing w:after="0"/>
        <w:ind w:left="2880"/>
        <w:jc w:val="both"/>
      </w:pPr>
    </w:p>
    <w:p w:rsidR="00A25E68" w:rsidRPr="0023039E" w:rsidRDefault="00A25E68" w:rsidP="00A25E68">
      <w:pPr>
        <w:pStyle w:val="StandardCont2"/>
        <w:spacing w:after="0"/>
        <w:ind w:left="2880"/>
        <w:jc w:val="both"/>
      </w:pPr>
      <w:r w:rsidRPr="0023039E">
        <w:lastRenderedPageBreak/>
        <w:t>Judicial Council of California</w:t>
      </w:r>
    </w:p>
    <w:p w:rsidR="000E046B" w:rsidRPr="0023039E" w:rsidRDefault="000E046B" w:rsidP="00A25E68">
      <w:pPr>
        <w:pStyle w:val="StandardCont2"/>
        <w:spacing w:after="0"/>
        <w:ind w:left="2880"/>
        <w:jc w:val="both"/>
      </w:pPr>
      <w:r w:rsidRPr="0023039E">
        <w:t>Administrative Office of the Courts</w:t>
      </w:r>
    </w:p>
    <w:p w:rsidR="000E046B" w:rsidRPr="0023039E" w:rsidRDefault="000E046B" w:rsidP="000E046B">
      <w:pPr>
        <w:pStyle w:val="StandardCont2"/>
        <w:spacing w:after="0"/>
        <w:ind w:left="2880"/>
        <w:jc w:val="both"/>
      </w:pPr>
      <w:r w:rsidRPr="0023039E">
        <w:t>Center for Families, Children and the Courts</w:t>
      </w:r>
    </w:p>
    <w:p w:rsidR="000E046B" w:rsidRPr="0023039E" w:rsidRDefault="000E046B" w:rsidP="000E046B">
      <w:pPr>
        <w:pStyle w:val="StandardCont2"/>
        <w:spacing w:after="0"/>
        <w:ind w:left="2880"/>
        <w:jc w:val="both"/>
      </w:pPr>
      <w:r w:rsidRPr="0023039E">
        <w:t xml:space="preserve">Attn: </w:t>
      </w:r>
      <w:r w:rsidR="00475B93" w:rsidRPr="0023039E">
        <w:t>[</w:t>
      </w:r>
      <w:r w:rsidRPr="0023039E">
        <w:t>TBD</w:t>
      </w:r>
      <w:r w:rsidR="00475B93" w:rsidRPr="0023039E">
        <w:t>], AOC Project Manager</w:t>
      </w:r>
      <w:r w:rsidRPr="0023039E">
        <w:t xml:space="preserve"> </w:t>
      </w:r>
    </w:p>
    <w:p w:rsidR="000E046B" w:rsidRPr="0023039E" w:rsidRDefault="000E046B" w:rsidP="000E046B">
      <w:pPr>
        <w:pStyle w:val="StandardCont2"/>
        <w:spacing w:after="0"/>
        <w:ind w:left="2880"/>
        <w:jc w:val="both"/>
      </w:pPr>
      <w:r w:rsidRPr="0023039E">
        <w:t xml:space="preserve">455 Golden Gate Avenue, </w:t>
      </w:r>
      <w:proofErr w:type="gramStart"/>
      <w:r w:rsidRPr="0023039E">
        <w:t>6</w:t>
      </w:r>
      <w:r w:rsidRPr="0023039E">
        <w:rPr>
          <w:vertAlign w:val="superscript"/>
        </w:rPr>
        <w:t>th</w:t>
      </w:r>
      <w:proofErr w:type="gramEnd"/>
      <w:r w:rsidRPr="0023039E">
        <w:t xml:space="preserve"> Floor</w:t>
      </w:r>
    </w:p>
    <w:p w:rsidR="000E046B" w:rsidRPr="0023039E" w:rsidRDefault="000E046B" w:rsidP="00774E90">
      <w:pPr>
        <w:pStyle w:val="StandardCont2"/>
        <w:ind w:left="2880"/>
        <w:jc w:val="both"/>
      </w:pPr>
      <w:r w:rsidRPr="0023039E">
        <w:t>San Francisco, CA  94102-3688</w:t>
      </w:r>
    </w:p>
    <w:p w:rsidR="00A25E68" w:rsidRPr="0023039E" w:rsidRDefault="000E046B" w:rsidP="00E13EC0">
      <w:pPr>
        <w:pStyle w:val="ExhibitC2"/>
        <w:widowControl w:val="0"/>
        <w:spacing w:before="120" w:after="120"/>
        <w:jc w:val="both"/>
      </w:pPr>
      <w:r w:rsidRPr="0023039E">
        <w:t>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w:t>
      </w:r>
      <w:r w:rsidR="00DD2F0C" w:rsidRPr="0023039E">
        <w:t xml:space="preserve">  </w:t>
      </w:r>
      <w:r w:rsidR="00DD2F0C" w:rsidRPr="0023039E">
        <w:rPr>
          <w:szCs w:val="24"/>
        </w:rPr>
        <w:t>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w:t>
      </w:r>
      <w:r w:rsidRPr="0023039E">
        <w:t xml:space="preserve">  </w:t>
      </w:r>
    </w:p>
    <w:p w:rsidR="000E046B" w:rsidRPr="0023039E" w:rsidRDefault="000E046B" w:rsidP="00E13EC0">
      <w:pPr>
        <w:pStyle w:val="ExhibitC2"/>
        <w:widowControl w:val="0"/>
        <w:spacing w:before="120" w:after="120"/>
        <w:jc w:val="both"/>
      </w:pPr>
      <w:r w:rsidRPr="0023039E">
        <w:t>The AOC shall endeavor to make payments to Contractor within sixty (60) days after receipt and approval by the AOC of the Invoices from Contractor.  The AOC will not be in breach of this Agreement for failure to pay Contractor’s Invoices on time unless:</w:t>
      </w:r>
    </w:p>
    <w:p w:rsidR="000E046B" w:rsidRPr="0023039E" w:rsidRDefault="000E046B" w:rsidP="00E13EC0">
      <w:pPr>
        <w:pStyle w:val="ExhibitC3"/>
        <w:keepNext w:val="0"/>
        <w:widowControl w:val="0"/>
        <w:tabs>
          <w:tab w:val="clear" w:pos="2592"/>
          <w:tab w:val="clear" w:pos="4176"/>
          <w:tab w:val="clear" w:pos="10710"/>
        </w:tabs>
        <w:spacing w:before="120" w:after="120"/>
        <w:ind w:right="0"/>
        <w:jc w:val="both"/>
        <w:outlineLvl w:val="9"/>
      </w:pPr>
      <w:r w:rsidRPr="0023039E">
        <w:t>The AOC has received a reasonably detailed written notice of late payment from Contractor and</w:t>
      </w:r>
    </w:p>
    <w:p w:rsidR="000E046B" w:rsidRPr="0023039E" w:rsidRDefault="000E046B" w:rsidP="00E13EC0">
      <w:pPr>
        <w:pStyle w:val="ExhibitC3"/>
        <w:keepNext w:val="0"/>
        <w:widowControl w:val="0"/>
        <w:tabs>
          <w:tab w:val="clear" w:pos="2592"/>
          <w:tab w:val="clear" w:pos="4176"/>
          <w:tab w:val="clear" w:pos="10710"/>
        </w:tabs>
        <w:spacing w:before="120" w:after="120"/>
        <w:ind w:right="0"/>
        <w:jc w:val="both"/>
        <w:outlineLvl w:val="9"/>
      </w:pPr>
      <w:r w:rsidRPr="0023039E">
        <w:t xml:space="preserve">The AOC has not made the delinquent payment(s) within </w:t>
      </w:r>
      <w:proofErr w:type="gramStart"/>
      <w:r w:rsidRPr="0023039E">
        <w:t>thirty (30) days</w:t>
      </w:r>
      <w:proofErr w:type="gramEnd"/>
      <w:r w:rsidRPr="0023039E">
        <w:t xml:space="preserve"> of the AOC’s receipt of such notice.  In no event will the AOC be in breach of this Agreement for failure to pay Contractor’s Invoices on time if such failure results from the Legislature’s failure to approve and adopt a budget in a timely manner.</w:t>
      </w:r>
    </w:p>
    <w:p w:rsidR="000E046B" w:rsidRPr="0023039E" w:rsidRDefault="000E046B" w:rsidP="00E13EC0">
      <w:pPr>
        <w:pStyle w:val="ExhibitC2"/>
        <w:widowControl w:val="0"/>
        <w:spacing w:before="120" w:after="120"/>
        <w:jc w:val="both"/>
      </w:pPr>
      <w:r w:rsidRPr="0023039E">
        <w:t>In no event shall the AOC be liable for interest or late charges for any late payments.</w:t>
      </w:r>
    </w:p>
    <w:p w:rsidR="000E046B" w:rsidRPr="0023039E" w:rsidRDefault="000E046B" w:rsidP="00E13EC0">
      <w:pPr>
        <w:pStyle w:val="ExhibitC2"/>
        <w:widowControl w:val="0"/>
        <w:spacing w:before="120" w:after="120"/>
        <w:jc w:val="both"/>
      </w:pPr>
      <w:r w:rsidRPr="0023039E">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0E046B" w:rsidRPr="0023039E" w:rsidRDefault="000E046B" w:rsidP="00774E90">
      <w:pPr>
        <w:pStyle w:val="ExhibitA1"/>
        <w:keepNext w:val="0"/>
        <w:widowControl w:val="0"/>
        <w:numPr>
          <w:ilvl w:val="0"/>
          <w:numId w:val="52"/>
        </w:numPr>
        <w:tabs>
          <w:tab w:val="clear" w:pos="1296"/>
          <w:tab w:val="clear" w:pos="2016"/>
          <w:tab w:val="clear" w:pos="2592"/>
          <w:tab w:val="clear" w:pos="4176"/>
          <w:tab w:val="clear" w:pos="10710"/>
        </w:tabs>
        <w:spacing w:before="240" w:after="120"/>
        <w:jc w:val="both"/>
        <w:rPr>
          <w:rFonts w:ascii="Times New Roman Bold" w:hAnsi="Times New Roman Bold"/>
          <w:b/>
          <w:caps/>
          <w:szCs w:val="20"/>
          <w:u w:val="none"/>
        </w:rPr>
      </w:pPr>
      <w:r w:rsidRPr="0023039E">
        <w:rPr>
          <w:rFonts w:ascii="Times New Roman Bold" w:hAnsi="Times New Roman Bold"/>
          <w:b/>
          <w:caps/>
          <w:szCs w:val="20"/>
          <w:u w:val="none"/>
        </w:rPr>
        <w:t>FINAL INVOICING</w:t>
      </w:r>
    </w:p>
    <w:p w:rsidR="000E046B" w:rsidRPr="0023039E" w:rsidRDefault="000E046B" w:rsidP="00E13EC0">
      <w:pPr>
        <w:pStyle w:val="ExhibitC2"/>
        <w:widowControl w:val="0"/>
        <w:numPr>
          <w:ilvl w:val="1"/>
          <w:numId w:val="56"/>
        </w:numPr>
        <w:spacing w:before="120" w:after="120"/>
        <w:jc w:val="both"/>
      </w:pPr>
      <w:r w:rsidRPr="0023039E">
        <w:t xml:space="preserve">Contractor must submit Invoices for Services provided and extraordinary expenses and conflict appointment payments incurred no later than the “Revert Deadline” identified for each appropriate funding source on the Agreement Funding and Account Code Form.  The </w:t>
      </w:r>
      <w:r w:rsidRPr="0023039E">
        <w:lastRenderedPageBreak/>
        <w:t>AOC may not be responsible for payment of Invoices received after the “Revert Deadline” specified on the Agreement Funding and Account Code Form for the applicable funding source.</w:t>
      </w:r>
    </w:p>
    <w:p w:rsidR="000E046B" w:rsidRPr="0023039E" w:rsidRDefault="000E046B" w:rsidP="00E13EC0">
      <w:pPr>
        <w:pStyle w:val="ExhibitC2"/>
        <w:widowControl w:val="0"/>
        <w:spacing w:before="120" w:after="120"/>
        <w:jc w:val="both"/>
      </w:pPr>
      <w:r w:rsidRPr="0023039E">
        <w:t>For the very last Invoice to be processed against this Agreement, Contractor will identify as “Final Invoice.” </w:t>
      </w:r>
    </w:p>
    <w:p w:rsidR="000E046B" w:rsidRPr="0023039E" w:rsidRDefault="000E046B" w:rsidP="00E13EC0">
      <w:pPr>
        <w:pStyle w:val="ExhibitA1"/>
        <w:keepNext w:val="0"/>
        <w:widowControl w:val="0"/>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DISALLOWANCE</w:t>
      </w:r>
    </w:p>
    <w:p w:rsidR="00A25E68" w:rsidRPr="0023039E" w:rsidRDefault="000E046B" w:rsidP="00774E90">
      <w:pPr>
        <w:pStyle w:val="Heading-SingleP"/>
        <w:widowControl w:val="0"/>
        <w:jc w:val="both"/>
      </w:pPr>
      <w:r w:rsidRPr="0023039E">
        <w:t xml:space="preserve">If Contractor claims or receives payment from the AOC for a Service or reimbursement that </w:t>
      </w:r>
      <w:proofErr w:type="gramStart"/>
      <w:r w:rsidRPr="0023039E">
        <w:t>is later disallowed</w:t>
      </w:r>
      <w:proofErr w:type="gramEnd"/>
      <w:r w:rsidRPr="0023039E">
        <w:t xml:space="preserve"> by the AOC, Contractor shall promptly refund the disallowed amount to the AOC upon the AOC’s request.  At its option, the AOC may offset the amount disallowed from any payment due or that may become due to Contractor under this Agreement or any other agreement.</w:t>
      </w:r>
    </w:p>
    <w:p w:rsidR="000E046B" w:rsidRPr="0023039E" w:rsidRDefault="000E046B" w:rsidP="00774E90">
      <w:pPr>
        <w:pStyle w:val="ExhibitA1"/>
        <w:keepNext w:val="0"/>
        <w:widowControl w:val="0"/>
        <w:numPr>
          <w:ilvl w:val="0"/>
          <w:numId w:val="5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23039E">
        <w:rPr>
          <w:rFonts w:ascii="Times New Roman Bold" w:hAnsi="Times New Roman Bold"/>
          <w:b/>
          <w:caps/>
          <w:szCs w:val="20"/>
          <w:u w:val="none"/>
        </w:rPr>
        <w:t>Payment Does Not Imply Acceptance of Work</w:t>
      </w:r>
    </w:p>
    <w:p w:rsidR="000E046B" w:rsidRPr="0023039E" w:rsidRDefault="000E046B" w:rsidP="00774E90">
      <w:pPr>
        <w:pStyle w:val="Heading-SingleP"/>
        <w:widowControl w:val="0"/>
        <w:jc w:val="both"/>
      </w:pPr>
      <w:r w:rsidRPr="0023039E">
        <w:t xml:space="preserve">The granting of any payment by the AOC, or the receipt thereof by Contractor, shall in no way alter the obligation of Contractor to remedy unsatisfactory performance of the Services.  Services that do not conform to the requirements of this Agreement, in the AOC’s judgment, </w:t>
      </w:r>
      <w:proofErr w:type="gramStart"/>
      <w:r w:rsidRPr="0023039E">
        <w:t>may be rejected</w:t>
      </w:r>
      <w:proofErr w:type="gramEnd"/>
      <w:r w:rsidRPr="0023039E">
        <w:t xml:space="preserve"> by the AOC.  In such case</w:t>
      </w:r>
      <w:r w:rsidR="00367666" w:rsidRPr="0023039E">
        <w:t>,</w:t>
      </w:r>
      <w:r w:rsidRPr="0023039E">
        <w:t xml:space="preserve"> Contractor must remedy the unsatisfactory performance </w:t>
      </w:r>
      <w:proofErr w:type="gramStart"/>
      <w:r w:rsidRPr="0023039E">
        <w:t>without delay</w:t>
      </w:r>
      <w:proofErr w:type="gramEnd"/>
      <w:r w:rsidRPr="0023039E">
        <w:t xml:space="preserve"> to bring it into conformance with this Agreement.</w:t>
      </w:r>
    </w:p>
    <w:p w:rsidR="000E046B" w:rsidRPr="0023039E" w:rsidRDefault="000E046B" w:rsidP="00774E90">
      <w:pPr>
        <w:widowControl w:val="0"/>
        <w:spacing w:line="300" w:lineRule="atLeast"/>
        <w:jc w:val="both"/>
        <w:rPr>
          <w:rFonts w:cs="Arial"/>
        </w:rPr>
      </w:pPr>
    </w:p>
    <w:p w:rsidR="000E046B" w:rsidRPr="0023039E" w:rsidRDefault="000E046B" w:rsidP="00774E90">
      <w:pPr>
        <w:pStyle w:val="StandardCont3"/>
        <w:widowControl w:val="0"/>
        <w:spacing w:after="120"/>
        <w:jc w:val="center"/>
        <w:rPr>
          <w:b/>
          <w:i/>
          <w:sz w:val="26"/>
        </w:rPr>
      </w:pPr>
      <w:r w:rsidRPr="0023039E">
        <w:rPr>
          <w:b/>
          <w:i/>
        </w:rPr>
        <w:t xml:space="preserve">END OF EXHIBIT  </w:t>
      </w:r>
    </w:p>
    <w:sectPr w:rsidR="000E046B" w:rsidRPr="0023039E" w:rsidSect="00165058">
      <w:footerReference w:type="default" r:id="rId14"/>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058" w:rsidRDefault="00165058" w:rsidP="00DC6DD0">
      <w:r>
        <w:separator/>
      </w:r>
    </w:p>
  </w:endnote>
  <w:endnote w:type="continuationSeparator" w:id="0">
    <w:p w:rsidR="00165058" w:rsidRDefault="00165058"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040F32" w:rsidRDefault="00165058" w:rsidP="00530649">
    <w:pPr>
      <w:pStyle w:val="Footer"/>
      <w:jc w:val="right"/>
      <w:rPr>
        <w:sz w:val="24"/>
      </w:rPr>
    </w:pPr>
    <w:r w:rsidRPr="00040F32">
      <w:rPr>
        <w:sz w:val="24"/>
      </w:rPr>
      <w:t>Page</w:t>
    </w:r>
    <w:r>
      <w:rPr>
        <w:sz w:val="24"/>
      </w:rPr>
      <w:t xml:space="preserve"> A -</w:t>
    </w:r>
    <w:r w:rsidRPr="00040F32">
      <w:rPr>
        <w:sz w:val="24"/>
      </w:rPr>
      <w:t xml:space="preserve"> </w:t>
    </w:r>
    <w:r w:rsidRPr="00040F32">
      <w:rPr>
        <w:sz w:val="24"/>
      </w:rPr>
      <w:fldChar w:fldCharType="begin"/>
    </w:r>
    <w:r w:rsidRPr="00040F32">
      <w:rPr>
        <w:sz w:val="24"/>
      </w:rPr>
      <w:instrText xml:space="preserve"> PAGE </w:instrText>
    </w:r>
    <w:r w:rsidRPr="00040F32">
      <w:rPr>
        <w:sz w:val="24"/>
      </w:rPr>
      <w:fldChar w:fldCharType="separate"/>
    </w:r>
    <w:r w:rsidR="00F26C95">
      <w:rPr>
        <w:noProof/>
        <w:sz w:val="24"/>
      </w:rPr>
      <w:t>17</w:t>
    </w:r>
    <w:r w:rsidRPr="00040F32">
      <w:rPr>
        <w:sz w:val="24"/>
      </w:rPr>
      <w:fldChar w:fldCharType="end"/>
    </w:r>
    <w:r w:rsidRPr="00040F32">
      <w:rPr>
        <w:sz w:val="24"/>
      </w:rPr>
      <w:t xml:space="preserve"> </w:t>
    </w:r>
  </w:p>
  <w:p w:rsidR="00165058" w:rsidRDefault="00165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040F32" w:rsidRDefault="00165058" w:rsidP="0023039E">
    <w:pPr>
      <w:pStyle w:val="Footer"/>
      <w:jc w:val="right"/>
      <w:rPr>
        <w:sz w:val="24"/>
      </w:rPr>
    </w:pPr>
    <w:r w:rsidRPr="00040F32">
      <w:rPr>
        <w:sz w:val="24"/>
      </w:rPr>
      <w:t>Page</w:t>
    </w:r>
    <w:r>
      <w:rPr>
        <w:sz w:val="24"/>
      </w:rPr>
      <w:t xml:space="preserve"> B -</w:t>
    </w:r>
    <w:r w:rsidRPr="00040F32">
      <w:rPr>
        <w:sz w:val="24"/>
      </w:rPr>
      <w:t xml:space="preserve"> </w:t>
    </w:r>
    <w:r w:rsidRPr="00040F32">
      <w:rPr>
        <w:sz w:val="24"/>
      </w:rPr>
      <w:fldChar w:fldCharType="begin"/>
    </w:r>
    <w:r w:rsidRPr="00040F32">
      <w:rPr>
        <w:sz w:val="24"/>
      </w:rPr>
      <w:instrText xml:space="preserve"> PAGE </w:instrText>
    </w:r>
    <w:r w:rsidRPr="00040F32">
      <w:rPr>
        <w:sz w:val="24"/>
      </w:rPr>
      <w:fldChar w:fldCharType="separate"/>
    </w:r>
    <w:r w:rsidR="00F26C95">
      <w:rPr>
        <w:noProof/>
        <w:sz w:val="24"/>
      </w:rPr>
      <w:t>2</w:t>
    </w:r>
    <w:r w:rsidRPr="00040F32">
      <w:rPr>
        <w:sz w:val="24"/>
      </w:rPr>
      <w:fldChar w:fldCharType="end"/>
    </w:r>
    <w:r w:rsidRPr="00040F32">
      <w:rPr>
        <w:sz w:val="24"/>
      </w:rPr>
      <w:t xml:space="preserve"> </w:t>
    </w:r>
  </w:p>
  <w:p w:rsidR="00165058" w:rsidRDefault="001650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924EBB" w:rsidRDefault="00165058"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3</w:t>
    </w:r>
  </w:p>
  <w:p w:rsidR="00165058" w:rsidRDefault="001650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924EBB" w:rsidRDefault="00165058"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4</w:t>
    </w:r>
  </w:p>
  <w:p w:rsidR="00165058" w:rsidRDefault="0016505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924EBB" w:rsidRDefault="00165058" w:rsidP="008F1613">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5</w:t>
    </w:r>
  </w:p>
  <w:p w:rsidR="00165058" w:rsidRDefault="0016505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040F32" w:rsidRDefault="00165058" w:rsidP="00165058">
    <w:pPr>
      <w:pStyle w:val="Footer"/>
      <w:jc w:val="right"/>
      <w:rPr>
        <w:sz w:val="24"/>
      </w:rPr>
    </w:pPr>
    <w:r w:rsidRPr="00040F32">
      <w:rPr>
        <w:sz w:val="24"/>
      </w:rPr>
      <w:t>Page</w:t>
    </w:r>
    <w:r>
      <w:rPr>
        <w:sz w:val="24"/>
      </w:rPr>
      <w:t xml:space="preserve"> C -</w:t>
    </w:r>
    <w:r w:rsidRPr="00040F32">
      <w:rPr>
        <w:sz w:val="24"/>
      </w:rPr>
      <w:t xml:space="preserve"> </w:t>
    </w:r>
    <w:r w:rsidRPr="00040F32">
      <w:rPr>
        <w:sz w:val="24"/>
      </w:rPr>
      <w:fldChar w:fldCharType="begin"/>
    </w:r>
    <w:r w:rsidRPr="00040F32">
      <w:rPr>
        <w:sz w:val="24"/>
      </w:rPr>
      <w:instrText xml:space="preserve"> PAGE </w:instrText>
    </w:r>
    <w:r w:rsidRPr="00040F32">
      <w:rPr>
        <w:sz w:val="24"/>
      </w:rPr>
      <w:fldChar w:fldCharType="separate"/>
    </w:r>
    <w:r w:rsidR="00F26C95">
      <w:rPr>
        <w:noProof/>
        <w:sz w:val="24"/>
      </w:rPr>
      <w:t>1</w:t>
    </w:r>
    <w:r w:rsidRPr="00040F32">
      <w:rPr>
        <w:sz w:val="24"/>
      </w:rPr>
      <w:fldChar w:fldCharType="end"/>
    </w:r>
    <w:r w:rsidRPr="00040F32">
      <w:rPr>
        <w:sz w:val="24"/>
      </w:rPr>
      <w:t xml:space="preserve"> </w:t>
    </w:r>
  </w:p>
  <w:p w:rsidR="00165058" w:rsidRPr="00924EBB" w:rsidRDefault="00165058" w:rsidP="008F1613">
    <w:pPr>
      <w:pStyle w:val="Footer"/>
      <w:tabs>
        <w:tab w:val="clear" w:pos="4320"/>
      </w:tabs>
      <w:ind w:right="54"/>
      <w:jc w:val="right"/>
      <w:rPr>
        <w:sz w:val="24"/>
      </w:rPr>
    </w:pPr>
  </w:p>
  <w:p w:rsidR="00165058" w:rsidRDefault="00165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058" w:rsidRDefault="00165058" w:rsidP="00DC6DD0">
      <w:r>
        <w:separator/>
      </w:r>
    </w:p>
  </w:footnote>
  <w:footnote w:type="continuationSeparator" w:id="0">
    <w:p w:rsidR="00165058" w:rsidRDefault="00165058"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58" w:rsidRPr="00FD4302" w:rsidRDefault="00165058" w:rsidP="00DC6DD0">
    <w:pPr>
      <w:pStyle w:val="CommentText"/>
      <w:tabs>
        <w:tab w:val="left" w:pos="1242"/>
      </w:tabs>
      <w:ind w:right="252"/>
      <w:jc w:val="both"/>
      <w:rPr>
        <w:color w:val="000000"/>
        <w:sz w:val="24"/>
      </w:rPr>
    </w:pPr>
    <w:r w:rsidRPr="00FD4302">
      <w:rPr>
        <w:sz w:val="24"/>
      </w:rPr>
      <w:t>RFP Title:</w:t>
    </w:r>
    <w:r w:rsidRPr="00FD4302">
      <w:rPr>
        <w:sz w:val="24"/>
        <w:szCs w:val="24"/>
      </w:rPr>
      <w:t xml:space="preserve">  </w:t>
    </w:r>
    <w:r w:rsidRPr="00FD4302">
      <w:rPr>
        <w:color w:val="000000"/>
        <w:sz w:val="24"/>
        <w:szCs w:val="24"/>
      </w:rPr>
      <w:t xml:space="preserve">  </w:t>
    </w:r>
    <w:r>
      <w:rPr>
        <w:sz w:val="24"/>
        <w:szCs w:val="24"/>
      </w:rPr>
      <w:t>El Dorado</w:t>
    </w:r>
    <w:r w:rsidRPr="00FD4302">
      <w:rPr>
        <w:sz w:val="24"/>
        <w:szCs w:val="24"/>
      </w:rPr>
      <w:t xml:space="preserve"> County</w:t>
    </w:r>
    <w:r w:rsidRPr="00FD4302">
      <w:rPr>
        <w:sz w:val="24"/>
      </w:rPr>
      <w:t xml:space="preserve"> Dependency Representation</w:t>
    </w:r>
  </w:p>
  <w:p w:rsidR="00165058" w:rsidRPr="00FD4302" w:rsidRDefault="00165058" w:rsidP="00DC6DD0">
    <w:pPr>
      <w:pStyle w:val="CommentText"/>
      <w:tabs>
        <w:tab w:val="left" w:pos="1242"/>
      </w:tabs>
      <w:ind w:right="252"/>
      <w:jc w:val="both"/>
      <w:rPr>
        <w:color w:val="000000"/>
        <w:sz w:val="24"/>
      </w:rPr>
    </w:pPr>
    <w:r w:rsidRPr="00FD4302">
      <w:rPr>
        <w:sz w:val="24"/>
      </w:rPr>
      <w:t>RFP No.:</w:t>
    </w:r>
    <w:r w:rsidRPr="00FD4302">
      <w:rPr>
        <w:color w:val="000000"/>
        <w:sz w:val="24"/>
        <w:szCs w:val="24"/>
      </w:rPr>
      <w:t xml:space="preserve">     </w:t>
    </w:r>
    <w:r>
      <w:rPr>
        <w:color w:val="000000"/>
        <w:sz w:val="24"/>
        <w:szCs w:val="24"/>
      </w:rPr>
      <w:t xml:space="preserve"> CFCC 10-13-LM</w:t>
    </w:r>
  </w:p>
  <w:p w:rsidR="00165058" w:rsidRPr="00332FD0" w:rsidRDefault="00165058" w:rsidP="00DC6DD0">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BD82C3FE"/>
    <w:lvl w:ilvl="0">
      <w:start w:val="1"/>
      <w:numFmt w:val="decimal"/>
      <w:pStyle w:val="StandardL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6541064"/>
    <w:multiLevelType w:val="hybridMultilevel"/>
    <w:tmpl w:val="DDD02A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4">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5">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6">
    <w:nsid w:val="3890288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7">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8">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9">
    <w:nsid w:val="446D39E3"/>
    <w:multiLevelType w:val="multilevel"/>
    <w:tmpl w:val="F032513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0">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2">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3">
    <w:nsid w:val="4C1D35AC"/>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5">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6">
    <w:nsid w:val="55877511"/>
    <w:multiLevelType w:val="multilevel"/>
    <w:tmpl w:val="2528CB18"/>
    <w:numStyleLink w:val="MOUList"/>
  </w:abstractNum>
  <w:abstractNum w:abstractNumId="37">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5C3224A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9">
    <w:nsid w:val="5C4A3BBE"/>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1">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2">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3">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4">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5">
    <w:nsid w:val="7AE044E8"/>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6">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7">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8">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9">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9"/>
  </w:num>
  <w:num w:numId="2">
    <w:abstractNumId w:val="22"/>
  </w:num>
  <w:num w:numId="3">
    <w:abstractNumId w:val="3"/>
  </w:num>
  <w:num w:numId="4">
    <w:abstractNumId w:val="21"/>
  </w:num>
  <w:num w:numId="5">
    <w:abstractNumId w:val="30"/>
  </w:num>
  <w:num w:numId="6">
    <w:abstractNumId w:val="36"/>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6"/>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0"/>
  </w:num>
  <w:num w:numId="11">
    <w:abstractNumId w:val="4"/>
  </w:num>
  <w:num w:numId="12">
    <w:abstractNumId w:val="27"/>
  </w:num>
  <w:num w:numId="13">
    <w:abstractNumId w:val="28"/>
  </w:num>
  <w:num w:numId="14">
    <w:abstractNumId w:val="15"/>
  </w:num>
  <w:num w:numId="15">
    <w:abstractNumId w:val="49"/>
  </w:num>
  <w:num w:numId="16">
    <w:abstractNumId w:val="34"/>
  </w:num>
  <w:num w:numId="17">
    <w:abstractNumId w:val="44"/>
  </w:num>
  <w:num w:numId="18">
    <w:abstractNumId w:val="20"/>
  </w:num>
  <w:num w:numId="19">
    <w:abstractNumId w:val="32"/>
  </w:num>
  <w:num w:numId="20">
    <w:abstractNumId w:val="35"/>
  </w:num>
  <w:num w:numId="21">
    <w:abstractNumId w:val="14"/>
  </w:num>
  <w:num w:numId="22">
    <w:abstractNumId w:val="10"/>
  </w:num>
  <w:num w:numId="23">
    <w:abstractNumId w:val="6"/>
  </w:num>
  <w:num w:numId="24">
    <w:abstractNumId w:val="13"/>
  </w:num>
  <w:num w:numId="25">
    <w:abstractNumId w:val="42"/>
  </w:num>
  <w:num w:numId="26">
    <w:abstractNumId w:val="9"/>
  </w:num>
  <w:num w:numId="27">
    <w:abstractNumId w:val="12"/>
  </w:num>
  <w:num w:numId="28">
    <w:abstractNumId w:val="2"/>
  </w:num>
  <w:num w:numId="29">
    <w:abstractNumId w:val="1"/>
  </w:num>
  <w:num w:numId="30">
    <w:abstractNumId w:val="43"/>
  </w:num>
  <w:num w:numId="31">
    <w:abstractNumId w:val="5"/>
  </w:num>
  <w:num w:numId="32">
    <w:abstractNumId w:val="0"/>
  </w:num>
  <w:num w:numId="33">
    <w:abstractNumId w:val="48"/>
  </w:num>
  <w:num w:numId="34">
    <w:abstractNumId w:val="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4"/>
  </w:num>
  <w:num w:numId="38">
    <w:abstractNumId w:val="16"/>
  </w:num>
  <w:num w:numId="39">
    <w:abstractNumId w:val="31"/>
  </w:num>
  <w:num w:numId="40">
    <w:abstractNumId w:val="8"/>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3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3"/>
  </w:num>
  <w:num w:numId="61">
    <w:abstractNumId w:val="17"/>
  </w:num>
  <w:num w:numId="62">
    <w:abstractNumId w:val="17"/>
  </w:num>
  <w:num w:numId="63">
    <w:abstractNumId w:val="26"/>
  </w:num>
  <w:num w:numId="64">
    <w:abstractNumId w:val="17"/>
  </w:num>
  <w:num w:numId="65">
    <w:abstractNumId w:val="38"/>
  </w:num>
  <w:num w:numId="66">
    <w:abstractNumId w:val="17"/>
  </w:num>
  <w:num w:numId="67">
    <w:abstractNumId w:val="17"/>
  </w:num>
  <w:num w:numId="68">
    <w:abstractNumId w:val="17"/>
  </w:num>
  <w:num w:numId="69">
    <w:abstractNumId w:val="45"/>
  </w:num>
  <w:num w:numId="70">
    <w:abstractNumId w:val="17"/>
  </w:num>
  <w:num w:numId="71">
    <w:abstractNumId w:val="17"/>
  </w:num>
  <w:num w:numId="72">
    <w:abstractNumId w:val="39"/>
  </w:num>
  <w:num w:numId="73">
    <w:abstractNumId w:val="17"/>
  </w:num>
  <w:num w:numId="74">
    <w:abstractNumId w:val="33"/>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7"/>
  </w:num>
  <w:num w:numId="94">
    <w:abstractNumId w:val="7"/>
    <w:lvlOverride w:ilvl="0">
      <w:startOverride w:val="3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num>
  <w:num w:numId="98">
    <w:abstractNumId w:val="7"/>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rsids>
    <w:rsidRoot w:val="00DC6DD0"/>
    <w:rsid w:val="00040DAD"/>
    <w:rsid w:val="00062F60"/>
    <w:rsid w:val="00063B81"/>
    <w:rsid w:val="000676D1"/>
    <w:rsid w:val="00095C9D"/>
    <w:rsid w:val="000A4AE4"/>
    <w:rsid w:val="000A7E13"/>
    <w:rsid w:val="000B7CF5"/>
    <w:rsid w:val="000C64CB"/>
    <w:rsid w:val="000C6FF5"/>
    <w:rsid w:val="000C7C51"/>
    <w:rsid w:val="000E046B"/>
    <w:rsid w:val="001028D5"/>
    <w:rsid w:val="00106331"/>
    <w:rsid w:val="00142749"/>
    <w:rsid w:val="00145FD8"/>
    <w:rsid w:val="001510CB"/>
    <w:rsid w:val="00164AAB"/>
    <w:rsid w:val="00165058"/>
    <w:rsid w:val="00171F1E"/>
    <w:rsid w:val="001C37A3"/>
    <w:rsid w:val="001D5649"/>
    <w:rsid w:val="001D78CD"/>
    <w:rsid w:val="001E7089"/>
    <w:rsid w:val="001F2F6D"/>
    <w:rsid w:val="001F4DE9"/>
    <w:rsid w:val="002006A3"/>
    <w:rsid w:val="00200D81"/>
    <w:rsid w:val="0023039E"/>
    <w:rsid w:val="00262990"/>
    <w:rsid w:val="002A2198"/>
    <w:rsid w:val="002A33CD"/>
    <w:rsid w:val="002C1D10"/>
    <w:rsid w:val="002E09BF"/>
    <w:rsid w:val="002E564D"/>
    <w:rsid w:val="0030100E"/>
    <w:rsid w:val="00304F11"/>
    <w:rsid w:val="00320EE0"/>
    <w:rsid w:val="00332FD0"/>
    <w:rsid w:val="003354D2"/>
    <w:rsid w:val="00336153"/>
    <w:rsid w:val="0034134D"/>
    <w:rsid w:val="0035437E"/>
    <w:rsid w:val="00367666"/>
    <w:rsid w:val="003A57EE"/>
    <w:rsid w:val="003F57FE"/>
    <w:rsid w:val="00415B24"/>
    <w:rsid w:val="00432FB6"/>
    <w:rsid w:val="00475B93"/>
    <w:rsid w:val="00482626"/>
    <w:rsid w:val="00483AE4"/>
    <w:rsid w:val="004A60FB"/>
    <w:rsid w:val="004B244B"/>
    <w:rsid w:val="004D2B49"/>
    <w:rsid w:val="004E02A6"/>
    <w:rsid w:val="005023CB"/>
    <w:rsid w:val="00530649"/>
    <w:rsid w:val="00532FF4"/>
    <w:rsid w:val="0054162B"/>
    <w:rsid w:val="00545797"/>
    <w:rsid w:val="005460D0"/>
    <w:rsid w:val="00546E86"/>
    <w:rsid w:val="00591A9D"/>
    <w:rsid w:val="005A4766"/>
    <w:rsid w:val="005C62A3"/>
    <w:rsid w:val="005D0891"/>
    <w:rsid w:val="005E122F"/>
    <w:rsid w:val="005F6CF9"/>
    <w:rsid w:val="005F7D1E"/>
    <w:rsid w:val="006000B8"/>
    <w:rsid w:val="00625A59"/>
    <w:rsid w:val="0063592B"/>
    <w:rsid w:val="006423B1"/>
    <w:rsid w:val="00661EF6"/>
    <w:rsid w:val="006654C4"/>
    <w:rsid w:val="0067363E"/>
    <w:rsid w:val="006A2C6B"/>
    <w:rsid w:val="006A5A98"/>
    <w:rsid w:val="006B7972"/>
    <w:rsid w:val="006C1278"/>
    <w:rsid w:val="00726EEC"/>
    <w:rsid w:val="00740AB8"/>
    <w:rsid w:val="0076634D"/>
    <w:rsid w:val="00774BC5"/>
    <w:rsid w:val="00774E90"/>
    <w:rsid w:val="00785A33"/>
    <w:rsid w:val="007A0433"/>
    <w:rsid w:val="007A3BC5"/>
    <w:rsid w:val="007B3C78"/>
    <w:rsid w:val="007D108E"/>
    <w:rsid w:val="007E3F96"/>
    <w:rsid w:val="007E5007"/>
    <w:rsid w:val="007E5F37"/>
    <w:rsid w:val="00807B93"/>
    <w:rsid w:val="00811B90"/>
    <w:rsid w:val="00832954"/>
    <w:rsid w:val="008342A4"/>
    <w:rsid w:val="00873AF2"/>
    <w:rsid w:val="00887FAD"/>
    <w:rsid w:val="00893323"/>
    <w:rsid w:val="008A3586"/>
    <w:rsid w:val="008A3B3E"/>
    <w:rsid w:val="008C16D8"/>
    <w:rsid w:val="008D445D"/>
    <w:rsid w:val="008E352C"/>
    <w:rsid w:val="008F1613"/>
    <w:rsid w:val="00903AF1"/>
    <w:rsid w:val="009207F7"/>
    <w:rsid w:val="00926AD7"/>
    <w:rsid w:val="009415D6"/>
    <w:rsid w:val="00941CF5"/>
    <w:rsid w:val="009549B0"/>
    <w:rsid w:val="009B391C"/>
    <w:rsid w:val="009D3B60"/>
    <w:rsid w:val="009E1E01"/>
    <w:rsid w:val="009E2F69"/>
    <w:rsid w:val="009F7597"/>
    <w:rsid w:val="00A2380A"/>
    <w:rsid w:val="00A25E68"/>
    <w:rsid w:val="00A64661"/>
    <w:rsid w:val="00A76A67"/>
    <w:rsid w:val="00AC01F8"/>
    <w:rsid w:val="00AC4C56"/>
    <w:rsid w:val="00AF06BA"/>
    <w:rsid w:val="00B01BA0"/>
    <w:rsid w:val="00B86620"/>
    <w:rsid w:val="00BA2BF0"/>
    <w:rsid w:val="00BC05CC"/>
    <w:rsid w:val="00BE64D7"/>
    <w:rsid w:val="00C1206B"/>
    <w:rsid w:val="00C13F31"/>
    <w:rsid w:val="00C14702"/>
    <w:rsid w:val="00C330E3"/>
    <w:rsid w:val="00C4108C"/>
    <w:rsid w:val="00C42ABA"/>
    <w:rsid w:val="00CA30CA"/>
    <w:rsid w:val="00CA376A"/>
    <w:rsid w:val="00CC497F"/>
    <w:rsid w:val="00CD5535"/>
    <w:rsid w:val="00CD78AD"/>
    <w:rsid w:val="00CF3532"/>
    <w:rsid w:val="00D01386"/>
    <w:rsid w:val="00D0215B"/>
    <w:rsid w:val="00D358EF"/>
    <w:rsid w:val="00D6443B"/>
    <w:rsid w:val="00D66204"/>
    <w:rsid w:val="00DC6DD0"/>
    <w:rsid w:val="00DD2F0C"/>
    <w:rsid w:val="00DE2A81"/>
    <w:rsid w:val="00DF6714"/>
    <w:rsid w:val="00E03110"/>
    <w:rsid w:val="00E04A31"/>
    <w:rsid w:val="00E13EC0"/>
    <w:rsid w:val="00E26BF1"/>
    <w:rsid w:val="00E371BD"/>
    <w:rsid w:val="00E44862"/>
    <w:rsid w:val="00E8262A"/>
    <w:rsid w:val="00EF72FA"/>
    <w:rsid w:val="00F03283"/>
    <w:rsid w:val="00F21A9D"/>
    <w:rsid w:val="00F26C95"/>
    <w:rsid w:val="00F30ACE"/>
    <w:rsid w:val="00F50DF7"/>
    <w:rsid w:val="00F60663"/>
    <w:rsid w:val="00F667DE"/>
    <w:rsid w:val="00F773F1"/>
    <w:rsid w:val="00F832CF"/>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uiPriority w:val="9"/>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uiPriority w:val="10"/>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link w:val="Heading5"/>
    <w:uiPriority w:val="9"/>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uiPriority w:val="99"/>
    <w:rsid w:val="00DC6DD0"/>
    <w:pPr>
      <w:tabs>
        <w:tab w:val="center" w:pos="4320"/>
        <w:tab w:val="right" w:pos="8640"/>
      </w:tabs>
    </w:pPr>
  </w:style>
  <w:style w:type="character" w:customStyle="1" w:styleId="HeaderChar">
    <w:name w:val="Header Char"/>
    <w:basedOn w:val="DefaultParagraphFont"/>
    <w:link w:val="Header"/>
    <w:uiPriority w:val="99"/>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6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link w:val="normalChar"/>
    <w:uiPriority w:val="99"/>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6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6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34"/>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61"/>
      </w:numPr>
      <w:spacing w:before="120" w:after="120"/>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59"/>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61"/>
      </w:numPr>
      <w:spacing w:before="120" w:after="120"/>
    </w:pPr>
    <w:rPr>
      <w:szCs w:val="20"/>
    </w:rPr>
  </w:style>
  <w:style w:type="paragraph" w:customStyle="1" w:styleId="ExhibitA6">
    <w:name w:val="ExhibitA6"/>
    <w:basedOn w:val="Normal"/>
    <w:rsid w:val="00D66204"/>
    <w:pPr>
      <w:numPr>
        <w:ilvl w:val="5"/>
        <w:numId w:val="61"/>
      </w:numPr>
      <w:spacing w:before="120" w:after="120"/>
    </w:pPr>
    <w:rPr>
      <w:szCs w:val="20"/>
    </w:rPr>
  </w:style>
  <w:style w:type="paragraph" w:customStyle="1" w:styleId="ExhibitA7">
    <w:name w:val="ExhibitA7"/>
    <w:basedOn w:val="Normal"/>
    <w:rsid w:val="00D66204"/>
    <w:pPr>
      <w:numPr>
        <w:ilvl w:val="6"/>
        <w:numId w:val="61"/>
      </w:numPr>
      <w:spacing w:before="120" w:after="120"/>
    </w:pPr>
    <w:rPr>
      <w:szCs w:val="20"/>
    </w:rPr>
  </w:style>
  <w:style w:type="table" w:styleId="TableGrid">
    <w:name w:val="Table Grid"/>
    <w:basedOn w:val="TableNormal"/>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0"/>
    <w:uiPriority w:val="99"/>
    <w:rsid w:val="004E02A6"/>
    <w:rPr>
      <w:rFonts w:ascii="Times" w:eastAsia="Times New Roman" w:hAnsi="Times"/>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452B-75BA-469B-957E-224673DD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9899</Words>
  <Characters>56427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15</cp:revision>
  <cp:lastPrinted>2013-11-04T16:55:00Z</cp:lastPrinted>
  <dcterms:created xsi:type="dcterms:W3CDTF">2013-11-01T16:24:00Z</dcterms:created>
  <dcterms:modified xsi:type="dcterms:W3CDTF">2013-11-04T16:56:00Z</dcterms:modified>
</cp:coreProperties>
</file>