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051E6" w14:textId="26D1F69F" w:rsidR="003B3C0B" w:rsidRPr="008F1AB2" w:rsidRDefault="008F1AB2" w:rsidP="008F1AB2">
      <w:pPr>
        <w:widowControl w:val="0"/>
        <w:ind w:left="-720" w:hanging="4"/>
        <w:jc w:val="center"/>
        <w:rPr>
          <w:rStyle w:val="Emphasis"/>
          <w:i w:val="0"/>
        </w:rPr>
      </w:pPr>
      <w:r w:rsidRPr="008F1AB2">
        <w:rPr>
          <w:rStyle w:val="Emphasis"/>
          <w:i w:val="0"/>
        </w:rPr>
        <w:t>Attachment 2</w:t>
      </w: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5CC7388D" w14:textId="77777777" w:rsidTr="00D662AB">
        <w:trPr>
          <w:cantSplit/>
          <w:trHeight w:hRule="exact" w:val="260"/>
        </w:trPr>
        <w:tc>
          <w:tcPr>
            <w:tcW w:w="10170" w:type="dxa"/>
            <w:gridSpan w:val="3"/>
          </w:tcPr>
          <w:p w14:paraId="1492BF72" w14:textId="1860A6AC" w:rsidR="003B3C0B" w:rsidRPr="00C314CE" w:rsidRDefault="003B3C0B" w:rsidP="00E51021">
            <w:pPr>
              <w:ind w:left="-86"/>
              <w:rPr>
                <w:sz w:val="12"/>
              </w:rPr>
            </w:pPr>
            <w:r w:rsidRPr="00C314CE">
              <w:rPr>
                <w:b/>
                <w:sz w:val="22"/>
              </w:rPr>
              <w:t xml:space="preserve">STANDARD AGREEMENT </w:t>
            </w:r>
            <w:r>
              <w:rPr>
                <w:sz w:val="16"/>
                <w:szCs w:val="16"/>
              </w:rPr>
              <w:t xml:space="preserve">rev </w:t>
            </w:r>
            <w:r w:rsidR="00E51021">
              <w:rPr>
                <w:sz w:val="16"/>
                <w:szCs w:val="16"/>
              </w:rPr>
              <w:t>July</w:t>
            </w:r>
            <w:r w:rsidR="00DF27CD">
              <w:rPr>
                <w:sz w:val="16"/>
                <w:szCs w:val="16"/>
              </w:rPr>
              <w:t xml:space="preserve"> 201</w:t>
            </w:r>
            <w:r w:rsidR="00E51021">
              <w:rPr>
                <w:sz w:val="16"/>
                <w:szCs w:val="16"/>
              </w:rPr>
              <w:t>7</w:t>
            </w:r>
            <w:r>
              <w:rPr>
                <w:b/>
                <w:sz w:val="22"/>
              </w:rPr>
              <w:t xml:space="preserve"> </w:t>
            </w:r>
            <w:r w:rsidRPr="00C314CE">
              <w:rPr>
                <w:b/>
                <w:sz w:val="16"/>
                <w:szCs w:val="16"/>
              </w:rPr>
              <w:t xml:space="preserve"> </w:t>
            </w:r>
          </w:p>
        </w:tc>
      </w:tr>
      <w:tr w:rsidR="003B3C0B" w:rsidRPr="00114412" w14:paraId="30460D33" w14:textId="77777777" w:rsidTr="00D662AB">
        <w:trPr>
          <w:cantSplit/>
          <w:trHeight w:hRule="exact" w:val="202"/>
        </w:trPr>
        <w:tc>
          <w:tcPr>
            <w:tcW w:w="4770" w:type="dxa"/>
          </w:tcPr>
          <w:p w14:paraId="61D165A4" w14:textId="77777777" w:rsidR="003B3C0B" w:rsidRPr="00114412" w:rsidRDefault="003B3C0B" w:rsidP="00D662AB">
            <w:pPr>
              <w:widowControl w:val="0"/>
              <w:ind w:left="-86"/>
              <w:rPr>
                <w:sz w:val="14"/>
              </w:rPr>
            </w:pPr>
          </w:p>
        </w:tc>
        <w:tc>
          <w:tcPr>
            <w:tcW w:w="2895" w:type="dxa"/>
            <w:tcBorders>
              <w:right w:val="single" w:sz="4" w:space="0" w:color="auto"/>
            </w:tcBorders>
          </w:tcPr>
          <w:p w14:paraId="39353E6A"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AA82952"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47ED72A6" w14:textId="77777777" w:rsidTr="00D662AB">
        <w:trPr>
          <w:cantSplit/>
          <w:trHeight w:hRule="exact" w:val="346"/>
        </w:trPr>
        <w:tc>
          <w:tcPr>
            <w:tcW w:w="4770" w:type="dxa"/>
            <w:tcBorders>
              <w:bottom w:val="single" w:sz="6" w:space="0" w:color="auto"/>
            </w:tcBorders>
          </w:tcPr>
          <w:p w14:paraId="0A753246"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4D166B9D"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702B4B1C"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B541F58" w14:textId="333DF0BB"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F25891">
        <w:rPr>
          <w:sz w:val="20"/>
        </w:rPr>
        <w:t>J</w:t>
      </w:r>
      <w:r w:rsidR="007724BC">
        <w:rPr>
          <w:sz w:val="20"/>
        </w:rPr>
        <w:t>CC</w:t>
      </w:r>
      <w:r w:rsidRPr="00C314CE">
        <w:rPr>
          <w:sz w:val="20"/>
        </w:rPr>
        <w:t>”</w:t>
      </w:r>
      <w:r w:rsidR="0029058D">
        <w:rPr>
          <w:sz w:val="20"/>
        </w:rPr>
        <w:t xml:space="preserve"> or “JBE”</w:t>
      </w:r>
      <w:r w:rsidRPr="00C314CE">
        <w:rPr>
          <w:sz w:val="20"/>
        </w:rPr>
        <w:t xml:space="preserve"> refers to the </w:t>
      </w:r>
      <w:r w:rsidR="007724BC">
        <w:rPr>
          <w:b/>
          <w:sz w:val="20"/>
        </w:rPr>
        <w:t>Judicial Council of California</w:t>
      </w:r>
      <w:r w:rsidRPr="00C314CE">
        <w:rPr>
          <w:sz w:val="20"/>
        </w:rPr>
        <w:t xml:space="preserve">. </w:t>
      </w:r>
    </w:p>
    <w:p w14:paraId="65437963" w14:textId="5EA9FB8A" w:rsidR="003B3C0B" w:rsidRPr="00287443" w:rsidRDefault="003B3C0B" w:rsidP="003B3C0B">
      <w:pPr>
        <w:ind w:left="-450" w:hanging="270"/>
        <w:rPr>
          <w:sz w:val="20"/>
        </w:rPr>
      </w:pPr>
      <w:r w:rsidRPr="00287443">
        <w:rPr>
          <w:sz w:val="20"/>
        </w:rPr>
        <w:t xml:space="preserve">2.  This Agreement is effective as of </w:t>
      </w:r>
      <w:r w:rsidR="008167EB">
        <w:rPr>
          <w:b/>
          <w:sz w:val="20"/>
          <w:highlight w:val="yellow"/>
        </w:rPr>
        <w:t>June 1</w:t>
      </w:r>
      <w:r w:rsidR="00E52ABD">
        <w:rPr>
          <w:b/>
          <w:sz w:val="20"/>
          <w:highlight w:val="yellow"/>
        </w:rPr>
        <w:t>4</w:t>
      </w:r>
      <w:r w:rsidR="008167EB">
        <w:rPr>
          <w:b/>
          <w:sz w:val="20"/>
          <w:highlight w:val="yellow"/>
        </w:rPr>
        <w:t>, 2019</w:t>
      </w:r>
      <w:r w:rsidRPr="00287443">
        <w:rPr>
          <w:sz w:val="20"/>
        </w:rPr>
        <w:t xml:space="preserve"> </w:t>
      </w:r>
      <w:r>
        <w:rPr>
          <w:sz w:val="20"/>
        </w:rPr>
        <w:t>(</w:t>
      </w:r>
      <w:r w:rsidRPr="00287443">
        <w:rPr>
          <w:sz w:val="20"/>
        </w:rPr>
        <w:t xml:space="preserve">“Effective Date”) and expires on </w:t>
      </w:r>
      <w:r w:rsidR="00751611">
        <w:rPr>
          <w:b/>
          <w:sz w:val="20"/>
          <w:highlight w:val="yellow"/>
        </w:rPr>
        <w:t>6/1</w:t>
      </w:r>
      <w:r w:rsidR="00E52ABD">
        <w:rPr>
          <w:b/>
          <w:sz w:val="20"/>
          <w:highlight w:val="yellow"/>
        </w:rPr>
        <w:t>4</w:t>
      </w:r>
      <w:r w:rsidR="00751611">
        <w:rPr>
          <w:b/>
          <w:sz w:val="20"/>
          <w:highlight w:val="yellow"/>
        </w:rPr>
        <w:t>/2021</w:t>
      </w:r>
      <w:r w:rsidRPr="00287443">
        <w:rPr>
          <w:sz w:val="20"/>
        </w:rPr>
        <w:t xml:space="preserve"> (“Expiration Date”).  </w:t>
      </w:r>
    </w:p>
    <w:p w14:paraId="6894C612" w14:textId="211E6E59" w:rsidR="003B3C0B" w:rsidRDefault="003B3C0B" w:rsidP="003B3C0B">
      <w:pPr>
        <w:ind w:left="-450" w:hanging="270"/>
        <w:rPr>
          <w:sz w:val="20"/>
        </w:rPr>
      </w:pPr>
      <w:r>
        <w:rPr>
          <w:sz w:val="20"/>
        </w:rPr>
        <w:t xml:space="preserve">  </w:t>
      </w:r>
      <w:r>
        <w:rPr>
          <w:sz w:val="20"/>
        </w:rPr>
        <w:tab/>
      </w:r>
      <w:r w:rsidRPr="00287443">
        <w:rPr>
          <w:sz w:val="20"/>
        </w:rPr>
        <w:t xml:space="preserve">This Agreement </w:t>
      </w:r>
      <w:r w:rsidR="007724BC" w:rsidRPr="007724BC">
        <w:rPr>
          <w:sz w:val="20"/>
        </w:rPr>
        <w:t xml:space="preserve">may be extended for one (1) year at the option of </w:t>
      </w:r>
      <w:r w:rsidR="007724BC">
        <w:rPr>
          <w:sz w:val="20"/>
        </w:rPr>
        <w:t xml:space="preserve">the </w:t>
      </w:r>
      <w:r w:rsidR="007724BC" w:rsidRPr="007724BC">
        <w:rPr>
          <w:sz w:val="20"/>
        </w:rPr>
        <w:t>Judicial Council</w:t>
      </w:r>
      <w:r w:rsidR="007724BC">
        <w:rPr>
          <w:sz w:val="20"/>
        </w:rPr>
        <w:t>.</w:t>
      </w:r>
    </w:p>
    <w:p w14:paraId="2E7F8B17" w14:textId="56AC76C1"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F25891">
        <w:rPr>
          <w:sz w:val="20"/>
        </w:rPr>
        <w:t>JUDICIAL COUNCIL OF CALIFORNIA</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p>
    <w:p w14:paraId="6E07B011" w14:textId="6ACBF6D4"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7724BC" w:rsidRPr="007724BC">
        <w:rPr>
          <w:b/>
          <w:sz w:val="20"/>
        </w:rPr>
        <w:t>Benchmarks for Statewide Collection Entities</w:t>
      </w:r>
      <w:r w:rsidR="007724BC" w:rsidRPr="007724BC">
        <w:rPr>
          <w:sz w:val="20"/>
        </w:rPr>
        <w:t>.</w:t>
      </w:r>
    </w:p>
    <w:p w14:paraId="37FA7DA7" w14:textId="77777777" w:rsidR="003B3C0B" w:rsidRDefault="003B3C0B" w:rsidP="003B3C0B">
      <w:pPr>
        <w:ind w:left="-450" w:hanging="270"/>
        <w:rPr>
          <w:sz w:val="20"/>
        </w:rPr>
      </w:pPr>
    </w:p>
    <w:p w14:paraId="1FB344B7"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3B5FDA2D" w14:textId="134D2A3B"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w:t>
      </w:r>
      <w:r w:rsidR="009E3C93">
        <w:rPr>
          <w:sz w:val="20"/>
        </w:rPr>
        <w:t xml:space="preserve"> RFP-BS-2018-03-DM (the RFP) and Contractor’s RFP Responses, </w:t>
      </w:r>
      <w:r w:rsidRPr="00287443">
        <w:rPr>
          <w:sz w:val="20"/>
        </w:rPr>
        <w:t>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6741C4F1" w14:textId="77777777" w:rsidR="003B3C0B" w:rsidRDefault="003B3C0B" w:rsidP="003B3C0B">
      <w:pPr>
        <w:ind w:left="-450" w:hanging="270"/>
        <w:rPr>
          <w:sz w:val="20"/>
        </w:rPr>
      </w:pPr>
    </w:p>
    <w:p w14:paraId="612D2E29" w14:textId="4ED353F4" w:rsidR="003B3C0B" w:rsidRPr="00287443" w:rsidRDefault="003B3C0B" w:rsidP="003B3C0B">
      <w:pPr>
        <w:ind w:left="-450" w:hanging="270"/>
        <w:rPr>
          <w:sz w:val="20"/>
        </w:rPr>
      </w:pPr>
      <w:r>
        <w:rPr>
          <w:sz w:val="20"/>
        </w:rPr>
        <w:tab/>
      </w:r>
      <w:r w:rsidRPr="00287443">
        <w:rPr>
          <w:sz w:val="20"/>
        </w:rPr>
        <w:t xml:space="preserve">Appendix A – </w:t>
      </w:r>
      <w:r w:rsidR="00445058">
        <w:rPr>
          <w:sz w:val="20"/>
        </w:rPr>
        <w:t>Services</w:t>
      </w:r>
    </w:p>
    <w:p w14:paraId="1D50C838" w14:textId="77777777" w:rsidR="003B3C0B" w:rsidRPr="00287443" w:rsidRDefault="003B3C0B" w:rsidP="003B3C0B">
      <w:pPr>
        <w:ind w:left="-450" w:hanging="270"/>
        <w:rPr>
          <w:sz w:val="20"/>
        </w:rPr>
      </w:pPr>
      <w:r w:rsidRPr="00287443">
        <w:rPr>
          <w:sz w:val="20"/>
        </w:rPr>
        <w:tab/>
        <w:t>Appendix B – Payment Provisions</w:t>
      </w:r>
    </w:p>
    <w:p w14:paraId="3F1DC058" w14:textId="77777777" w:rsidR="003B3C0B" w:rsidRPr="00287443" w:rsidRDefault="003B3C0B" w:rsidP="003B3C0B">
      <w:pPr>
        <w:ind w:left="-450" w:hanging="270"/>
        <w:rPr>
          <w:sz w:val="20"/>
        </w:rPr>
      </w:pPr>
      <w:r w:rsidRPr="00287443">
        <w:rPr>
          <w:sz w:val="20"/>
        </w:rPr>
        <w:tab/>
        <w:t>Appendix C – General Provisions</w:t>
      </w:r>
    </w:p>
    <w:p w14:paraId="7368CC0E" w14:textId="2DC906A2" w:rsidR="003B3C0B" w:rsidRDefault="003B3C0B" w:rsidP="003B3C0B">
      <w:pPr>
        <w:pBdr>
          <w:bottom w:val="single" w:sz="6" w:space="1" w:color="auto"/>
        </w:pBdr>
        <w:ind w:left="-450" w:hanging="270"/>
        <w:rPr>
          <w:sz w:val="20"/>
        </w:rPr>
      </w:pPr>
      <w:r w:rsidRPr="00287443">
        <w:rPr>
          <w:sz w:val="20"/>
        </w:rPr>
        <w:tab/>
        <w:t>Appendix D – Defined Terms</w:t>
      </w:r>
    </w:p>
    <w:p w14:paraId="14104E65" w14:textId="0385B4EF" w:rsidR="007724BC" w:rsidRPr="007724BC" w:rsidRDefault="007724BC" w:rsidP="003B3C0B">
      <w:pPr>
        <w:pBdr>
          <w:bottom w:val="single" w:sz="6" w:space="1" w:color="auto"/>
        </w:pBdr>
        <w:ind w:left="-450" w:hanging="270"/>
        <w:rPr>
          <w:i/>
          <w:sz w:val="20"/>
        </w:rPr>
      </w:pPr>
      <w:r>
        <w:rPr>
          <w:sz w:val="20"/>
        </w:rPr>
        <w:tab/>
        <w:t xml:space="preserve">Appendix E – Unruh Civil Rights Act and FEHA Certification </w:t>
      </w:r>
      <w:r w:rsidRPr="007724BC">
        <w:rPr>
          <w:i/>
          <w:sz w:val="20"/>
        </w:rPr>
        <w:t>(Only when entering into or renewing a contract $100,000 or more)</w:t>
      </w:r>
    </w:p>
    <w:p w14:paraId="6424240A" w14:textId="49D654DC" w:rsidR="009341F2" w:rsidRDefault="009341F2" w:rsidP="003B3C0B">
      <w:pPr>
        <w:pBdr>
          <w:bottom w:val="single" w:sz="6" w:space="1" w:color="auto"/>
        </w:pBdr>
        <w:ind w:left="-450" w:hanging="270"/>
        <w:rPr>
          <w:sz w:val="20"/>
        </w:rPr>
      </w:pPr>
      <w:r>
        <w:rPr>
          <w:sz w:val="20"/>
        </w:rPr>
        <w:tab/>
      </w:r>
    </w:p>
    <w:p w14:paraId="61714AB9" w14:textId="77777777" w:rsidR="003B3C0B" w:rsidRDefault="003B3C0B" w:rsidP="00205870">
      <w:pPr>
        <w:rPr>
          <w:sz w:val="20"/>
        </w:rPr>
      </w:pPr>
    </w:p>
    <w:p w14:paraId="524C96C3" w14:textId="77777777" w:rsidR="003B3C0B" w:rsidRPr="00114412" w:rsidRDefault="003B3C0B" w:rsidP="003B3C0B">
      <w:pPr>
        <w:rPr>
          <w:b/>
          <w:sz w:val="14"/>
          <w:szCs w:val="14"/>
        </w:rPr>
      </w:pPr>
    </w:p>
    <w:p w14:paraId="5F40A4D5"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0E1A12ED" w14:textId="77777777" w:rsidTr="00D662AB">
        <w:trPr>
          <w:trHeight w:hRule="exact" w:val="495"/>
        </w:trPr>
        <w:tc>
          <w:tcPr>
            <w:tcW w:w="5130" w:type="dxa"/>
            <w:tcBorders>
              <w:bottom w:val="single" w:sz="12" w:space="0" w:color="auto"/>
            </w:tcBorders>
            <w:shd w:val="clear" w:color="auto" w:fill="E0E0E0"/>
          </w:tcPr>
          <w:p w14:paraId="4E007218" w14:textId="77777777" w:rsidR="003B3C0B" w:rsidRPr="00114412" w:rsidRDefault="003B3C0B" w:rsidP="00D662AB">
            <w:pPr>
              <w:tabs>
                <w:tab w:val="left" w:pos="3600"/>
              </w:tabs>
              <w:spacing w:line="60" w:lineRule="auto"/>
              <w:jc w:val="center"/>
              <w:rPr>
                <w:b/>
                <w:sz w:val="26"/>
              </w:rPr>
            </w:pPr>
          </w:p>
          <w:p w14:paraId="0225E015" w14:textId="015EB3F6" w:rsidR="003B3C0B" w:rsidRPr="00114412" w:rsidRDefault="00F25891" w:rsidP="00D662AB">
            <w:pPr>
              <w:tabs>
                <w:tab w:val="left" w:pos="3600"/>
              </w:tabs>
              <w:jc w:val="center"/>
              <w:rPr>
                <w:b/>
              </w:rPr>
            </w:pPr>
            <w:r>
              <w:rPr>
                <w:b/>
                <w:sz w:val="20"/>
              </w:rPr>
              <w:t>JUDICIAL COUNCIL OF CALIFORNIA</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0212458C" w14:textId="77777777" w:rsidR="003B3C0B" w:rsidRPr="00114412" w:rsidRDefault="003B3C0B" w:rsidP="00D662AB">
            <w:pPr>
              <w:tabs>
                <w:tab w:val="left" w:pos="3600"/>
              </w:tabs>
              <w:spacing w:line="60" w:lineRule="auto"/>
              <w:jc w:val="center"/>
              <w:rPr>
                <w:b/>
                <w:sz w:val="26"/>
              </w:rPr>
            </w:pPr>
          </w:p>
          <w:p w14:paraId="1202BD05"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5B07D953"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1954BD19"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62E735CD" w14:textId="77777777" w:rsidR="003B3C0B" w:rsidRPr="00114412" w:rsidRDefault="003B3C0B" w:rsidP="00D662AB">
            <w:pPr>
              <w:jc w:val="both"/>
              <w:rPr>
                <w:sz w:val="13"/>
              </w:rPr>
            </w:pPr>
          </w:p>
        </w:tc>
      </w:tr>
      <w:tr w:rsidR="003B3C0B" w:rsidRPr="00114412" w14:paraId="5BEB194D"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57292356" w14:textId="77777777" w:rsidR="003B3C0B" w:rsidRDefault="003B3C0B" w:rsidP="00D662AB">
            <w:pPr>
              <w:tabs>
                <w:tab w:val="left" w:pos="3600"/>
              </w:tabs>
              <w:rPr>
                <w:sz w:val="14"/>
              </w:rPr>
            </w:pPr>
            <w:r w:rsidRPr="00C314CE">
              <w:rPr>
                <w:sz w:val="14"/>
              </w:rPr>
              <w:t xml:space="preserve"> </w:t>
            </w:r>
          </w:p>
          <w:p w14:paraId="603D8071" w14:textId="376EA5E7" w:rsidR="003B3C0B" w:rsidRPr="00114412" w:rsidRDefault="00323F3D" w:rsidP="00D662AB">
            <w:pPr>
              <w:jc w:val="both"/>
              <w:rPr>
                <w:sz w:val="18"/>
              </w:rPr>
            </w:pPr>
            <w:r>
              <w:rPr>
                <w:b/>
                <w:sz w:val="20"/>
              </w:rPr>
              <w:t>[</w:t>
            </w:r>
            <w:r w:rsidR="00F25891">
              <w:rPr>
                <w:b/>
                <w:sz w:val="20"/>
              </w:rPr>
              <w:t>JUDICIAL COUNCIL OF CALIFORN</w:t>
            </w:r>
            <w:r w:rsidR="00574614" w:rsidRPr="00E219B4">
              <w:rPr>
                <w:rFonts w:eastAsia="Times New Roman"/>
                <w:noProof/>
                <w:sz w:val="14"/>
              </w:rPr>
              <mc:AlternateContent>
                <mc:Choice Requires="wps">
                  <w:drawing>
                    <wp:anchor distT="0" distB="0" distL="114300" distR="114300" simplePos="0" relativeHeight="251659264" behindDoc="0" locked="0" layoutInCell="1" allowOverlap="1" wp14:anchorId="2ADF61E7" wp14:editId="56BBA7F1">
                      <wp:simplePos x="0" y="0"/>
                      <wp:positionH relativeFrom="column">
                        <wp:posOffset>0</wp:posOffset>
                      </wp:positionH>
                      <wp:positionV relativeFrom="paragraph">
                        <wp:posOffset>5715</wp:posOffset>
                      </wp:positionV>
                      <wp:extent cx="5387340" cy="1417320"/>
                      <wp:effectExtent l="0" t="0" r="41910" b="495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7340" cy="14173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249BCDBA" w14:textId="77777777" w:rsidR="00574614" w:rsidRPr="00FB4888" w:rsidRDefault="00574614" w:rsidP="00574614">
                                  <w:pPr>
                                    <w:spacing w:before="360"/>
                                    <w:jc w:val="center"/>
                                    <w:rPr>
                                      <w:b/>
                                      <w:smallCaps/>
                                      <w:sz w:val="48"/>
                                    </w:rPr>
                                  </w:pPr>
                                  <w:permStart w:id="38928653" w:edGrp="everyone"/>
                                  <w:r w:rsidRPr="00631BBB">
                                    <w:rPr>
                                      <w:b/>
                                      <w:smallCaps/>
                                      <w:sz w:val="48"/>
                                    </w:rPr>
                                    <w:t>Sample Only – Do Not Sign</w:t>
                                  </w:r>
                                  <w:permEnd w:id="389286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F61E7" id="Rectangle 2" o:spid="_x0000_s1026" style="position:absolute;left:0;text-align:left;margin-left:0;margin-top:.45pt;width:424.2pt;height:1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" strokecolor="#fabf8f" strokeweight="1pt">
                      <v:fill color2="#fbd4b4" focus="100%" type="gradient"/>
                      <v:shadow on="t" color="#974706" opacity=".5" offset="1pt"/>
                      <v:textbox>
                        <w:txbxContent>
                          <w:p w14:paraId="249BCDBA" w14:textId="77777777" w:rsidR="00574614" w:rsidRPr="00FB4888" w:rsidRDefault="00574614" w:rsidP="00574614">
                            <w:pPr>
                              <w:spacing w:before="360"/>
                              <w:jc w:val="center"/>
                              <w:rPr>
                                <w:b/>
                                <w:smallCaps/>
                                <w:sz w:val="48"/>
                              </w:rPr>
                            </w:pPr>
                            <w:permStart w:id="38928653" w:edGrp="everyone"/>
                            <w:r w:rsidRPr="00631BBB">
                              <w:rPr>
                                <w:b/>
                                <w:smallCaps/>
                                <w:sz w:val="48"/>
                              </w:rPr>
                              <w:t>Sample Only – Do Not Sign</w:t>
                            </w:r>
                            <w:permEnd w:id="38928653"/>
                          </w:p>
                        </w:txbxContent>
                      </v:textbox>
                    </v:rect>
                  </w:pict>
                </mc:Fallback>
              </mc:AlternateContent>
            </w:r>
            <w:r w:rsidR="00F25891">
              <w:rPr>
                <w:b/>
                <w:sz w:val="20"/>
              </w:rPr>
              <w:t>IA</w:t>
            </w:r>
            <w:r>
              <w:rPr>
                <w:b/>
                <w:sz w:val="20"/>
              </w:rPr>
              <w:t>]</w:t>
            </w:r>
          </w:p>
        </w:tc>
        <w:tc>
          <w:tcPr>
            <w:tcW w:w="4950" w:type="dxa"/>
            <w:tcBorders>
              <w:top w:val="nil"/>
              <w:left w:val="single" w:sz="8" w:space="0" w:color="auto"/>
              <w:bottom w:val="single" w:sz="8" w:space="0" w:color="auto"/>
              <w:right w:val="single" w:sz="8" w:space="0" w:color="auto"/>
            </w:tcBorders>
          </w:tcPr>
          <w:p w14:paraId="327565F7" w14:textId="77777777" w:rsidR="003B3C0B" w:rsidRPr="00114412" w:rsidRDefault="003B3C0B" w:rsidP="00D662AB">
            <w:pPr>
              <w:spacing w:before="20"/>
              <w:jc w:val="both"/>
              <w:rPr>
                <w:i/>
                <w:sz w:val="14"/>
              </w:rPr>
            </w:pPr>
            <w:r w:rsidRPr="00C314CE">
              <w:rPr>
                <w:sz w:val="14"/>
              </w:rPr>
              <w:t xml:space="preserve">CONTRACTOR’S </w:t>
            </w:r>
            <w:proofErr w:type="gramStart"/>
            <w:r w:rsidRPr="00C314CE">
              <w:rPr>
                <w:sz w:val="14"/>
              </w:rPr>
              <w:t>NAME</w:t>
            </w:r>
            <w:r>
              <w:rPr>
                <w:sz w:val="13"/>
              </w:rPr>
              <w:t xml:space="preserve">  </w:t>
            </w:r>
            <w:r w:rsidRPr="00C314CE">
              <w:rPr>
                <w:i/>
                <w:sz w:val="14"/>
              </w:rPr>
              <w:t>(</w:t>
            </w:r>
            <w:proofErr w:type="gramEnd"/>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5CD57252" w14:textId="77777777" w:rsidR="003B3C0B" w:rsidRPr="00114412" w:rsidRDefault="003B3C0B" w:rsidP="00D662AB">
            <w:pPr>
              <w:jc w:val="both"/>
              <w:rPr>
                <w:sz w:val="13"/>
              </w:rPr>
            </w:pPr>
            <w:r>
              <w:rPr>
                <w:sz w:val="13"/>
              </w:rPr>
              <w:t xml:space="preserve">      </w:t>
            </w:r>
          </w:p>
          <w:p w14:paraId="038F9979" w14:textId="77777777" w:rsidR="003B3C0B" w:rsidRPr="00287443" w:rsidRDefault="003B3C0B" w:rsidP="00D662AB">
            <w:pPr>
              <w:tabs>
                <w:tab w:val="left" w:pos="3600"/>
              </w:tabs>
              <w:rPr>
                <w:sz w:val="20"/>
              </w:rPr>
            </w:pPr>
            <w:r w:rsidRPr="00287443">
              <w:rPr>
                <w:b/>
                <w:sz w:val="20"/>
                <w:highlight w:val="yellow"/>
              </w:rPr>
              <w:t>[Contractor name]</w:t>
            </w:r>
          </w:p>
          <w:p w14:paraId="36FF56BA" w14:textId="77777777" w:rsidR="003B3C0B" w:rsidRPr="00114412" w:rsidRDefault="003B3C0B" w:rsidP="00D662AB">
            <w:pPr>
              <w:tabs>
                <w:tab w:val="left" w:pos="3600"/>
              </w:tabs>
            </w:pPr>
          </w:p>
          <w:p w14:paraId="7CAEF801" w14:textId="77777777" w:rsidR="003B3C0B" w:rsidRPr="00114412" w:rsidRDefault="003B3C0B" w:rsidP="00D662AB">
            <w:pPr>
              <w:tabs>
                <w:tab w:val="left" w:pos="3600"/>
              </w:tabs>
            </w:pPr>
          </w:p>
          <w:p w14:paraId="5F6D47C8" w14:textId="77777777" w:rsidR="003B3C0B" w:rsidRPr="00114412" w:rsidRDefault="003B3C0B" w:rsidP="00D662AB">
            <w:pPr>
              <w:tabs>
                <w:tab w:val="left" w:pos="3600"/>
              </w:tabs>
            </w:pPr>
          </w:p>
          <w:p w14:paraId="7E67A296" w14:textId="77777777" w:rsidR="003B3C0B" w:rsidRPr="00114412" w:rsidRDefault="003B3C0B" w:rsidP="00D662AB">
            <w:pPr>
              <w:tabs>
                <w:tab w:val="left" w:pos="3600"/>
              </w:tabs>
              <w:rPr>
                <w:color w:val="0000FF"/>
              </w:rPr>
            </w:pPr>
            <w:r>
              <w:t xml:space="preserve"> </w:t>
            </w:r>
          </w:p>
          <w:p w14:paraId="68D55A03" w14:textId="77777777" w:rsidR="003B3C0B" w:rsidRPr="00114412" w:rsidRDefault="003B3C0B" w:rsidP="00D662AB">
            <w:pPr>
              <w:tabs>
                <w:tab w:val="left" w:pos="3600"/>
              </w:tabs>
              <w:rPr>
                <w:sz w:val="18"/>
              </w:rPr>
            </w:pPr>
          </w:p>
        </w:tc>
      </w:tr>
      <w:tr w:rsidR="003B3C0B" w:rsidRPr="00114412" w14:paraId="08066DA0"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536949C"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79F00540" w14:textId="77777777" w:rsidR="003B3C0B" w:rsidRPr="00114412" w:rsidRDefault="003B3C0B" w:rsidP="00D662AB">
            <w:pPr>
              <w:spacing w:before="20"/>
              <w:rPr>
                <w:sz w:val="14"/>
              </w:rPr>
            </w:pPr>
          </w:p>
        </w:tc>
      </w:tr>
      <w:tr w:rsidR="003B3C0B" w:rsidRPr="00114412" w14:paraId="52F4B4DF"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79A852E3"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4980BE68"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6B158401"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33760D9B"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66F76BA5"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10CBA662"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FBAA922" w14:textId="77777777" w:rsidR="003B3C0B" w:rsidRPr="00114412" w:rsidRDefault="003B3C0B" w:rsidP="00D662AB">
            <w:pPr>
              <w:tabs>
                <w:tab w:val="left" w:pos="3600"/>
              </w:tabs>
              <w:rPr>
                <w:sz w:val="14"/>
              </w:rPr>
            </w:pPr>
          </w:p>
        </w:tc>
      </w:tr>
      <w:tr w:rsidR="003B3C0B" w:rsidRPr="00114412" w14:paraId="1AE90D64"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3CE9812B"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650D1B7F" w14:textId="77777777" w:rsidR="003B3C0B" w:rsidRPr="00287443" w:rsidRDefault="003B3C0B" w:rsidP="00D662AB">
            <w:pPr>
              <w:tabs>
                <w:tab w:val="left" w:pos="3600"/>
              </w:tabs>
              <w:rPr>
                <w:sz w:val="16"/>
              </w:rPr>
            </w:pPr>
          </w:p>
          <w:p w14:paraId="42E4BEEA"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5C7CE070" w14:textId="77777777" w:rsidR="003B3C0B" w:rsidRPr="00287443" w:rsidRDefault="003B3C0B" w:rsidP="00D662AB">
            <w:pPr>
              <w:tabs>
                <w:tab w:val="left" w:pos="3600"/>
              </w:tabs>
              <w:rPr>
                <w:sz w:val="14"/>
              </w:rPr>
            </w:pPr>
            <w:r w:rsidRPr="00287443">
              <w:rPr>
                <w:sz w:val="14"/>
              </w:rPr>
              <w:t xml:space="preserve"> PRINTED NAME AND TITLE OF PERSON SIGNING</w:t>
            </w:r>
          </w:p>
          <w:p w14:paraId="3DBB02D4" w14:textId="77777777" w:rsidR="003B3C0B" w:rsidRPr="00287443" w:rsidRDefault="003B3C0B" w:rsidP="00D662AB">
            <w:pPr>
              <w:tabs>
                <w:tab w:val="left" w:pos="3600"/>
              </w:tabs>
              <w:rPr>
                <w:sz w:val="20"/>
              </w:rPr>
            </w:pPr>
          </w:p>
          <w:p w14:paraId="4A684632" w14:textId="77777777" w:rsidR="003B3C0B" w:rsidRPr="00287443" w:rsidRDefault="003B3C0B" w:rsidP="00D662AB">
            <w:pPr>
              <w:tabs>
                <w:tab w:val="left" w:pos="3600"/>
              </w:tabs>
              <w:rPr>
                <w:sz w:val="20"/>
              </w:rPr>
            </w:pPr>
            <w:r w:rsidRPr="00287443">
              <w:rPr>
                <w:b/>
                <w:sz w:val="20"/>
                <w:highlight w:val="yellow"/>
              </w:rPr>
              <w:t>[Name and title]</w:t>
            </w:r>
          </w:p>
          <w:p w14:paraId="1D59DB6F" w14:textId="77777777" w:rsidR="003B3C0B" w:rsidRPr="00287443" w:rsidRDefault="003B3C0B" w:rsidP="00D662AB">
            <w:pPr>
              <w:pStyle w:val="Header"/>
              <w:tabs>
                <w:tab w:val="left" w:pos="3600"/>
              </w:tabs>
            </w:pPr>
            <w:r w:rsidRPr="00287443">
              <w:t xml:space="preserve"> </w:t>
            </w:r>
          </w:p>
          <w:p w14:paraId="1B44010D" w14:textId="77777777" w:rsidR="003B3C0B" w:rsidRPr="00287443" w:rsidRDefault="003B3C0B" w:rsidP="00D662AB">
            <w:pPr>
              <w:tabs>
                <w:tab w:val="left" w:pos="3600"/>
              </w:tabs>
              <w:rPr>
                <w:sz w:val="16"/>
              </w:rPr>
            </w:pPr>
            <w:r w:rsidRPr="00287443">
              <w:rPr>
                <w:sz w:val="16"/>
              </w:rPr>
              <w:t xml:space="preserve"> </w:t>
            </w:r>
          </w:p>
        </w:tc>
      </w:tr>
      <w:tr w:rsidR="003B3C0B" w:rsidRPr="00114412" w14:paraId="25CB32B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79B37B9C" w14:textId="77777777" w:rsidR="003B3C0B" w:rsidRDefault="003B3C0B" w:rsidP="00D662AB">
            <w:pPr>
              <w:tabs>
                <w:tab w:val="left" w:pos="3600"/>
              </w:tabs>
              <w:rPr>
                <w:sz w:val="14"/>
              </w:rPr>
            </w:pPr>
            <w:r>
              <w:rPr>
                <w:sz w:val="14"/>
              </w:rPr>
              <w:t xml:space="preserve"> DATE EXECUTED</w:t>
            </w:r>
          </w:p>
          <w:p w14:paraId="7599F80B" w14:textId="77777777" w:rsidR="00993261" w:rsidRDefault="00993261" w:rsidP="00D662AB">
            <w:pPr>
              <w:tabs>
                <w:tab w:val="left" w:pos="3600"/>
              </w:tabs>
              <w:rPr>
                <w:sz w:val="14"/>
              </w:rPr>
            </w:pPr>
          </w:p>
          <w:p w14:paraId="2ECDBF40"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262EBA77" w14:textId="77777777" w:rsidR="003B3C0B" w:rsidRDefault="003B3C0B" w:rsidP="00D662AB">
            <w:pPr>
              <w:tabs>
                <w:tab w:val="left" w:pos="3600"/>
              </w:tabs>
              <w:rPr>
                <w:sz w:val="14"/>
              </w:rPr>
            </w:pPr>
            <w:r>
              <w:rPr>
                <w:sz w:val="13"/>
              </w:rPr>
              <w:t xml:space="preserve"> </w:t>
            </w:r>
            <w:r>
              <w:rPr>
                <w:sz w:val="14"/>
              </w:rPr>
              <w:t>DATE EXECUTED</w:t>
            </w:r>
          </w:p>
          <w:p w14:paraId="69B43441" w14:textId="77777777" w:rsidR="003F1B2B" w:rsidRDefault="003F1B2B" w:rsidP="00D662AB">
            <w:pPr>
              <w:tabs>
                <w:tab w:val="left" w:pos="3600"/>
              </w:tabs>
              <w:rPr>
                <w:sz w:val="14"/>
              </w:rPr>
            </w:pPr>
          </w:p>
          <w:p w14:paraId="41459753"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08F2B9AC"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7F64FE46"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07BD04B" w14:textId="77777777" w:rsidR="003B3C0B" w:rsidRPr="00114412" w:rsidRDefault="003B3C0B" w:rsidP="00D662AB">
            <w:pPr>
              <w:tabs>
                <w:tab w:val="left" w:pos="3600"/>
              </w:tabs>
              <w:rPr>
                <w:sz w:val="13"/>
              </w:rPr>
            </w:pPr>
          </w:p>
        </w:tc>
      </w:tr>
      <w:tr w:rsidR="003B3C0B" w:rsidRPr="00114412" w14:paraId="3F9CF0E2"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62C9A897" w14:textId="77777777" w:rsidR="003B3C0B" w:rsidRPr="00287443" w:rsidRDefault="003B3C0B" w:rsidP="00D662AB">
            <w:pPr>
              <w:tabs>
                <w:tab w:val="left" w:pos="3600"/>
              </w:tabs>
              <w:rPr>
                <w:sz w:val="14"/>
              </w:rPr>
            </w:pPr>
            <w:r w:rsidRPr="00287443">
              <w:rPr>
                <w:sz w:val="14"/>
              </w:rPr>
              <w:t xml:space="preserve"> ADDRESS</w:t>
            </w:r>
          </w:p>
          <w:p w14:paraId="6D559007" w14:textId="77777777" w:rsidR="003B3C0B" w:rsidRPr="00287443" w:rsidRDefault="003B3C0B" w:rsidP="00D662AB">
            <w:pPr>
              <w:tabs>
                <w:tab w:val="left" w:pos="3600"/>
              </w:tabs>
              <w:rPr>
                <w:sz w:val="14"/>
              </w:rPr>
            </w:pPr>
          </w:p>
          <w:p w14:paraId="06836152" w14:textId="77777777" w:rsidR="003B3C0B" w:rsidRPr="00287443" w:rsidRDefault="003B3C0B" w:rsidP="00D662AB">
            <w:pPr>
              <w:tabs>
                <w:tab w:val="left" w:pos="3600"/>
              </w:tabs>
              <w:rPr>
                <w:sz w:val="20"/>
              </w:rPr>
            </w:pPr>
            <w:r w:rsidRPr="00287443">
              <w:rPr>
                <w:b/>
                <w:sz w:val="20"/>
                <w:highlight w:val="yellow"/>
              </w:rPr>
              <w:t>[Address]</w:t>
            </w:r>
          </w:p>
        </w:tc>
        <w:tc>
          <w:tcPr>
            <w:tcW w:w="4950" w:type="dxa"/>
            <w:tcBorders>
              <w:top w:val="nil"/>
              <w:left w:val="single" w:sz="8" w:space="0" w:color="auto"/>
              <w:bottom w:val="single" w:sz="8" w:space="0" w:color="auto"/>
              <w:right w:val="single" w:sz="8" w:space="0" w:color="auto"/>
            </w:tcBorders>
          </w:tcPr>
          <w:p w14:paraId="7939352B"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22B99D2C" w14:textId="77777777" w:rsidR="003B3C0B" w:rsidRPr="00287443" w:rsidRDefault="003B3C0B" w:rsidP="00D662AB">
            <w:pPr>
              <w:tabs>
                <w:tab w:val="left" w:pos="3600"/>
              </w:tabs>
              <w:rPr>
                <w:sz w:val="16"/>
              </w:rPr>
            </w:pPr>
          </w:p>
          <w:p w14:paraId="45CF5FD9" w14:textId="77777777" w:rsidR="003B3C0B" w:rsidRPr="00287443" w:rsidRDefault="003B3C0B" w:rsidP="00D662AB">
            <w:pPr>
              <w:tabs>
                <w:tab w:val="left" w:pos="3600"/>
              </w:tabs>
              <w:rPr>
                <w:sz w:val="20"/>
              </w:rPr>
            </w:pPr>
            <w:r w:rsidRPr="00287443">
              <w:rPr>
                <w:b/>
                <w:sz w:val="20"/>
                <w:highlight w:val="yellow"/>
              </w:rPr>
              <w:t>[Address]</w:t>
            </w:r>
          </w:p>
        </w:tc>
      </w:tr>
    </w:tbl>
    <w:p w14:paraId="02D1DAE8" w14:textId="77777777" w:rsidR="003B3C0B" w:rsidRPr="00114412" w:rsidRDefault="003B3C0B" w:rsidP="003B3C0B">
      <w:pPr>
        <w:rPr>
          <w:b/>
          <w:sz w:val="14"/>
          <w:szCs w:val="14"/>
        </w:rPr>
      </w:pPr>
    </w:p>
    <w:p w14:paraId="47C7B0BA" w14:textId="77777777" w:rsidR="003B3C0B" w:rsidRPr="00114412" w:rsidRDefault="003B3C0B" w:rsidP="003B3C0B">
      <w:pPr>
        <w:rPr>
          <w:b/>
          <w:sz w:val="14"/>
          <w:szCs w:val="14"/>
        </w:rPr>
      </w:pPr>
      <w:r w:rsidRPr="00C314CE">
        <w:rPr>
          <w:b/>
          <w:sz w:val="14"/>
          <w:szCs w:val="14"/>
        </w:rPr>
        <w:t xml:space="preserve">                                                                                        </w:t>
      </w:r>
    </w:p>
    <w:p w14:paraId="52D39D1F" w14:textId="77777777" w:rsidR="003B3C0B" w:rsidRPr="00287443" w:rsidRDefault="003B3C0B" w:rsidP="003B3C0B">
      <w:pPr>
        <w:ind w:left="-450" w:hanging="270"/>
        <w:rPr>
          <w:sz w:val="20"/>
        </w:rPr>
      </w:pPr>
    </w:p>
    <w:p w14:paraId="1B3F9F08" w14:textId="77777777" w:rsidR="003B3C0B" w:rsidRDefault="003B3C0B">
      <w:pPr>
        <w:rPr>
          <w:rFonts w:asciiTheme="minorHAnsi" w:eastAsiaTheme="majorEastAsia" w:hAnsiTheme="minorHAnsi" w:cstheme="minorHAnsi"/>
          <w:b/>
          <w:bCs/>
          <w:color w:val="000000" w:themeColor="text1"/>
          <w:kern w:val="28"/>
          <w:sz w:val="20"/>
        </w:rPr>
      </w:pPr>
    </w:p>
    <w:p w14:paraId="72C4B78A"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7FC22DD4" w14:textId="77777777" w:rsidR="003B3C0B" w:rsidRDefault="003B3C0B">
      <w:pPr>
        <w:rPr>
          <w:rFonts w:asciiTheme="minorHAnsi" w:eastAsiaTheme="majorEastAsia" w:hAnsiTheme="minorHAnsi" w:cstheme="minorHAnsi"/>
          <w:b/>
          <w:bCs/>
          <w:color w:val="000000" w:themeColor="text1"/>
          <w:kern w:val="28"/>
          <w:sz w:val="20"/>
        </w:rPr>
      </w:pPr>
    </w:p>
    <w:p w14:paraId="5765123A"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5B7930C8"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3515035" w14:textId="2C78A09F"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717EDC24" w14:textId="77777777" w:rsidR="00B7449E" w:rsidRPr="00EC158B" w:rsidRDefault="00B7449E" w:rsidP="00B7449E">
      <w:pPr>
        <w:spacing w:line="300" w:lineRule="atLeast"/>
        <w:ind w:left="360"/>
        <w:rPr>
          <w:rFonts w:asciiTheme="minorHAnsi" w:hAnsiTheme="minorHAnsi" w:cstheme="minorHAnsi"/>
          <w:sz w:val="20"/>
        </w:rPr>
      </w:pPr>
    </w:p>
    <w:p w14:paraId="2AD03795"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5A4A5B93" w14:textId="1ECF13BA" w:rsidR="003B6793" w:rsidRPr="003B6793" w:rsidRDefault="003B6793" w:rsidP="003B6793">
      <w:pPr>
        <w:spacing w:before="120" w:after="120"/>
        <w:ind w:left="360"/>
        <w:rPr>
          <w:rFonts w:asciiTheme="minorHAnsi" w:hAnsiTheme="minorHAnsi" w:cstheme="minorHAnsi"/>
          <w:b/>
          <w:sz w:val="20"/>
        </w:rPr>
      </w:pPr>
      <w:r w:rsidRPr="003B6793">
        <w:rPr>
          <w:rFonts w:asciiTheme="minorHAnsi" w:hAnsiTheme="minorHAnsi" w:cstheme="minorHAnsi"/>
          <w:b/>
          <w:sz w:val="20"/>
        </w:rPr>
        <w:t xml:space="preserve">1.1 </w:t>
      </w:r>
      <w:r w:rsidRPr="003B6793">
        <w:rPr>
          <w:rFonts w:asciiTheme="minorHAnsi" w:hAnsiTheme="minorHAnsi" w:cstheme="minorHAnsi"/>
          <w:b/>
          <w:sz w:val="20"/>
          <w:u w:val="single"/>
        </w:rPr>
        <w:t>Background</w:t>
      </w:r>
    </w:p>
    <w:p w14:paraId="72620543" w14:textId="41654A0F" w:rsidR="003B6793" w:rsidRPr="003B6793" w:rsidRDefault="003B6793" w:rsidP="003B6793">
      <w:pPr>
        <w:spacing w:before="120" w:after="120"/>
        <w:ind w:left="360"/>
        <w:rPr>
          <w:rFonts w:asciiTheme="minorHAnsi" w:hAnsiTheme="minorHAnsi" w:cstheme="minorHAnsi"/>
          <w:sz w:val="20"/>
        </w:rPr>
      </w:pPr>
      <w:r w:rsidRPr="003B6793">
        <w:rPr>
          <w:rFonts w:asciiTheme="minorHAnsi" w:hAnsiTheme="minorHAnsi" w:cstheme="minorHAnsi"/>
          <w:sz w:val="20"/>
        </w:rPr>
        <w:t xml:space="preserve">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Judicial Council of California (JCC) is the staff agency for the council and assists both the council and its chair in performing their duties. </w:t>
      </w:r>
    </w:p>
    <w:p w14:paraId="422AFD48" w14:textId="4FAA3081" w:rsidR="003B6793" w:rsidRPr="003B6793" w:rsidRDefault="003B6793" w:rsidP="003B6793">
      <w:pPr>
        <w:spacing w:before="120" w:after="120"/>
        <w:ind w:left="360"/>
        <w:rPr>
          <w:rFonts w:asciiTheme="minorHAnsi" w:hAnsiTheme="minorHAnsi" w:cstheme="minorHAnsi"/>
          <w:sz w:val="20"/>
        </w:rPr>
      </w:pPr>
      <w:r>
        <w:rPr>
          <w:rFonts w:asciiTheme="minorHAnsi" w:hAnsiTheme="minorHAnsi" w:cstheme="minorHAnsi"/>
          <w:sz w:val="20"/>
        </w:rPr>
        <w:t>I</w:t>
      </w:r>
      <w:r w:rsidRPr="003B6793">
        <w:rPr>
          <w:rFonts w:asciiTheme="minorHAnsi" w:hAnsiTheme="minorHAnsi" w:cstheme="minorHAnsi"/>
          <w:sz w:val="20"/>
        </w:rPr>
        <w:t>n July 2007, AB 367 Court-ordered debt was signed into law, it required the Judicial Council to develop performance measures and benchmarks to review the effectiveness of court and county collection programs (participating entities); and to report on these collection programs to the Legislature on or before December 31st annually.</w:t>
      </w:r>
      <w:r w:rsidR="00A41BDA">
        <w:rPr>
          <w:rFonts w:asciiTheme="minorHAnsi" w:hAnsiTheme="minorHAnsi" w:cstheme="minorHAnsi"/>
          <w:sz w:val="20"/>
        </w:rPr>
        <w:t xml:space="preserve"> </w:t>
      </w:r>
      <w:r w:rsidR="00471191">
        <w:rPr>
          <w:rFonts w:asciiTheme="minorHAnsi" w:hAnsiTheme="minorHAnsi" w:cstheme="minorHAnsi"/>
          <w:sz w:val="20"/>
        </w:rPr>
        <w:t xml:space="preserve">  </w:t>
      </w:r>
      <w:proofErr w:type="gramStart"/>
      <w:r w:rsidR="00471191">
        <w:rPr>
          <w:rFonts w:asciiTheme="minorHAnsi" w:hAnsiTheme="minorHAnsi" w:cstheme="minorHAnsi"/>
          <w:sz w:val="20"/>
        </w:rPr>
        <w:t>In order to</w:t>
      </w:r>
      <w:proofErr w:type="gramEnd"/>
      <w:r w:rsidR="00471191">
        <w:rPr>
          <w:rFonts w:asciiTheme="minorHAnsi" w:hAnsiTheme="minorHAnsi" w:cstheme="minorHAnsi"/>
          <w:sz w:val="20"/>
        </w:rPr>
        <w:t xml:space="preserve"> meet the legislative </w:t>
      </w:r>
      <w:r w:rsidR="00D410B7">
        <w:rPr>
          <w:rFonts w:asciiTheme="minorHAnsi" w:hAnsiTheme="minorHAnsi" w:cstheme="minorHAnsi"/>
          <w:sz w:val="20"/>
        </w:rPr>
        <w:t xml:space="preserve">mandate, the Judicial Council sought to enter into a contract with a person or entity with expertise to provide comprehensive benchmarking.  </w:t>
      </w:r>
      <w:r w:rsidRPr="003B6793">
        <w:rPr>
          <w:rFonts w:asciiTheme="minorHAnsi" w:hAnsiTheme="minorHAnsi" w:cstheme="minorHAnsi"/>
          <w:sz w:val="20"/>
        </w:rPr>
        <w:t>The Collections Reporting Template (CRT), and the benchmarks were established in 2008.</w:t>
      </w:r>
    </w:p>
    <w:p w14:paraId="10F11531" w14:textId="5D12AAC5" w:rsidR="0066703F" w:rsidRDefault="003B6793" w:rsidP="002F15A9">
      <w:pPr>
        <w:spacing w:before="120" w:after="120"/>
        <w:ind w:left="360"/>
        <w:rPr>
          <w:rFonts w:asciiTheme="minorHAnsi" w:hAnsiTheme="minorHAnsi" w:cstheme="minorHAnsi"/>
          <w:sz w:val="20"/>
        </w:rPr>
      </w:pPr>
      <w:r w:rsidRPr="003B6793">
        <w:rPr>
          <w:rFonts w:asciiTheme="minorHAnsi" w:hAnsiTheme="minorHAnsi" w:cstheme="minorHAnsi"/>
          <w:sz w:val="20"/>
        </w:rPr>
        <w:t>As part of the Public Safety Trailer bill with the 2018 Budget, Government Code 68514(b) was enacted which states that “Judicial Council shall separately list the information required by subdivision (a) for fines and fees assessed in a year prior to the current reporting year that had outstanding balances in the current reporting year.”  The existing CRT was modified to capture the new data, including the separation of collections information by period, which substantially impacted the Gross Recovery Rate</w:t>
      </w:r>
      <w:r w:rsidR="00A2499E">
        <w:rPr>
          <w:rFonts w:asciiTheme="minorHAnsi" w:hAnsiTheme="minorHAnsi" w:cstheme="minorHAnsi"/>
          <w:sz w:val="20"/>
        </w:rPr>
        <w:t xml:space="preserve"> (GR)</w:t>
      </w:r>
      <w:r w:rsidRPr="003B6793">
        <w:rPr>
          <w:rFonts w:asciiTheme="minorHAnsi" w:hAnsiTheme="minorHAnsi" w:cstheme="minorHAnsi"/>
          <w:sz w:val="20"/>
        </w:rPr>
        <w:t xml:space="preserve"> and Success Rate</w:t>
      </w:r>
      <w:r w:rsidR="00A2499E">
        <w:rPr>
          <w:rFonts w:asciiTheme="minorHAnsi" w:hAnsiTheme="minorHAnsi" w:cstheme="minorHAnsi"/>
          <w:sz w:val="20"/>
        </w:rPr>
        <w:t xml:space="preserve"> (SR)</w:t>
      </w:r>
      <w:r w:rsidRPr="003B6793">
        <w:rPr>
          <w:rFonts w:asciiTheme="minorHAnsi" w:hAnsiTheme="minorHAnsi" w:cstheme="minorHAnsi"/>
          <w:sz w:val="20"/>
        </w:rPr>
        <w:t xml:space="preserve"> for all participating entities.  </w:t>
      </w:r>
    </w:p>
    <w:p w14:paraId="1C91730D" w14:textId="34829C83" w:rsidR="002F15A9" w:rsidRPr="00796598" w:rsidRDefault="002F15A9" w:rsidP="002F15A9">
      <w:pPr>
        <w:spacing w:before="120" w:after="120"/>
        <w:ind w:left="360"/>
        <w:rPr>
          <w:rFonts w:asciiTheme="minorHAnsi" w:hAnsiTheme="minorHAnsi" w:cstheme="minorHAnsi"/>
          <w:b/>
          <w:sz w:val="20"/>
        </w:rPr>
      </w:pPr>
      <w:r w:rsidRPr="00796598">
        <w:rPr>
          <w:rFonts w:asciiTheme="minorHAnsi" w:hAnsiTheme="minorHAnsi" w:cstheme="minorHAnsi"/>
          <w:b/>
          <w:sz w:val="20"/>
        </w:rPr>
        <w:t>The Judicial Council is entering into a contract with the Contractor with expertise to provide</w:t>
      </w:r>
      <w:r w:rsidR="00A41BDA" w:rsidRPr="00796598">
        <w:rPr>
          <w:rFonts w:asciiTheme="minorHAnsi" w:hAnsiTheme="minorHAnsi" w:cstheme="minorHAnsi"/>
          <w:b/>
          <w:sz w:val="20"/>
        </w:rPr>
        <w:t xml:space="preserve"> </w:t>
      </w:r>
      <w:r w:rsidRPr="00796598">
        <w:rPr>
          <w:rFonts w:asciiTheme="minorHAnsi" w:hAnsiTheme="minorHAnsi" w:cstheme="minorHAnsi"/>
          <w:b/>
          <w:sz w:val="20"/>
        </w:rPr>
        <w:t>updates to the established benchmarks.</w:t>
      </w:r>
    </w:p>
    <w:p w14:paraId="582EDB53" w14:textId="77777777" w:rsidR="002F15A9" w:rsidRPr="002F15A9" w:rsidRDefault="002F15A9" w:rsidP="002F15A9">
      <w:pPr>
        <w:spacing w:before="120" w:after="120"/>
        <w:ind w:left="360"/>
        <w:rPr>
          <w:rFonts w:asciiTheme="minorHAnsi" w:hAnsiTheme="minorHAnsi" w:cstheme="minorHAnsi"/>
          <w:sz w:val="20"/>
        </w:rPr>
      </w:pPr>
      <w:r w:rsidRPr="002F15A9">
        <w:rPr>
          <w:rFonts w:asciiTheme="minorHAnsi" w:hAnsiTheme="minorHAnsi" w:cstheme="minorHAnsi"/>
          <w:sz w:val="20"/>
        </w:rPr>
        <w:t xml:space="preserve">Penal Code Section 1463.010 charges the Judicial Council with adopting guidelines for a comprehensive program for collections and provides for the establishment of performance measures and benchmarks.  </w:t>
      </w:r>
    </w:p>
    <w:p w14:paraId="0BC6A5E9" w14:textId="21ACB039" w:rsidR="00E71A67" w:rsidRPr="00DA216D" w:rsidRDefault="00E456F5" w:rsidP="00DA216D">
      <w:pPr>
        <w:spacing w:before="120" w:after="120"/>
        <w:ind w:left="360"/>
        <w:rPr>
          <w:rFonts w:asciiTheme="minorHAnsi" w:hAnsiTheme="minorHAnsi" w:cstheme="minorHAnsi"/>
          <w:sz w:val="20"/>
        </w:rPr>
      </w:pPr>
      <w:r w:rsidRPr="00E456F5">
        <w:rPr>
          <w:rFonts w:asciiTheme="minorHAnsi" w:hAnsiTheme="minorHAnsi" w:cstheme="minorHAnsi"/>
          <w:sz w:val="20"/>
        </w:rPr>
        <w:t xml:space="preserve">Government Code Section 68514 required the data being collected by the Judicial Council from the Participating Entities to be separated into prior fiscal year and current fiscal year sections.  The existing CRT was modified to capture the new data, including the separation of collections information by period, which substantially impacted the GRR and SR for all participating entities. Using the benchmarks at their current value, the GRR and SR are no longer valid. The benchmarks which were established in 2009 are set at 34 percent for GRR and 31 percent for SR.  </w:t>
      </w:r>
      <w:r w:rsidR="0066703F" w:rsidRPr="002F15A9">
        <w:rPr>
          <w:rFonts w:asciiTheme="minorHAnsi" w:hAnsiTheme="minorHAnsi" w:cstheme="minorHAnsi"/>
          <w:i/>
          <w:sz w:val="20"/>
        </w:rPr>
        <w:t xml:space="preserve"> </w:t>
      </w:r>
    </w:p>
    <w:p w14:paraId="52110876"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727E73A0" w14:textId="68183793"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652216" w:rsidRPr="00652216">
        <w:rPr>
          <w:rFonts w:asciiTheme="minorHAnsi" w:hAnsiTheme="minorHAnsi" w:cstheme="minorHAnsi"/>
          <w:sz w:val="20"/>
        </w:rPr>
        <w:t>Contractor may work remotely for the entire duration of the project.  A representative must be available via phone for meetings with staff, participating entities or committees.</w:t>
      </w:r>
      <w:r w:rsidR="00652216">
        <w:rPr>
          <w:rFonts w:asciiTheme="minorHAnsi" w:hAnsiTheme="minorHAnsi" w:cstheme="minorHAnsi"/>
          <w:sz w:val="20"/>
        </w:rPr>
        <w:t xml:space="preserve"> </w:t>
      </w:r>
      <w:r w:rsidR="00060045" w:rsidRPr="00EC158B">
        <w:rPr>
          <w:rFonts w:asciiTheme="minorHAnsi" w:hAnsiTheme="minorHAnsi" w:cstheme="minorHAnsi"/>
          <w:sz w:val="20"/>
        </w:rPr>
        <w:t>Contractor shall perform the following services (“Services”):</w:t>
      </w:r>
    </w:p>
    <w:p w14:paraId="6FC89F7F" w14:textId="22A72B3A" w:rsidR="000417DE" w:rsidRPr="000417DE" w:rsidRDefault="000417DE" w:rsidP="000417DE">
      <w:pPr>
        <w:pStyle w:val="ListParagraph"/>
        <w:numPr>
          <w:ilvl w:val="0"/>
          <w:numId w:val="21"/>
        </w:numPr>
        <w:spacing w:before="120" w:after="120"/>
        <w:rPr>
          <w:rFonts w:asciiTheme="minorHAnsi" w:hAnsiTheme="minorHAnsi" w:cstheme="minorHAnsi"/>
          <w:sz w:val="20"/>
        </w:rPr>
      </w:pPr>
      <w:r w:rsidRPr="005B3FDF">
        <w:rPr>
          <w:rFonts w:asciiTheme="minorHAnsi" w:hAnsiTheme="minorHAnsi" w:cstheme="minorHAnsi"/>
          <w:b/>
          <w:sz w:val="20"/>
        </w:rPr>
        <w:t>Project Initiation</w:t>
      </w:r>
      <w:r w:rsidRPr="000417DE">
        <w:rPr>
          <w:rFonts w:asciiTheme="minorHAnsi" w:hAnsiTheme="minorHAnsi" w:cstheme="minorHAnsi"/>
          <w:sz w:val="20"/>
        </w:rPr>
        <w:t xml:space="preserve">: Contractor will facilitate a one-hour conference call at the onset of the phase to review the work plan and clarify the deliverable schedule, outlined in </w:t>
      </w:r>
      <w:proofErr w:type="gramStart"/>
      <w:r w:rsidRPr="000417DE">
        <w:rPr>
          <w:rFonts w:asciiTheme="minorHAnsi" w:hAnsiTheme="minorHAnsi" w:cstheme="minorHAnsi"/>
          <w:sz w:val="20"/>
        </w:rPr>
        <w:t xml:space="preserve">the </w:t>
      </w:r>
      <w:r w:rsidR="00C80761">
        <w:rPr>
          <w:rFonts w:asciiTheme="minorHAnsi" w:hAnsiTheme="minorHAnsi" w:cstheme="minorHAnsi"/>
          <w:sz w:val="20"/>
        </w:rPr>
        <w:t>this</w:t>
      </w:r>
      <w:proofErr w:type="gramEnd"/>
      <w:r w:rsidR="00C80761">
        <w:rPr>
          <w:rFonts w:asciiTheme="minorHAnsi" w:hAnsiTheme="minorHAnsi" w:cstheme="minorHAnsi"/>
          <w:sz w:val="20"/>
        </w:rPr>
        <w:t xml:space="preserve"> section, </w:t>
      </w:r>
      <w:r w:rsidRPr="000417DE">
        <w:rPr>
          <w:rFonts w:asciiTheme="minorHAnsi" w:hAnsiTheme="minorHAnsi" w:cstheme="minorHAnsi"/>
          <w:sz w:val="20"/>
        </w:rPr>
        <w:t>Section 2.</w:t>
      </w:r>
      <w:r w:rsidR="00C80761">
        <w:rPr>
          <w:rFonts w:asciiTheme="minorHAnsi" w:hAnsiTheme="minorHAnsi" w:cstheme="minorHAnsi"/>
          <w:sz w:val="20"/>
        </w:rPr>
        <w:t>1</w:t>
      </w:r>
      <w:r w:rsidRPr="000417DE">
        <w:rPr>
          <w:rFonts w:asciiTheme="minorHAnsi" w:hAnsiTheme="minorHAnsi" w:cstheme="minorHAnsi"/>
          <w:sz w:val="20"/>
        </w:rPr>
        <w:t>.</w:t>
      </w:r>
    </w:p>
    <w:p w14:paraId="7E9BBB13" w14:textId="77777777" w:rsidR="000417DE" w:rsidRPr="000417DE" w:rsidRDefault="000417DE" w:rsidP="005B3FDF">
      <w:pPr>
        <w:pStyle w:val="ListParagraph"/>
        <w:numPr>
          <w:ilvl w:val="0"/>
          <w:numId w:val="31"/>
        </w:numPr>
        <w:spacing w:before="120" w:after="120"/>
        <w:rPr>
          <w:rFonts w:asciiTheme="minorHAnsi" w:hAnsiTheme="minorHAnsi" w:cstheme="minorHAnsi"/>
          <w:sz w:val="20"/>
        </w:rPr>
      </w:pPr>
      <w:r w:rsidRPr="000417DE">
        <w:rPr>
          <w:rFonts w:asciiTheme="minorHAnsi" w:hAnsiTheme="minorHAnsi" w:cstheme="minorHAnsi"/>
          <w:sz w:val="20"/>
        </w:rPr>
        <w:t xml:space="preserve">Provide quarterly progress reports due on the last day of the quarter to include but not limited to, analysis of the issues, methods and approaches used to analyze data, list of recommendations, timeliness of meeting due dates. </w:t>
      </w:r>
    </w:p>
    <w:p w14:paraId="0115CDCD" w14:textId="74533C9E" w:rsidR="00C4177B" w:rsidRDefault="005B3FDF" w:rsidP="00846E22">
      <w:pPr>
        <w:pStyle w:val="ListParagraph"/>
        <w:numPr>
          <w:ilvl w:val="0"/>
          <w:numId w:val="21"/>
        </w:numPr>
        <w:spacing w:before="120" w:after="120"/>
        <w:ind w:left="1260"/>
        <w:rPr>
          <w:rFonts w:asciiTheme="minorHAnsi" w:hAnsiTheme="minorHAnsi" w:cstheme="minorHAnsi"/>
          <w:sz w:val="20"/>
        </w:rPr>
      </w:pPr>
      <w:r w:rsidRPr="005B3FDF">
        <w:rPr>
          <w:rFonts w:asciiTheme="minorHAnsi" w:hAnsiTheme="minorHAnsi" w:cstheme="minorHAnsi"/>
          <w:b/>
          <w:sz w:val="20"/>
        </w:rPr>
        <w:t>Statistical Analysis</w:t>
      </w:r>
      <w:r w:rsidRPr="005B3FDF">
        <w:rPr>
          <w:rFonts w:asciiTheme="minorHAnsi" w:hAnsiTheme="minorHAnsi" w:cstheme="minorHAnsi"/>
          <w:sz w:val="20"/>
        </w:rPr>
        <w:t xml:space="preserve"> – Contractor will provide analysis of existing performance measurers and benchmarks that measure the effectiveness of participating entities. Review of the new reporting requirement under Government Code Section 68514 and the impact to the performance measurers and benchmarks</w:t>
      </w:r>
      <w:r w:rsidR="00031E3B">
        <w:rPr>
          <w:rFonts w:asciiTheme="minorHAnsi" w:hAnsiTheme="minorHAnsi" w:cstheme="minorHAnsi"/>
          <w:sz w:val="20"/>
        </w:rPr>
        <w:t>.</w:t>
      </w:r>
    </w:p>
    <w:p w14:paraId="0F6E65DF" w14:textId="16B862CA" w:rsidR="00D87975" w:rsidRDefault="005B3FDF" w:rsidP="00D87975">
      <w:pPr>
        <w:pStyle w:val="ListParagraph"/>
        <w:numPr>
          <w:ilvl w:val="0"/>
          <w:numId w:val="21"/>
        </w:numPr>
        <w:rPr>
          <w:rFonts w:asciiTheme="minorHAnsi" w:hAnsiTheme="minorHAnsi" w:cstheme="minorHAnsi"/>
          <w:sz w:val="20"/>
        </w:rPr>
      </w:pPr>
      <w:r w:rsidRPr="005B3FDF">
        <w:rPr>
          <w:rFonts w:asciiTheme="minorHAnsi" w:hAnsiTheme="minorHAnsi" w:cstheme="minorHAnsi"/>
          <w:b/>
          <w:sz w:val="20"/>
        </w:rPr>
        <w:t>Data Gathering</w:t>
      </w:r>
      <w:r w:rsidRPr="005B3FDF">
        <w:rPr>
          <w:rFonts w:asciiTheme="minorHAnsi" w:hAnsiTheme="minorHAnsi" w:cstheme="minorHAnsi"/>
          <w:sz w:val="20"/>
        </w:rPr>
        <w:t xml:space="preserve">: JCC will provide Contractor electronically the CRT’s submitted from 58 </w:t>
      </w:r>
      <w:r w:rsidR="001F7179">
        <w:rPr>
          <w:rFonts w:asciiTheme="minorHAnsi" w:hAnsiTheme="minorHAnsi" w:cstheme="minorHAnsi"/>
          <w:sz w:val="20"/>
        </w:rPr>
        <w:t>P</w:t>
      </w:r>
      <w:r w:rsidRPr="005B3FDF">
        <w:rPr>
          <w:rFonts w:asciiTheme="minorHAnsi" w:hAnsiTheme="minorHAnsi" w:cstheme="minorHAnsi"/>
          <w:sz w:val="20"/>
        </w:rPr>
        <w:t xml:space="preserve">articipating </w:t>
      </w:r>
      <w:r w:rsidR="001F7179">
        <w:rPr>
          <w:rFonts w:asciiTheme="minorHAnsi" w:hAnsiTheme="minorHAnsi" w:cstheme="minorHAnsi"/>
          <w:sz w:val="20"/>
        </w:rPr>
        <w:t>E</w:t>
      </w:r>
      <w:r w:rsidRPr="005B3FDF">
        <w:rPr>
          <w:rFonts w:asciiTheme="minorHAnsi" w:hAnsiTheme="minorHAnsi" w:cstheme="minorHAnsi"/>
          <w:sz w:val="20"/>
        </w:rPr>
        <w:t>ntities. Contractor will review and determine reasonable percentages for the GRR and the SR</w:t>
      </w:r>
      <w:r w:rsidR="00081BDA">
        <w:rPr>
          <w:rFonts w:asciiTheme="minorHAnsi" w:hAnsiTheme="minorHAnsi" w:cstheme="minorHAnsi"/>
          <w:sz w:val="20"/>
        </w:rPr>
        <w:t>.</w:t>
      </w:r>
      <w:r w:rsidRPr="005B3FDF">
        <w:rPr>
          <w:rFonts w:asciiTheme="minorHAnsi" w:hAnsiTheme="minorHAnsi" w:cstheme="minorHAnsi"/>
          <w:sz w:val="20"/>
        </w:rPr>
        <w:t xml:space="preserve"> </w:t>
      </w:r>
    </w:p>
    <w:p w14:paraId="4EB3E7F3" w14:textId="77777777" w:rsidR="00D87975" w:rsidRPr="00D87975" w:rsidRDefault="00D87975" w:rsidP="00D87975">
      <w:pPr>
        <w:pStyle w:val="ListParagraph"/>
        <w:ind w:left="1296"/>
        <w:rPr>
          <w:rFonts w:asciiTheme="minorHAnsi" w:hAnsiTheme="minorHAnsi" w:cstheme="minorHAnsi"/>
          <w:sz w:val="20"/>
        </w:rPr>
      </w:pPr>
    </w:p>
    <w:p w14:paraId="1A6CE782" w14:textId="196A8D2D" w:rsidR="00D87975" w:rsidRPr="00D87975" w:rsidRDefault="00D87975" w:rsidP="00D87975">
      <w:pPr>
        <w:pStyle w:val="ListParagraph"/>
        <w:numPr>
          <w:ilvl w:val="0"/>
          <w:numId w:val="21"/>
        </w:numPr>
        <w:rPr>
          <w:rFonts w:asciiTheme="minorHAnsi" w:hAnsiTheme="minorHAnsi" w:cstheme="minorHAnsi"/>
          <w:sz w:val="20"/>
        </w:rPr>
      </w:pPr>
      <w:r w:rsidRPr="00D87975">
        <w:rPr>
          <w:rFonts w:asciiTheme="minorHAnsi" w:hAnsiTheme="minorHAnsi" w:cstheme="minorHAnsi"/>
          <w:b/>
          <w:sz w:val="20"/>
        </w:rPr>
        <w:t>Develop Draft Recommendations</w:t>
      </w:r>
      <w:r w:rsidRPr="00D87975">
        <w:rPr>
          <w:rFonts w:asciiTheme="minorHAnsi" w:hAnsiTheme="minorHAnsi" w:cstheme="minorHAnsi"/>
          <w:sz w:val="20"/>
        </w:rPr>
        <w:t xml:space="preserve">: Contractor will measure the participating entities performance against standards in the Performance Measures and Benchmarks (PMB) and evaluate statistical correlation between individual process data, collections performance and efficiency. This analysis will be used to develop improvement recommendations. </w:t>
      </w:r>
    </w:p>
    <w:p w14:paraId="380592A8" w14:textId="1A45F56A" w:rsidR="005B3FDF" w:rsidRPr="005B3FDF" w:rsidRDefault="005B3FDF" w:rsidP="005B3FDF">
      <w:pPr>
        <w:pStyle w:val="ListParagraph"/>
        <w:numPr>
          <w:ilvl w:val="0"/>
          <w:numId w:val="21"/>
        </w:numPr>
        <w:spacing w:before="120" w:after="120"/>
        <w:rPr>
          <w:rFonts w:asciiTheme="minorHAnsi" w:hAnsiTheme="minorHAnsi" w:cstheme="minorHAnsi"/>
          <w:sz w:val="20"/>
        </w:rPr>
      </w:pPr>
      <w:r w:rsidRPr="005B3FDF">
        <w:rPr>
          <w:rFonts w:asciiTheme="minorHAnsi" w:hAnsiTheme="minorHAnsi" w:cstheme="minorHAnsi"/>
          <w:b/>
          <w:sz w:val="20"/>
        </w:rPr>
        <w:t>Refine and Finalize Standards</w:t>
      </w:r>
      <w:r w:rsidRPr="005B3FDF">
        <w:rPr>
          <w:rFonts w:asciiTheme="minorHAnsi" w:hAnsiTheme="minorHAnsi" w:cstheme="minorHAnsi"/>
          <w:sz w:val="20"/>
        </w:rPr>
        <w:t>: Contractor will use the results of the statistical analysis to develop draft recommendation (</w:t>
      </w:r>
      <w:r w:rsidR="001F7179">
        <w:rPr>
          <w:rFonts w:asciiTheme="minorHAnsi" w:hAnsiTheme="minorHAnsi" w:cstheme="minorHAnsi"/>
          <w:sz w:val="20"/>
        </w:rPr>
        <w:t xml:space="preserve">Draft Performance Measures and Benchmarks, </w:t>
      </w:r>
      <w:r w:rsidRPr="005B3FDF">
        <w:rPr>
          <w:rFonts w:asciiTheme="minorHAnsi" w:hAnsiTheme="minorHAnsi" w:cstheme="minorHAnsi"/>
          <w:sz w:val="20"/>
        </w:rPr>
        <w:t xml:space="preserve">Draft PMB) for measuring the success of each program.  </w:t>
      </w:r>
    </w:p>
    <w:p w14:paraId="0447B90B" w14:textId="31D8ADE9" w:rsidR="005B3FDF" w:rsidRPr="005B3FDF" w:rsidRDefault="005B3FDF" w:rsidP="005B3FDF">
      <w:pPr>
        <w:pStyle w:val="ListParagraph"/>
        <w:numPr>
          <w:ilvl w:val="0"/>
          <w:numId w:val="21"/>
        </w:numPr>
        <w:rPr>
          <w:rFonts w:asciiTheme="minorHAnsi" w:hAnsiTheme="minorHAnsi" w:cstheme="minorHAnsi"/>
          <w:sz w:val="20"/>
        </w:rPr>
      </w:pPr>
      <w:r w:rsidRPr="005B3FDF">
        <w:rPr>
          <w:rFonts w:asciiTheme="minorHAnsi" w:hAnsiTheme="minorHAnsi" w:cstheme="minorHAnsi"/>
          <w:b/>
          <w:sz w:val="20"/>
        </w:rPr>
        <w:t>Update Benchmark Standards (Final PMB)</w:t>
      </w:r>
      <w:r w:rsidRPr="005B3FDF">
        <w:rPr>
          <w:rFonts w:asciiTheme="minorHAnsi" w:hAnsiTheme="minorHAnsi" w:cstheme="minorHAnsi"/>
          <w:sz w:val="20"/>
        </w:rPr>
        <w:t xml:space="preserve">: Contractor’s recommendations will be made available to all 58 </w:t>
      </w:r>
      <w:r w:rsidR="00405F7C">
        <w:rPr>
          <w:rFonts w:asciiTheme="minorHAnsi" w:hAnsiTheme="minorHAnsi" w:cstheme="minorHAnsi"/>
          <w:sz w:val="20"/>
        </w:rPr>
        <w:t>P</w:t>
      </w:r>
      <w:r w:rsidRPr="005B3FDF">
        <w:rPr>
          <w:rFonts w:asciiTheme="minorHAnsi" w:hAnsiTheme="minorHAnsi" w:cstheme="minorHAnsi"/>
          <w:sz w:val="20"/>
        </w:rPr>
        <w:t xml:space="preserve">articipating </w:t>
      </w:r>
      <w:r w:rsidR="00405F7C">
        <w:rPr>
          <w:rFonts w:asciiTheme="minorHAnsi" w:hAnsiTheme="minorHAnsi" w:cstheme="minorHAnsi"/>
          <w:sz w:val="20"/>
        </w:rPr>
        <w:t>e</w:t>
      </w:r>
      <w:bookmarkStart w:id="0" w:name="_GoBack"/>
      <w:bookmarkEnd w:id="0"/>
      <w:r w:rsidRPr="005B3FDF">
        <w:rPr>
          <w:rFonts w:asciiTheme="minorHAnsi" w:hAnsiTheme="minorHAnsi" w:cstheme="minorHAnsi"/>
          <w:sz w:val="20"/>
        </w:rPr>
        <w:t>ntities for comment. After comment period, Contractor will review all recommendations and finalize the Performance Measurers and Benchmarks. Recommendations will be presented to the JCC for approval.</w:t>
      </w:r>
    </w:p>
    <w:p w14:paraId="4F8056F7" w14:textId="14629AC1" w:rsidR="005B3FDF" w:rsidRDefault="005B3FDF" w:rsidP="005B3FDF">
      <w:pPr>
        <w:pStyle w:val="ListParagraph"/>
        <w:numPr>
          <w:ilvl w:val="0"/>
          <w:numId w:val="21"/>
        </w:numPr>
        <w:spacing w:before="120" w:after="120"/>
        <w:rPr>
          <w:rFonts w:asciiTheme="minorHAnsi" w:hAnsiTheme="minorHAnsi" w:cstheme="minorHAnsi"/>
          <w:sz w:val="20"/>
        </w:rPr>
      </w:pPr>
      <w:r w:rsidRPr="005B3FDF">
        <w:rPr>
          <w:rFonts w:asciiTheme="minorHAnsi" w:hAnsiTheme="minorHAnsi" w:cstheme="minorHAnsi"/>
          <w:b/>
          <w:sz w:val="20"/>
        </w:rPr>
        <w:t>Summary and Recommendation</w:t>
      </w:r>
      <w:r w:rsidRPr="005B3FDF">
        <w:rPr>
          <w:rFonts w:asciiTheme="minorHAnsi" w:hAnsiTheme="minorHAnsi" w:cstheme="minorHAnsi"/>
          <w:sz w:val="20"/>
        </w:rPr>
        <w:t>: Contractor will develop a Final Report documenting findings and outline final recommendations for consideration</w:t>
      </w:r>
      <w:r w:rsidR="007E6EE1">
        <w:rPr>
          <w:rFonts w:asciiTheme="minorHAnsi" w:hAnsiTheme="minorHAnsi" w:cstheme="minorHAnsi"/>
          <w:sz w:val="20"/>
        </w:rPr>
        <w:t>.</w:t>
      </w:r>
    </w:p>
    <w:p w14:paraId="25D795B6" w14:textId="085DE73B" w:rsidR="007E6EE1" w:rsidRPr="005B3FDF" w:rsidRDefault="007E6EE1" w:rsidP="005B3FDF">
      <w:pPr>
        <w:pStyle w:val="ListParagraph"/>
        <w:numPr>
          <w:ilvl w:val="0"/>
          <w:numId w:val="21"/>
        </w:numPr>
        <w:spacing w:before="120" w:after="120"/>
        <w:rPr>
          <w:rFonts w:asciiTheme="minorHAnsi" w:hAnsiTheme="minorHAnsi" w:cstheme="minorHAnsi"/>
          <w:sz w:val="20"/>
        </w:rPr>
      </w:pPr>
      <w:r w:rsidRPr="007E6EE1">
        <w:rPr>
          <w:rFonts w:asciiTheme="minorHAnsi" w:hAnsiTheme="minorHAnsi" w:cstheme="minorHAnsi"/>
          <w:b/>
          <w:sz w:val="20"/>
        </w:rPr>
        <w:t>Judicial Council Approval</w:t>
      </w:r>
      <w:r w:rsidRPr="007E6EE1">
        <w:rPr>
          <w:rFonts w:asciiTheme="minorHAnsi" w:hAnsiTheme="minorHAnsi" w:cstheme="minorHAnsi"/>
          <w:sz w:val="20"/>
        </w:rPr>
        <w:t>:  The final Performance Measurers and Benchmarks (Final PMB) and the Final Report summarizing all Contractor’s findings and recommendations will have to be approved by the JCC. There will be additional review by other advisory committee’s and potentially subcommittees prior to the final approval of the JCC. Contractor will prepare the item for the JCC and must be available via phone to answer questions as presented.</w:t>
      </w:r>
    </w:p>
    <w:p w14:paraId="3C84EEFD" w14:textId="08907A2F" w:rsidR="00C4177B" w:rsidRPr="00C4177B" w:rsidRDefault="00C4177B"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00AD682C">
        <w:rPr>
          <w:rFonts w:asciiTheme="minorHAnsi" w:hAnsiTheme="minorHAnsi" w:cstheme="minorHAnsi"/>
          <w:bCs/>
          <w:sz w:val="20"/>
          <w:u w:val="single"/>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F25891">
        <w:rPr>
          <w:rFonts w:asciiTheme="minorHAnsi" w:hAnsiTheme="minorHAnsi" w:cstheme="minorHAnsi"/>
          <w:sz w:val="20"/>
        </w:rPr>
        <w:t>JUDICIAL COUNCIL OF CALIFORNIA</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p w14:paraId="6905F9B4" w14:textId="77777777" w:rsidR="00D87975" w:rsidRPr="00D87975" w:rsidRDefault="003145FD" w:rsidP="00D87975">
      <w:pPr>
        <w:spacing w:before="120" w:after="120"/>
        <w:ind w:left="936"/>
        <w:rPr>
          <w:rFonts w:asciiTheme="minorHAnsi" w:hAnsiTheme="minorHAnsi" w:cstheme="minorHAnsi"/>
          <w:i/>
          <w:sz w:val="20"/>
        </w:rPr>
      </w:pPr>
      <w:r w:rsidRPr="00D87975">
        <w:rPr>
          <w:rFonts w:asciiTheme="minorHAnsi" w:hAnsiTheme="minorHAnsi" w:cstheme="minorHAnsi"/>
          <w:i/>
          <w:sz w:val="20"/>
        </w:rPr>
        <w:t xml:space="preserve">  </w:t>
      </w:r>
    </w:p>
    <w:tbl>
      <w:tblPr>
        <w:tblStyle w:val="TableGrid1"/>
        <w:tblW w:w="0" w:type="auto"/>
        <w:tblInd w:w="1075" w:type="dxa"/>
        <w:tblLook w:val="04A0" w:firstRow="1" w:lastRow="0" w:firstColumn="1" w:lastColumn="0" w:noHBand="0" w:noVBand="1"/>
      </w:tblPr>
      <w:tblGrid>
        <w:gridCol w:w="5850"/>
        <w:gridCol w:w="2425"/>
      </w:tblGrid>
      <w:tr w:rsidR="00D87975" w:rsidRPr="00D87975" w14:paraId="5A706707" w14:textId="77777777" w:rsidTr="002F19FF">
        <w:tc>
          <w:tcPr>
            <w:tcW w:w="5850" w:type="dxa"/>
            <w:shd w:val="clear" w:color="auto" w:fill="D9D9D9" w:themeFill="background1" w:themeFillShade="D9"/>
          </w:tcPr>
          <w:p w14:paraId="25496B4C" w14:textId="77777777" w:rsidR="00D87975" w:rsidRPr="00DD7319" w:rsidRDefault="00D87975" w:rsidP="00D87975">
            <w:p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jc w:val="center"/>
              <w:rPr>
                <w:rFonts w:cstheme="minorHAnsi"/>
                <w:sz w:val="20"/>
                <w:szCs w:val="20"/>
                <w:lang w:bidi="ar-SA"/>
              </w:rPr>
            </w:pPr>
            <w:r w:rsidRPr="00DD7319">
              <w:rPr>
                <w:rFonts w:cstheme="minorHAnsi"/>
                <w:sz w:val="20"/>
                <w:szCs w:val="20"/>
                <w:lang w:bidi="ar-SA"/>
              </w:rPr>
              <w:t>Deliverables</w:t>
            </w:r>
          </w:p>
        </w:tc>
        <w:tc>
          <w:tcPr>
            <w:tcW w:w="2425" w:type="dxa"/>
            <w:shd w:val="clear" w:color="auto" w:fill="D9D9D9" w:themeFill="background1" w:themeFillShade="D9"/>
          </w:tcPr>
          <w:p w14:paraId="74049FC9" w14:textId="7E417153" w:rsidR="00DD7319" w:rsidRDefault="00D87975" w:rsidP="00DD7319">
            <w:p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jc w:val="center"/>
              <w:rPr>
                <w:rFonts w:cstheme="minorHAnsi"/>
                <w:sz w:val="20"/>
                <w:szCs w:val="20"/>
                <w:lang w:bidi="ar-SA"/>
              </w:rPr>
            </w:pPr>
            <w:r w:rsidRPr="00DD7319">
              <w:rPr>
                <w:rFonts w:cstheme="minorHAnsi"/>
                <w:sz w:val="20"/>
                <w:szCs w:val="20"/>
                <w:lang w:bidi="ar-SA"/>
              </w:rPr>
              <w:t>Estimated</w:t>
            </w:r>
          </w:p>
          <w:p w14:paraId="0CA61496" w14:textId="017B58A7" w:rsidR="00D87975" w:rsidRPr="00DD7319" w:rsidRDefault="00D87975" w:rsidP="00DD7319">
            <w:p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jc w:val="center"/>
              <w:rPr>
                <w:rFonts w:cstheme="minorHAnsi"/>
                <w:sz w:val="20"/>
                <w:szCs w:val="20"/>
                <w:lang w:bidi="ar-SA"/>
              </w:rPr>
            </w:pPr>
            <w:r w:rsidRPr="00DD7319">
              <w:rPr>
                <w:rFonts w:cstheme="minorHAnsi"/>
                <w:sz w:val="20"/>
                <w:szCs w:val="20"/>
                <w:lang w:bidi="ar-SA"/>
              </w:rPr>
              <w:t>Completion Date</w:t>
            </w:r>
          </w:p>
        </w:tc>
      </w:tr>
      <w:tr w:rsidR="00D87975" w:rsidRPr="00D87975" w14:paraId="67414E4B" w14:textId="77777777" w:rsidTr="002F19FF">
        <w:tc>
          <w:tcPr>
            <w:tcW w:w="5850" w:type="dxa"/>
          </w:tcPr>
          <w:p w14:paraId="252D5BA6" w14:textId="77777777" w:rsidR="00D87975" w:rsidRPr="00DD7319" w:rsidRDefault="00D87975" w:rsidP="00D87975">
            <w:pPr>
              <w:numPr>
                <w:ilvl w:val="0"/>
                <w:numId w:val="32"/>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theme="minorHAnsi"/>
                <w:sz w:val="20"/>
                <w:szCs w:val="20"/>
                <w:lang w:bidi="ar-SA"/>
              </w:rPr>
            </w:pPr>
            <w:r w:rsidRPr="00DD7319">
              <w:rPr>
                <w:rFonts w:cstheme="minorHAnsi"/>
                <w:sz w:val="20"/>
                <w:szCs w:val="20"/>
                <w:lang w:bidi="ar-SA"/>
              </w:rPr>
              <w:t>Project kick off meeting and proposed approach in writing</w:t>
            </w:r>
          </w:p>
        </w:tc>
        <w:tc>
          <w:tcPr>
            <w:tcW w:w="2425" w:type="dxa"/>
          </w:tcPr>
          <w:p w14:paraId="5821BC8E" w14:textId="77777777" w:rsidR="00D87975" w:rsidRPr="00DD7319" w:rsidRDefault="00D87975" w:rsidP="00D87975">
            <w:p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theme="minorHAnsi"/>
                <w:sz w:val="20"/>
                <w:szCs w:val="20"/>
                <w:lang w:bidi="ar-SA"/>
              </w:rPr>
            </w:pPr>
          </w:p>
          <w:p w14:paraId="214B77D8" w14:textId="77777777" w:rsidR="00D87975" w:rsidRPr="00DD7319" w:rsidRDefault="00D87975" w:rsidP="00D87975">
            <w:p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theme="minorHAnsi"/>
                <w:sz w:val="20"/>
                <w:szCs w:val="20"/>
                <w:lang w:bidi="ar-SA"/>
              </w:rPr>
            </w:pPr>
            <w:r w:rsidRPr="00DD7319">
              <w:rPr>
                <w:rFonts w:cstheme="minorHAnsi"/>
                <w:sz w:val="20"/>
                <w:szCs w:val="20"/>
                <w:lang w:bidi="ar-SA"/>
              </w:rPr>
              <w:t>June 30, 2019</w:t>
            </w:r>
          </w:p>
        </w:tc>
      </w:tr>
      <w:tr w:rsidR="00D87975" w:rsidRPr="00D87975" w14:paraId="7128A2E9" w14:textId="77777777" w:rsidTr="002F19FF">
        <w:tc>
          <w:tcPr>
            <w:tcW w:w="5850" w:type="dxa"/>
          </w:tcPr>
          <w:p w14:paraId="2251EFBB" w14:textId="66B8F144" w:rsidR="00D87975" w:rsidRPr="00DD7319" w:rsidRDefault="00D87975" w:rsidP="00D87975">
            <w:pPr>
              <w:numPr>
                <w:ilvl w:val="0"/>
                <w:numId w:val="32"/>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theme="minorHAnsi"/>
                <w:sz w:val="20"/>
                <w:szCs w:val="20"/>
                <w:lang w:bidi="ar-SA"/>
              </w:rPr>
            </w:pPr>
            <w:r w:rsidRPr="00DD7319">
              <w:rPr>
                <w:rFonts w:cstheme="minorHAnsi"/>
                <w:sz w:val="20"/>
                <w:szCs w:val="20"/>
                <w:lang w:bidi="ar-SA"/>
              </w:rPr>
              <w:t>1st Progress Report</w:t>
            </w:r>
          </w:p>
          <w:p w14:paraId="4F656F42" w14:textId="72749BBD" w:rsidR="00D87975" w:rsidRPr="00DD7319" w:rsidRDefault="00D87975" w:rsidP="00D87975">
            <w:p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720"/>
              <w:contextualSpacing/>
              <w:rPr>
                <w:rFonts w:cstheme="minorHAnsi"/>
                <w:sz w:val="20"/>
                <w:szCs w:val="20"/>
                <w:lang w:bidi="ar-SA"/>
              </w:rPr>
            </w:pPr>
            <w:r w:rsidRPr="00DD7319">
              <w:rPr>
                <w:rFonts w:cstheme="minorHAnsi"/>
                <w:sz w:val="20"/>
                <w:szCs w:val="20"/>
                <w:lang w:bidi="ar-SA"/>
              </w:rPr>
              <w:t>2nd Progress Report</w:t>
            </w:r>
          </w:p>
        </w:tc>
        <w:tc>
          <w:tcPr>
            <w:tcW w:w="2425" w:type="dxa"/>
          </w:tcPr>
          <w:p w14:paraId="016A12EB" w14:textId="77777777" w:rsidR="00D87975" w:rsidRPr="00DD7319" w:rsidRDefault="00D87975" w:rsidP="00D87975">
            <w:pPr>
              <w:rPr>
                <w:rFonts w:cstheme="minorHAnsi"/>
                <w:sz w:val="20"/>
                <w:szCs w:val="20"/>
                <w:lang w:bidi="ar-SA"/>
              </w:rPr>
            </w:pPr>
            <w:r w:rsidRPr="00DD7319">
              <w:rPr>
                <w:rFonts w:cstheme="minorHAnsi"/>
                <w:sz w:val="20"/>
                <w:szCs w:val="20"/>
                <w:lang w:bidi="ar-SA"/>
              </w:rPr>
              <w:t>December 31, 2019</w:t>
            </w:r>
          </w:p>
          <w:p w14:paraId="5D646FFA" w14:textId="77777777" w:rsidR="00D87975" w:rsidRPr="00DD7319" w:rsidRDefault="00D87975" w:rsidP="00D87975">
            <w:p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theme="minorHAnsi"/>
                <w:sz w:val="20"/>
                <w:szCs w:val="20"/>
                <w:lang w:bidi="ar-SA"/>
              </w:rPr>
            </w:pPr>
            <w:r w:rsidRPr="00DD7319">
              <w:rPr>
                <w:rFonts w:cstheme="minorHAnsi"/>
                <w:sz w:val="20"/>
                <w:szCs w:val="20"/>
                <w:lang w:bidi="ar-SA"/>
              </w:rPr>
              <w:t>March 31, 2020</w:t>
            </w:r>
          </w:p>
        </w:tc>
      </w:tr>
      <w:tr w:rsidR="00D87975" w:rsidRPr="00D87975" w14:paraId="2294D9E6" w14:textId="77777777" w:rsidTr="002F19FF">
        <w:tc>
          <w:tcPr>
            <w:tcW w:w="5850" w:type="dxa"/>
          </w:tcPr>
          <w:p w14:paraId="3EFEA8D3" w14:textId="77777777" w:rsidR="00D87975" w:rsidRPr="00DD7319" w:rsidRDefault="00D87975" w:rsidP="00D87975">
            <w:pPr>
              <w:numPr>
                <w:ilvl w:val="0"/>
                <w:numId w:val="32"/>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theme="minorHAnsi"/>
                <w:sz w:val="20"/>
                <w:szCs w:val="20"/>
                <w:lang w:bidi="ar-SA"/>
              </w:rPr>
            </w:pPr>
            <w:r w:rsidRPr="00DD7319">
              <w:rPr>
                <w:rFonts w:cstheme="minorHAnsi"/>
                <w:sz w:val="20"/>
                <w:szCs w:val="20"/>
                <w:lang w:bidi="ar-SA"/>
              </w:rPr>
              <w:t>Draft recommendations for Performance Measurers and Benchmarks (PMB)</w:t>
            </w:r>
          </w:p>
        </w:tc>
        <w:tc>
          <w:tcPr>
            <w:tcW w:w="2425" w:type="dxa"/>
          </w:tcPr>
          <w:p w14:paraId="4A9F7AF2" w14:textId="77777777" w:rsidR="00D87975" w:rsidRPr="00DD7319" w:rsidRDefault="00D87975" w:rsidP="00D87975">
            <w:p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theme="minorHAnsi"/>
                <w:sz w:val="20"/>
                <w:szCs w:val="20"/>
                <w:lang w:bidi="ar-SA"/>
              </w:rPr>
            </w:pPr>
          </w:p>
          <w:p w14:paraId="633C7D03" w14:textId="77777777" w:rsidR="00D87975" w:rsidRPr="00DD7319" w:rsidRDefault="00D87975" w:rsidP="00D87975">
            <w:p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theme="minorHAnsi"/>
                <w:sz w:val="20"/>
                <w:szCs w:val="20"/>
                <w:lang w:bidi="ar-SA"/>
              </w:rPr>
            </w:pPr>
            <w:r w:rsidRPr="00DD7319">
              <w:rPr>
                <w:rFonts w:cstheme="minorHAnsi"/>
                <w:sz w:val="20"/>
                <w:szCs w:val="20"/>
                <w:lang w:bidi="ar-SA"/>
              </w:rPr>
              <w:t>June 30, 2020</w:t>
            </w:r>
          </w:p>
        </w:tc>
      </w:tr>
      <w:tr w:rsidR="00D87975" w:rsidRPr="00D87975" w14:paraId="7B771A93" w14:textId="77777777" w:rsidTr="002F19FF">
        <w:tc>
          <w:tcPr>
            <w:tcW w:w="5850" w:type="dxa"/>
          </w:tcPr>
          <w:p w14:paraId="4377FF0E" w14:textId="77777777" w:rsidR="00D87975" w:rsidRPr="00DD7319" w:rsidRDefault="00D87975" w:rsidP="00D87975">
            <w:pPr>
              <w:numPr>
                <w:ilvl w:val="0"/>
                <w:numId w:val="32"/>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theme="minorHAnsi"/>
                <w:sz w:val="20"/>
                <w:szCs w:val="20"/>
                <w:lang w:bidi="ar-SA"/>
              </w:rPr>
            </w:pPr>
            <w:r w:rsidRPr="00DD7319">
              <w:rPr>
                <w:rFonts w:cstheme="minorHAnsi"/>
                <w:sz w:val="20"/>
                <w:szCs w:val="20"/>
                <w:lang w:bidi="ar-SA"/>
              </w:rPr>
              <w:t>Final Performance Measurers and Benchmarks (Final PMB)</w:t>
            </w:r>
          </w:p>
        </w:tc>
        <w:tc>
          <w:tcPr>
            <w:tcW w:w="2425" w:type="dxa"/>
          </w:tcPr>
          <w:p w14:paraId="6D80A642" w14:textId="77777777" w:rsidR="00D87975" w:rsidRPr="00DD7319" w:rsidRDefault="00D87975" w:rsidP="00D87975">
            <w:p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theme="minorHAnsi"/>
                <w:sz w:val="20"/>
                <w:szCs w:val="20"/>
                <w:lang w:bidi="ar-SA"/>
              </w:rPr>
            </w:pPr>
            <w:r w:rsidRPr="00DD7319">
              <w:rPr>
                <w:rFonts w:cstheme="minorHAnsi"/>
                <w:sz w:val="20"/>
                <w:szCs w:val="20"/>
                <w:lang w:bidi="ar-SA"/>
              </w:rPr>
              <w:t>September 1, 2020</w:t>
            </w:r>
          </w:p>
        </w:tc>
      </w:tr>
      <w:tr w:rsidR="00D87975" w:rsidRPr="00D87975" w14:paraId="53BB567F" w14:textId="77777777" w:rsidTr="002F19FF">
        <w:tc>
          <w:tcPr>
            <w:tcW w:w="5850" w:type="dxa"/>
          </w:tcPr>
          <w:p w14:paraId="2343691F" w14:textId="77777777" w:rsidR="00D87975" w:rsidRPr="00DD7319" w:rsidRDefault="00D87975" w:rsidP="00D87975">
            <w:pPr>
              <w:numPr>
                <w:ilvl w:val="0"/>
                <w:numId w:val="32"/>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theme="minorHAnsi"/>
                <w:sz w:val="20"/>
                <w:szCs w:val="20"/>
                <w:lang w:bidi="ar-SA"/>
              </w:rPr>
            </w:pPr>
            <w:r w:rsidRPr="00DD7319">
              <w:rPr>
                <w:rFonts w:cstheme="minorHAnsi"/>
                <w:sz w:val="20"/>
                <w:szCs w:val="20"/>
                <w:lang w:bidi="ar-SA"/>
              </w:rPr>
              <w:t>Final Report summarizing all the consultant’s findings</w:t>
            </w:r>
          </w:p>
        </w:tc>
        <w:tc>
          <w:tcPr>
            <w:tcW w:w="2425" w:type="dxa"/>
          </w:tcPr>
          <w:p w14:paraId="6C249D81" w14:textId="77777777" w:rsidR="00D87975" w:rsidRPr="00DD7319" w:rsidRDefault="00D87975" w:rsidP="00D87975">
            <w:p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theme="minorHAnsi"/>
                <w:sz w:val="20"/>
                <w:szCs w:val="20"/>
                <w:lang w:bidi="ar-SA"/>
              </w:rPr>
            </w:pPr>
            <w:r w:rsidRPr="00DD7319">
              <w:rPr>
                <w:rFonts w:cstheme="minorHAnsi"/>
                <w:sz w:val="20"/>
                <w:szCs w:val="20"/>
                <w:lang w:bidi="ar-SA"/>
              </w:rPr>
              <w:t>December 1, 2020</w:t>
            </w:r>
          </w:p>
        </w:tc>
      </w:tr>
      <w:tr w:rsidR="00D87975" w:rsidRPr="00D87975" w14:paraId="3DC7893C" w14:textId="77777777" w:rsidTr="002F19FF">
        <w:tc>
          <w:tcPr>
            <w:tcW w:w="5850" w:type="dxa"/>
          </w:tcPr>
          <w:p w14:paraId="54F2310F" w14:textId="77777777" w:rsidR="00D87975" w:rsidRPr="00DD7319" w:rsidRDefault="00D87975" w:rsidP="00D87975">
            <w:pPr>
              <w:numPr>
                <w:ilvl w:val="0"/>
                <w:numId w:val="32"/>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theme="minorHAnsi"/>
                <w:sz w:val="20"/>
                <w:szCs w:val="20"/>
                <w:lang w:bidi="ar-SA"/>
              </w:rPr>
            </w:pPr>
            <w:r w:rsidRPr="00DD7319">
              <w:rPr>
                <w:rFonts w:cstheme="minorHAnsi"/>
                <w:sz w:val="20"/>
                <w:szCs w:val="20"/>
                <w:lang w:bidi="ar-SA"/>
              </w:rPr>
              <w:t>Judicial Council Approval</w:t>
            </w:r>
          </w:p>
        </w:tc>
        <w:tc>
          <w:tcPr>
            <w:tcW w:w="2425" w:type="dxa"/>
          </w:tcPr>
          <w:p w14:paraId="6A50EE01" w14:textId="77777777" w:rsidR="00D87975" w:rsidRPr="00DD7319" w:rsidRDefault="00D87975" w:rsidP="00D87975">
            <w:p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theme="minorHAnsi"/>
                <w:sz w:val="20"/>
                <w:szCs w:val="20"/>
                <w:lang w:bidi="ar-SA"/>
              </w:rPr>
            </w:pPr>
            <w:r w:rsidRPr="00DD7319">
              <w:rPr>
                <w:rFonts w:cstheme="minorHAnsi"/>
                <w:sz w:val="20"/>
                <w:szCs w:val="20"/>
                <w:lang w:bidi="ar-SA"/>
              </w:rPr>
              <w:t>March 15, 2021</w:t>
            </w:r>
          </w:p>
        </w:tc>
      </w:tr>
    </w:tbl>
    <w:p w14:paraId="405C2F7B" w14:textId="77777777" w:rsidR="00C4177B" w:rsidRPr="00D87975" w:rsidRDefault="00C4177B" w:rsidP="00D87975">
      <w:pPr>
        <w:spacing w:before="120" w:after="120"/>
        <w:rPr>
          <w:rFonts w:asciiTheme="minorHAnsi" w:hAnsiTheme="minorHAnsi" w:cstheme="minorHAnsi"/>
          <w:i/>
          <w:sz w:val="20"/>
        </w:rPr>
      </w:pPr>
    </w:p>
    <w:p w14:paraId="2B9653BB" w14:textId="3FE4D523"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 xml:space="preserve">acceptance </w:t>
      </w:r>
      <w:proofErr w:type="gramStart"/>
      <w:r w:rsidR="00612BB5">
        <w:rPr>
          <w:rFonts w:asciiTheme="minorHAnsi" w:hAnsiTheme="minorHAnsi" w:cstheme="minorHAnsi"/>
          <w:bCs/>
          <w:sz w:val="20"/>
          <w:lang w:bidi="en-US"/>
        </w:rPr>
        <w:t>c</w:t>
      </w:r>
      <w:r w:rsidR="000033AA">
        <w:rPr>
          <w:rFonts w:asciiTheme="minorHAnsi" w:hAnsiTheme="minorHAnsi" w:cstheme="minorHAnsi"/>
          <w:bCs/>
          <w:sz w:val="20"/>
          <w:lang w:bidi="en-US"/>
        </w:rPr>
        <w:t>riteria</w:t>
      </w:r>
      <w:proofErr w:type="gramEnd"/>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F25891">
        <w:rPr>
          <w:rFonts w:asciiTheme="minorHAnsi" w:hAnsiTheme="minorHAnsi" w:cstheme="minorHAnsi"/>
          <w:bCs/>
          <w:sz w:val="20"/>
          <w:lang w:bidi="en-US"/>
        </w:rPr>
        <w:t>JUDICIAL COUNCIL OF CALIFORNIA</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F25891">
        <w:rPr>
          <w:rFonts w:asciiTheme="minorHAnsi" w:hAnsiTheme="minorHAnsi" w:cstheme="minorHAnsi"/>
          <w:bCs/>
          <w:sz w:val="20"/>
          <w:lang w:bidi="en-US"/>
        </w:rPr>
        <w:t>JUDICIAL COUNCIL OF CALIFORNIA</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2AD35275" w14:textId="02B13026" w:rsidR="00570F30" w:rsidRPr="00D87975" w:rsidRDefault="00D87975" w:rsidP="00D87975">
      <w:pPr>
        <w:spacing w:before="120" w:after="120"/>
        <w:ind w:left="936"/>
        <w:rPr>
          <w:rFonts w:asciiTheme="minorHAnsi" w:hAnsiTheme="minorHAnsi" w:cstheme="minorHAnsi"/>
          <w:sz w:val="20"/>
        </w:rPr>
      </w:pPr>
      <w:r w:rsidRPr="00D87975">
        <w:rPr>
          <w:rFonts w:asciiTheme="minorHAnsi" w:hAnsiTheme="minorHAnsi" w:cstheme="minorHAnsi"/>
          <w:i/>
          <w:sz w:val="20"/>
        </w:rPr>
        <w:t>•</w:t>
      </w:r>
      <w:r w:rsidRPr="00D87975">
        <w:rPr>
          <w:rFonts w:asciiTheme="minorHAnsi" w:hAnsiTheme="minorHAnsi" w:cstheme="minorHAnsi"/>
          <w:i/>
          <w:sz w:val="20"/>
        </w:rPr>
        <w:tab/>
      </w:r>
      <w:r w:rsidRPr="00D87975">
        <w:rPr>
          <w:rFonts w:asciiTheme="minorHAnsi" w:hAnsiTheme="minorHAnsi" w:cstheme="minorHAnsi"/>
          <w:sz w:val="20"/>
        </w:rPr>
        <w:t xml:space="preserve">The final Performance Measurers and Benchmarks (Final PMB) and the Final Report summarizing all Contractor’s findings and recommendations will have to be approved by the JCC. There will be additional review by other advisory committee’s and potentially subcommittees prior to the final approval of the JCC. </w:t>
      </w:r>
    </w:p>
    <w:p w14:paraId="744DE9C9" w14:textId="21D12034" w:rsidR="00927DC6" w:rsidRPr="00DD7319" w:rsidRDefault="00927DC6" w:rsidP="00DD7319">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timeline</w:t>
      </w:r>
      <w:r w:rsidR="00D87975">
        <w:rPr>
          <w:rFonts w:asciiTheme="minorHAnsi" w:hAnsiTheme="minorHAnsi" w:cstheme="minorHAnsi"/>
          <w:sz w:val="20"/>
        </w:rPr>
        <w:t xml:space="preserve"> in 2.2 above.</w:t>
      </w:r>
    </w:p>
    <w:p w14:paraId="6C0EC844" w14:textId="5E9E56BF"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F25891">
        <w:rPr>
          <w:rFonts w:asciiTheme="minorHAnsi" w:hAnsiTheme="minorHAnsi" w:cstheme="minorHAnsi"/>
          <w:sz w:val="20"/>
        </w:rPr>
        <w:t>JUDICIAL COUNCIL OF CALIFORNIA</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F25891">
        <w:rPr>
          <w:rFonts w:asciiTheme="minorHAnsi" w:hAnsiTheme="minorHAnsi" w:cstheme="minorHAnsi"/>
          <w:sz w:val="20"/>
        </w:rPr>
        <w:t>JUDICIAL COUNCIL OF CALIFORNIA</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F25891">
        <w:rPr>
          <w:rFonts w:asciiTheme="minorHAnsi" w:hAnsiTheme="minorHAnsi" w:cstheme="minorHAnsi"/>
          <w:sz w:val="20"/>
        </w:rPr>
        <w:t>JUDICIAL COUNCIL OF CALIFORNIA</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0E25C979" w14:textId="4F85CB04"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w:t>
      </w:r>
      <w:proofErr w:type="spellStart"/>
      <w:r w:rsidRPr="00EB564D">
        <w:rPr>
          <w:rFonts w:asciiTheme="minorHAnsi" w:hAnsiTheme="minorHAnsi" w:cstheme="minorHAnsi"/>
          <w:sz w:val="20"/>
        </w:rPr>
        <w:t>i</w:t>
      </w:r>
      <w:proofErr w:type="spellEnd"/>
      <w:r w:rsidRPr="00EB564D">
        <w:rPr>
          <w:rFonts w:asciiTheme="minorHAnsi" w:hAnsiTheme="minorHAnsi" w:cstheme="minorHAnsi"/>
          <w:sz w:val="20"/>
        </w:rPr>
        <w:t xml:space="preserve">) the Services will be rendered with promptness and diligence and will be executed in a workmanlike manner, in accordance with the practices and professional standards used in well-managed operations performing services </w:t>
      </w:r>
      <w:proofErr w:type="gramStart"/>
      <w:r w:rsidRPr="00EB564D">
        <w:rPr>
          <w:rFonts w:asciiTheme="minorHAnsi" w:hAnsiTheme="minorHAnsi" w:cstheme="minorHAnsi"/>
          <w:sz w:val="20"/>
        </w:rPr>
        <w:t>similar to</w:t>
      </w:r>
      <w:proofErr w:type="gramEnd"/>
      <w:r w:rsidRPr="00EB564D">
        <w:rPr>
          <w:rFonts w:asciiTheme="minorHAnsi" w:hAnsiTheme="minorHAnsi" w:cstheme="minorHAnsi"/>
          <w:sz w:val="20"/>
        </w:rPr>
        <w:t xml:space="preserve">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F25891">
        <w:rPr>
          <w:rFonts w:asciiTheme="minorHAnsi" w:hAnsiTheme="minorHAnsi" w:cstheme="minorHAnsi"/>
          <w:sz w:val="20"/>
        </w:rPr>
        <w:t>JUDICIAL COUNCIL OF CALIFORNIA</w:t>
      </w:r>
      <w:r>
        <w:rPr>
          <w:rFonts w:asciiTheme="minorHAnsi" w:hAnsiTheme="minorHAnsi" w:cstheme="minorHAnsi"/>
          <w:sz w:val="20"/>
        </w:rPr>
        <w:t>’s</w:t>
      </w:r>
      <w:r w:rsidRPr="00EB564D">
        <w:rPr>
          <w:rFonts w:asciiTheme="minorHAnsi" w:hAnsiTheme="minorHAnsi" w:cstheme="minorHAnsi"/>
          <w:sz w:val="20"/>
        </w:rPr>
        <w:t xml:space="preserve"> acceptance of such </w:t>
      </w:r>
      <w:proofErr w:type="gramStart"/>
      <w:r w:rsidRPr="00EB564D">
        <w:rPr>
          <w:rFonts w:asciiTheme="minorHAnsi" w:hAnsiTheme="minorHAnsi" w:cstheme="minorHAnsi"/>
          <w:sz w:val="20"/>
        </w:rPr>
        <w:t>Deliverable, and</w:t>
      </w:r>
      <w:proofErr w:type="gramEnd"/>
      <w:r w:rsidRPr="00EB564D">
        <w:rPr>
          <w:rFonts w:asciiTheme="minorHAnsi" w:hAnsiTheme="minorHAnsi" w:cstheme="minorHAnsi"/>
          <w:sz w:val="20"/>
        </w:rPr>
        <w:t xml:space="preserve">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F25891">
        <w:rPr>
          <w:rFonts w:asciiTheme="minorHAnsi" w:hAnsiTheme="minorHAnsi" w:cstheme="minorHAnsi"/>
          <w:sz w:val="20"/>
        </w:rPr>
        <w:t>JUDICIAL COUNCIL OF CALIFORNIA</w:t>
      </w:r>
      <w:r w:rsidRPr="00EB564D">
        <w:rPr>
          <w:rFonts w:asciiTheme="minorHAnsi" w:hAnsiTheme="minorHAnsi" w:cstheme="minorHAnsi"/>
          <w:sz w:val="20"/>
        </w:rPr>
        <w:t>.</w:t>
      </w:r>
    </w:p>
    <w:p w14:paraId="5AAEE8AB"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w:t>
      </w:r>
      <w:proofErr w:type="gramStart"/>
      <w:r w:rsidRPr="007A0CA1">
        <w:rPr>
          <w:sz w:val="20"/>
        </w:rPr>
        <w:t>any and all</w:t>
      </w:r>
      <w:proofErr w:type="gramEnd"/>
      <w:r w:rsidRPr="007A0CA1">
        <w:rPr>
          <w:sz w:val="20"/>
        </w:rPr>
        <w:t xml:space="preserve">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0320CD6E" w14:textId="18ECE4F3"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F25891">
        <w:rPr>
          <w:rFonts w:asciiTheme="minorHAnsi" w:hAnsiTheme="minorHAnsi" w:cstheme="minorHAnsi"/>
          <w:sz w:val="20"/>
        </w:rPr>
        <w:t>JUDICIAL COUNCIL OF CALIFORNIA</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1C759841"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65EBE4B" w14:textId="544F4A23"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F25891">
        <w:rPr>
          <w:rFonts w:asciiTheme="minorHAnsi" w:hAnsiTheme="minorHAnsi" w:cstheme="minorHAnsi"/>
          <w:sz w:val="20"/>
        </w:rPr>
        <w:t>JUDICIAL COUNCIL OF CALIFORNIA</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F25891">
        <w:rPr>
          <w:rFonts w:asciiTheme="minorHAnsi" w:hAnsiTheme="minorHAnsi" w:cstheme="minorHAnsi"/>
          <w:sz w:val="20"/>
        </w:rPr>
        <w:t>JUDICIAL COUNCIL OF CALIFORNIA</w:t>
      </w:r>
      <w:r w:rsidRPr="00D809AB">
        <w:rPr>
          <w:rFonts w:asciiTheme="minorHAnsi" w:hAnsiTheme="minorHAnsi" w:cstheme="minorHAnsi"/>
          <w:sz w:val="20"/>
        </w:rPr>
        <w:t xml:space="preserve"> shall either</w:t>
      </w:r>
      <w:r>
        <w:rPr>
          <w:rFonts w:asciiTheme="minorHAnsi" w:hAnsiTheme="minorHAnsi" w:cstheme="minorHAnsi"/>
          <w:sz w:val="20"/>
        </w:rPr>
        <w:t xml:space="preserve"> (</w:t>
      </w:r>
      <w:proofErr w:type="spellStart"/>
      <w:r>
        <w:rPr>
          <w:rFonts w:asciiTheme="minorHAnsi" w:hAnsiTheme="minorHAnsi" w:cstheme="minorHAnsi"/>
          <w:sz w:val="20"/>
        </w:rPr>
        <w:t>i</w:t>
      </w:r>
      <w:proofErr w:type="spellEnd"/>
      <w:r>
        <w:rPr>
          <w:rFonts w:asciiTheme="minorHAnsi" w:hAnsiTheme="minorHAnsi" w:cstheme="minorHAnsi"/>
          <w:sz w:val="20"/>
        </w:rPr>
        <w:t>)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5BB73B6E" w14:textId="15D9A0B6"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F25891">
        <w:rPr>
          <w:rFonts w:asciiTheme="minorHAnsi" w:hAnsiTheme="minorHAnsi" w:cstheme="minorHAnsi"/>
          <w:sz w:val="20"/>
        </w:rPr>
        <w:t>JUDICIAL COUNCIL OF CALIFORNIA</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1F6FD24A"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proofErr w:type="spellStart"/>
      <w:r>
        <w:rPr>
          <w:rFonts w:asciiTheme="minorHAnsi" w:hAnsiTheme="minorHAnsi" w:cstheme="minorHAnsi"/>
          <w:sz w:val="20"/>
        </w:rPr>
        <w:t>i</w:t>
      </w:r>
      <w:proofErr w:type="spellEnd"/>
      <w:r>
        <w:rPr>
          <w:rFonts w:asciiTheme="minorHAnsi" w:hAnsiTheme="minorHAnsi" w:cstheme="minorHAnsi"/>
          <w:sz w:val="20"/>
        </w:rPr>
        <w:t xml:space="preserve">.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FE326DE" w14:textId="3A2D1CD6"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F25891">
        <w:rPr>
          <w:rFonts w:asciiTheme="minorHAnsi" w:hAnsiTheme="minorHAnsi" w:cstheme="minorHAnsi"/>
          <w:sz w:val="20"/>
        </w:rPr>
        <w:t>JUDICIAL COUNCIL OF CALIFORNIA</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F25891">
        <w:rPr>
          <w:rFonts w:asciiTheme="minorHAnsi" w:hAnsiTheme="minorHAnsi" w:cstheme="minorHAnsi"/>
          <w:sz w:val="20"/>
        </w:rPr>
        <w:t>JUDICIAL COUNCIL OF CALIFORNIA</w:t>
      </w:r>
      <w:r w:rsidRPr="000E10DB">
        <w:rPr>
          <w:rFonts w:asciiTheme="minorHAnsi" w:hAnsiTheme="minorHAnsi" w:cstheme="minorHAnsi"/>
          <w:sz w:val="20"/>
        </w:rPr>
        <w:t xml:space="preserve"> may receive and act upon a proposal submitted at any time before final payment under this Agreement.</w:t>
      </w:r>
    </w:p>
    <w:p w14:paraId="4498BDF3" w14:textId="6FBFDCE3" w:rsidR="00B15A09" w:rsidRPr="001370DD" w:rsidRDefault="00E37567" w:rsidP="001370DD">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F25891">
        <w:rPr>
          <w:rFonts w:asciiTheme="minorHAnsi" w:hAnsiTheme="minorHAnsi" w:cstheme="minorHAnsi"/>
          <w:sz w:val="20"/>
        </w:rPr>
        <w:t>JUDICIAL COUNCIL OF CALIFORNIA</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32BBEC12" w14:textId="441B9F3F"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F25891">
        <w:rPr>
          <w:rFonts w:asciiTheme="minorHAnsi" w:hAnsiTheme="minorHAnsi" w:cstheme="minorHAnsi"/>
          <w:b w:val="0"/>
          <w:sz w:val="20"/>
          <w:szCs w:val="20"/>
        </w:rPr>
        <w:t>JUDICIAL COUNCIL OF CALIFORNIA</w:t>
      </w:r>
      <w:r w:rsidRPr="00A00A65">
        <w:rPr>
          <w:rFonts w:asciiTheme="minorHAnsi" w:hAnsiTheme="minorHAnsi" w:cstheme="minorHAnsi"/>
          <w:b w:val="0"/>
          <w:sz w:val="20"/>
          <w:szCs w:val="20"/>
        </w:rPr>
        <w:t xml:space="preserve">. The </w:t>
      </w:r>
      <w:r w:rsidR="00F25891">
        <w:rPr>
          <w:rFonts w:asciiTheme="minorHAnsi" w:hAnsiTheme="minorHAnsi" w:cstheme="minorHAnsi"/>
          <w:b w:val="0"/>
          <w:sz w:val="20"/>
          <w:szCs w:val="20"/>
        </w:rPr>
        <w:t>JUDICIAL COUNCIL OF CALIFORNIA</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xml:space="preserve">)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F25891">
        <w:rPr>
          <w:rFonts w:asciiTheme="minorHAnsi" w:hAnsiTheme="minorHAnsi" w:cstheme="minorHAnsi"/>
          <w:b w:val="0"/>
          <w:sz w:val="20"/>
          <w:szCs w:val="20"/>
        </w:rPr>
        <w:t>JUDICIAL COUNCIL OF CALIFORNIA</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1" w:name="_Ref52292790"/>
      <w:bookmarkStart w:id="2" w:name="_Ref55633268"/>
      <w:bookmarkStart w:id="3" w:name="_Ref55895797"/>
      <w:bookmarkStart w:id="4" w:name="_Ref65945493"/>
      <w:r w:rsidR="00AC360F" w:rsidRPr="00AC360F">
        <w:rPr>
          <w:rFonts w:ascii="Times New Roman" w:hAnsi="Times New Roman"/>
          <w:b w:val="0"/>
          <w:sz w:val="20"/>
        </w:rPr>
        <w:t xml:space="preserve">If the </w:t>
      </w:r>
      <w:r w:rsidR="00F25891">
        <w:rPr>
          <w:rFonts w:ascii="Times New Roman" w:hAnsi="Times New Roman"/>
          <w:b w:val="0"/>
          <w:sz w:val="20"/>
        </w:rPr>
        <w:t>JUDICIAL COUNCIL OF CALIFORNIA</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F25891">
        <w:rPr>
          <w:rFonts w:ascii="Times New Roman" w:hAnsi="Times New Roman"/>
          <w:b w:val="0"/>
          <w:sz w:val="20"/>
        </w:rPr>
        <w:t>JUDICIAL COUNCIL OF CALIFORNIA</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F25891">
        <w:rPr>
          <w:rFonts w:ascii="Times New Roman" w:hAnsi="Times New Roman"/>
          <w:b w:val="0"/>
          <w:sz w:val="20"/>
        </w:rPr>
        <w:t>JUDICIAL COUNCIL OF CALIFORNIA</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F25891">
        <w:rPr>
          <w:rFonts w:ascii="Times New Roman" w:hAnsi="Times New Roman"/>
          <w:b w:val="0"/>
          <w:sz w:val="20"/>
        </w:rPr>
        <w:t>JUDICIAL COUNCIL OF CALIFORNIA</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F25891">
        <w:rPr>
          <w:rFonts w:ascii="Times New Roman" w:hAnsi="Times New Roman"/>
          <w:b w:val="0"/>
          <w:sz w:val="20"/>
        </w:rPr>
        <w:t>JUDICIAL COUNCIL OF CALIFORNIA</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F25891">
        <w:rPr>
          <w:rFonts w:ascii="Times New Roman" w:hAnsi="Times New Roman"/>
          <w:b w:val="0"/>
          <w:sz w:val="20"/>
        </w:rPr>
        <w:t>JUDICIAL COUNCIL OF CALIFORNIA</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F25891">
        <w:rPr>
          <w:rFonts w:ascii="Times New Roman" w:hAnsi="Times New Roman"/>
          <w:b w:val="0"/>
          <w:sz w:val="20"/>
        </w:rPr>
        <w:t>JUDICIAL COUNCIL OF CALIFORNIA</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F25891">
        <w:rPr>
          <w:rFonts w:ascii="Times New Roman" w:hAnsi="Times New Roman"/>
          <w:b w:val="0"/>
          <w:sz w:val="20"/>
        </w:rPr>
        <w:t>JUDICIAL COUNCIL OF CALIFORNIA</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F25891">
        <w:rPr>
          <w:rFonts w:ascii="Times New Roman" w:hAnsi="Times New Roman"/>
          <w:b w:val="0"/>
          <w:snapToGrid w:val="0"/>
          <w:sz w:val="20"/>
        </w:rPr>
        <w:t>JUDICIAL COUNCIL OF CALIFORNIA</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w:t>
      </w:r>
      <w:proofErr w:type="spellStart"/>
      <w:r w:rsidR="00575AB4">
        <w:rPr>
          <w:rFonts w:ascii="Times New Roman" w:hAnsi="Times New Roman"/>
          <w:b w:val="0"/>
          <w:snapToGrid w:val="0"/>
          <w:sz w:val="20"/>
        </w:rPr>
        <w:t>i</w:t>
      </w:r>
      <w:proofErr w:type="spellEnd"/>
      <w:r w:rsidR="00575AB4">
        <w:rPr>
          <w:rFonts w:ascii="Times New Roman" w:hAnsi="Times New Roman"/>
          <w:b w:val="0"/>
          <w:snapToGrid w:val="0"/>
          <w:sz w:val="20"/>
        </w:rPr>
        <w:t xml:space="preserve">)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1"/>
      <w:bookmarkEnd w:id="2"/>
      <w:bookmarkEnd w:id="3"/>
      <w:bookmarkEnd w:id="4"/>
    </w:p>
    <w:p w14:paraId="6E5C2B61"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t>ATTACHMENT 1</w:t>
      </w:r>
    </w:p>
    <w:p w14:paraId="60F914F5"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4EA5EA6C" w14:textId="77777777" w:rsidR="004D2739" w:rsidRPr="004D2739" w:rsidRDefault="004D2739" w:rsidP="004D2739">
      <w:pPr>
        <w:jc w:val="center"/>
        <w:rPr>
          <w:color w:val="000000" w:themeColor="text1"/>
        </w:rPr>
      </w:pPr>
    </w:p>
    <w:p w14:paraId="4E1F0EE5"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188B42FB"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31955E38" w14:textId="4778E312"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F25891">
        <w:rPr>
          <w:rFonts w:asciiTheme="minorHAnsi" w:hAnsiTheme="minorHAnsi" w:cstheme="minorHAnsi"/>
          <w:color w:val="000000" w:themeColor="text1"/>
          <w:sz w:val="20"/>
          <w:szCs w:val="20"/>
        </w:rPr>
        <w:t xml:space="preserve">JUDICIAL COUNCIL OF </w:t>
      </w:r>
      <w:proofErr w:type="gramStart"/>
      <w:r w:rsidR="00F25891">
        <w:rPr>
          <w:rFonts w:asciiTheme="minorHAnsi" w:hAnsiTheme="minorHAnsi" w:cstheme="minorHAnsi"/>
          <w:color w:val="000000" w:themeColor="text1"/>
          <w:sz w:val="20"/>
          <w:szCs w:val="20"/>
        </w:rPr>
        <w:t>CALIFORNIA</w:t>
      </w:r>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4A4C4550" w14:textId="77777777" w:rsidR="004D2739" w:rsidRPr="004D2739" w:rsidRDefault="004D2739" w:rsidP="004D2739">
      <w:pPr>
        <w:ind w:right="-180"/>
        <w:rPr>
          <w:rFonts w:asciiTheme="minorHAnsi" w:hAnsiTheme="minorHAnsi" w:cstheme="minorHAnsi"/>
          <w:color w:val="000000" w:themeColor="text1"/>
          <w:sz w:val="20"/>
        </w:rPr>
      </w:pPr>
    </w:p>
    <w:p w14:paraId="6B0BE60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42847DD3" w14:textId="77777777" w:rsidR="004D2739" w:rsidRPr="004D2739" w:rsidRDefault="004D2739" w:rsidP="004D2739">
      <w:pPr>
        <w:ind w:right="-180"/>
        <w:rPr>
          <w:rFonts w:asciiTheme="minorHAnsi" w:hAnsiTheme="minorHAnsi" w:cstheme="minorHAnsi"/>
          <w:color w:val="000000" w:themeColor="text1"/>
          <w:sz w:val="20"/>
        </w:rPr>
      </w:pPr>
    </w:p>
    <w:p w14:paraId="6FDBD50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1) Submitted on time: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length of delay and reasons.</w:t>
      </w:r>
    </w:p>
    <w:p w14:paraId="5F8945E9"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04BF4F4" w14:textId="77777777" w:rsidR="004D2739" w:rsidRPr="004D2739" w:rsidRDefault="004D2739" w:rsidP="004D2739">
      <w:pPr>
        <w:ind w:right="-180"/>
        <w:rPr>
          <w:rFonts w:asciiTheme="minorHAnsi" w:hAnsiTheme="minorHAnsi" w:cstheme="minorHAnsi"/>
          <w:color w:val="000000" w:themeColor="text1"/>
          <w:sz w:val="20"/>
        </w:rPr>
      </w:pPr>
    </w:p>
    <w:p w14:paraId="6D011166"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2) Complete: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identify incomplete aspects of the Services or Deliverables.</w:t>
      </w:r>
    </w:p>
    <w:p w14:paraId="5D05714F"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4D8DC43" w14:textId="77777777" w:rsidR="004D2739" w:rsidRPr="004D2739" w:rsidRDefault="004D2739" w:rsidP="004D2739">
      <w:pPr>
        <w:ind w:right="-180"/>
        <w:rPr>
          <w:rFonts w:asciiTheme="minorHAnsi" w:hAnsiTheme="minorHAnsi" w:cstheme="minorHAnsi"/>
          <w:color w:val="000000" w:themeColor="text1"/>
          <w:sz w:val="20"/>
        </w:rPr>
      </w:pPr>
    </w:p>
    <w:p w14:paraId="7E86B3C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3) Technically accurate: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corrections required.</w:t>
      </w:r>
    </w:p>
    <w:p w14:paraId="10ABD76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2B733282"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7D655F84"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350E574B"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Poor     [   ] Fair     [   ] Good      [   ] Very Good      [   ] Excellent</w:t>
      </w:r>
    </w:p>
    <w:p w14:paraId="0237BA55" w14:textId="77777777" w:rsidR="004D2739" w:rsidRPr="004D2739" w:rsidRDefault="004D2739" w:rsidP="004D2739">
      <w:pPr>
        <w:ind w:right="-180"/>
        <w:rPr>
          <w:rFonts w:asciiTheme="minorHAnsi" w:hAnsiTheme="minorHAnsi" w:cstheme="minorHAnsi"/>
          <w:color w:val="000000" w:themeColor="text1"/>
          <w:sz w:val="20"/>
        </w:rPr>
      </w:pPr>
    </w:p>
    <w:p w14:paraId="2EF3F97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60B51E1F"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1F517357" w14:textId="77777777" w:rsidR="004D2739" w:rsidRPr="004D2739" w:rsidRDefault="004D2739" w:rsidP="004D2739">
      <w:pPr>
        <w:ind w:right="-180"/>
        <w:rPr>
          <w:rFonts w:asciiTheme="minorHAnsi" w:hAnsiTheme="minorHAnsi" w:cstheme="minorHAnsi"/>
          <w:color w:val="000000" w:themeColor="text1"/>
          <w:sz w:val="20"/>
        </w:rPr>
      </w:pPr>
    </w:p>
    <w:p w14:paraId="12C28F8C"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4D09B783"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08D20BA3" w14:textId="77777777" w:rsidR="004D2739" w:rsidRPr="004D2739" w:rsidRDefault="004D2739" w:rsidP="004D2739">
      <w:pPr>
        <w:ind w:right="-180"/>
        <w:rPr>
          <w:rFonts w:asciiTheme="minorHAnsi" w:hAnsiTheme="minorHAnsi" w:cstheme="minorHAnsi"/>
          <w:color w:val="000000" w:themeColor="text1"/>
          <w:sz w:val="20"/>
        </w:rPr>
      </w:pPr>
    </w:p>
    <w:p w14:paraId="7D152708" w14:textId="77777777" w:rsidR="004D2739" w:rsidRPr="004D2739" w:rsidRDefault="004D2739" w:rsidP="004D2739">
      <w:pPr>
        <w:pStyle w:val="zzSansSerif"/>
        <w:ind w:right="-180"/>
        <w:rPr>
          <w:rFonts w:asciiTheme="minorHAnsi" w:hAnsiTheme="minorHAnsi" w:cstheme="minorHAnsi"/>
          <w:color w:val="000000" w:themeColor="text1"/>
          <w:sz w:val="20"/>
        </w:rPr>
      </w:pPr>
      <w:proofErr w:type="gramStart"/>
      <w:r w:rsidRPr="004D2739">
        <w:rPr>
          <w:rFonts w:asciiTheme="minorHAnsi" w:hAnsiTheme="minorHAnsi" w:cstheme="minorHAnsi"/>
          <w:color w:val="000000" w:themeColor="text1"/>
          <w:sz w:val="20"/>
        </w:rPr>
        <w:t>Name:_</w:t>
      </w:r>
      <w:proofErr w:type="gramEnd"/>
      <w:r w:rsidRPr="004D2739">
        <w:rPr>
          <w:rFonts w:asciiTheme="minorHAnsi" w:hAnsiTheme="minorHAnsi" w:cstheme="minorHAnsi"/>
          <w:color w:val="000000" w:themeColor="text1"/>
          <w:sz w:val="20"/>
        </w:rPr>
        <w:t>_______________________________________</w:t>
      </w:r>
    </w:p>
    <w:p w14:paraId="2F874E4D" w14:textId="77777777" w:rsidR="004D2739" w:rsidRPr="004D2739" w:rsidRDefault="004D2739" w:rsidP="004D2739">
      <w:pPr>
        <w:ind w:right="-180"/>
        <w:rPr>
          <w:rFonts w:asciiTheme="minorHAnsi" w:hAnsiTheme="minorHAnsi" w:cstheme="minorHAnsi"/>
          <w:color w:val="000000" w:themeColor="text1"/>
          <w:sz w:val="20"/>
        </w:rPr>
      </w:pPr>
    </w:p>
    <w:p w14:paraId="74D3A521"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Title:_</w:t>
      </w:r>
      <w:proofErr w:type="gramEnd"/>
      <w:r w:rsidRPr="004D2739">
        <w:rPr>
          <w:rFonts w:asciiTheme="minorHAnsi" w:hAnsiTheme="minorHAnsi" w:cstheme="minorHAnsi"/>
          <w:i w:val="0"/>
          <w:color w:val="000000" w:themeColor="text1"/>
          <w:sz w:val="20"/>
          <w:szCs w:val="20"/>
        </w:rPr>
        <w:t>________________________________________</w:t>
      </w:r>
    </w:p>
    <w:p w14:paraId="7672D5ED"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E85D784"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Date:_</w:t>
      </w:r>
      <w:proofErr w:type="gramEnd"/>
      <w:r w:rsidRPr="004D2739">
        <w:rPr>
          <w:rFonts w:asciiTheme="minorHAnsi" w:hAnsiTheme="minorHAnsi" w:cstheme="minorHAnsi"/>
          <w:i w:val="0"/>
          <w:color w:val="000000" w:themeColor="text1"/>
          <w:sz w:val="20"/>
          <w:szCs w:val="20"/>
        </w:rPr>
        <w:t>___________</w:t>
      </w:r>
    </w:p>
    <w:p w14:paraId="5FA9A484"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A193353"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03D2A2B1" w14:textId="77777777" w:rsidR="004D2739" w:rsidRDefault="004D2739" w:rsidP="004D2739">
      <w:pPr>
        <w:rPr>
          <w:color w:val="0000FF"/>
        </w:rPr>
      </w:pPr>
    </w:p>
    <w:p w14:paraId="42B801DE" w14:textId="77777777" w:rsidR="00001542" w:rsidRDefault="00001542">
      <w:pPr>
        <w:rPr>
          <w:rFonts w:asciiTheme="minorHAnsi" w:hAnsiTheme="minorHAnsi" w:cstheme="minorHAnsi"/>
          <w:sz w:val="20"/>
        </w:rPr>
        <w:sectPr w:rsidR="00001542" w:rsidSect="003B3C0B">
          <w:footerReference w:type="default" r:id="rId13"/>
          <w:footerReference w:type="first" r:id="rId14"/>
          <w:pgSz w:w="12240" w:h="15840"/>
          <w:pgMar w:top="1440" w:right="1440" w:bottom="1440" w:left="1440" w:header="720" w:footer="720" w:gutter="0"/>
          <w:pgNumType w:start="1"/>
          <w:cols w:space="720"/>
          <w:titlePg/>
          <w:docGrid w:linePitch="360"/>
        </w:sectPr>
      </w:pPr>
    </w:p>
    <w:p w14:paraId="282C89E0" w14:textId="77777777" w:rsidR="00001542" w:rsidRDefault="00001542">
      <w:pPr>
        <w:rPr>
          <w:rFonts w:asciiTheme="minorHAnsi" w:hAnsiTheme="minorHAnsi" w:cstheme="minorHAnsi"/>
          <w:sz w:val="20"/>
        </w:rPr>
        <w:sectPr w:rsidR="00001542" w:rsidSect="008906EF">
          <w:footerReference w:type="default" r:id="rId15"/>
          <w:type w:val="continuous"/>
          <w:pgSz w:w="12240" w:h="15840"/>
          <w:pgMar w:top="1440" w:right="1440" w:bottom="1440" w:left="1440" w:header="720" w:footer="720" w:gutter="0"/>
          <w:pgNumType w:start="1"/>
          <w:cols w:space="720"/>
          <w:docGrid w:linePitch="360"/>
        </w:sectPr>
      </w:pPr>
    </w:p>
    <w:p w14:paraId="7CC873F8" w14:textId="77777777" w:rsidR="004D2739" w:rsidRPr="00EC158B" w:rsidRDefault="004D2739">
      <w:pPr>
        <w:spacing w:line="300" w:lineRule="atLeast"/>
        <w:rPr>
          <w:rFonts w:asciiTheme="minorHAnsi" w:hAnsiTheme="minorHAnsi" w:cstheme="minorHAnsi"/>
          <w:sz w:val="20"/>
        </w:rPr>
      </w:pPr>
    </w:p>
    <w:p w14:paraId="3115F199"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31E241D7"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004A4FA" w14:textId="77777777" w:rsidR="008B1D57" w:rsidRPr="00EC158B" w:rsidRDefault="008B1D57">
      <w:pPr>
        <w:spacing w:line="300" w:lineRule="atLeast"/>
        <w:ind w:left="360"/>
        <w:rPr>
          <w:rFonts w:asciiTheme="minorHAnsi" w:hAnsiTheme="minorHAnsi" w:cstheme="minorHAnsi"/>
          <w:sz w:val="20"/>
        </w:rPr>
      </w:pPr>
    </w:p>
    <w:p w14:paraId="6C3A9C30" w14:textId="4D96B1C6" w:rsidR="00C36343" w:rsidRPr="00752F5D" w:rsidRDefault="00C36343" w:rsidP="00752F5D">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F25891">
        <w:rPr>
          <w:sz w:val="20"/>
        </w:rPr>
        <w:t>JUDICIAL COUNCIL OF CALIFORNIA</w:t>
      </w:r>
      <w:r w:rsidR="00492684" w:rsidRPr="00303BCF">
        <w:rPr>
          <w:sz w:val="20"/>
        </w:rPr>
        <w:t xml:space="preserve">, and the </w:t>
      </w:r>
      <w:r w:rsidR="00F25891">
        <w:rPr>
          <w:sz w:val="20"/>
        </w:rPr>
        <w:t>JUDICIAL COUNCIL OF CALIFORNIA</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F25891">
        <w:rPr>
          <w:sz w:val="20"/>
        </w:rPr>
        <w:t>JUDICIAL COUNCIL OF CALIFORNIA</w:t>
      </w:r>
      <w:r w:rsidR="00492684" w:rsidRPr="00303BCF">
        <w:rPr>
          <w:sz w:val="20"/>
        </w:rPr>
        <w:t xml:space="preserve"> shall have no obligation to pay or reimburse Contractor for, </w:t>
      </w:r>
      <w:proofErr w:type="gramStart"/>
      <w:r w:rsidR="00492684" w:rsidRPr="00303BCF">
        <w:rPr>
          <w:sz w:val="20"/>
        </w:rPr>
        <w:t>any and all</w:t>
      </w:r>
      <w:proofErr w:type="gramEnd"/>
      <w:r w:rsidR="00492684" w:rsidRPr="00303BCF">
        <w:rPr>
          <w:sz w:val="20"/>
        </w:rPr>
        <w:t xml:space="preserve"> other fees, costs, profits, taxes or expenses of any nature which Contractor incurs.</w:t>
      </w:r>
    </w:p>
    <w:p w14:paraId="1F86E07D"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45EE96A" w14:textId="45719B52" w:rsidR="00C36343" w:rsidRPr="00BC1C03" w:rsidRDefault="00270F4F" w:rsidP="004E4825">
      <w:pPr>
        <w:pStyle w:val="ListParagraph"/>
        <w:numPr>
          <w:ilvl w:val="1"/>
          <w:numId w:val="30"/>
        </w:numPr>
        <w:spacing w:before="120" w:after="120"/>
        <w:rPr>
          <w:rFonts w:asciiTheme="minorHAnsi" w:hAnsiTheme="minorHAnsi" w:cstheme="minorHAnsi"/>
          <w:b/>
          <w:bCs/>
          <w:sz w:val="20"/>
        </w:rPr>
      </w:pPr>
      <w:r w:rsidRPr="004E4825">
        <w:rPr>
          <w:rFonts w:asciiTheme="minorHAnsi" w:hAnsiTheme="minorHAnsi" w:cstheme="minorHAnsi"/>
          <w:b/>
          <w:bCs/>
          <w:sz w:val="20"/>
        </w:rPr>
        <w:t>Amount.</w:t>
      </w:r>
      <w:r w:rsidRPr="004E4825">
        <w:rPr>
          <w:rFonts w:asciiTheme="minorHAnsi" w:hAnsiTheme="minorHAnsi" w:cstheme="minorHAnsi"/>
          <w:bCs/>
          <w:sz w:val="20"/>
        </w:rPr>
        <w:t xml:space="preserve">  </w:t>
      </w:r>
      <w:r w:rsidR="00B6312C" w:rsidRPr="004E4825">
        <w:rPr>
          <w:rFonts w:asciiTheme="minorHAnsi" w:hAnsiTheme="minorHAnsi" w:cstheme="minorHAnsi"/>
          <w:bCs/>
          <w:sz w:val="20"/>
        </w:rPr>
        <w:t xml:space="preserve">Contractor will invoice the </w:t>
      </w:r>
      <w:r w:rsidR="005C5EAE" w:rsidRPr="004E4825">
        <w:rPr>
          <w:rFonts w:asciiTheme="minorHAnsi" w:hAnsiTheme="minorHAnsi" w:cstheme="minorHAnsi"/>
          <w:bCs/>
          <w:sz w:val="20"/>
        </w:rPr>
        <w:t>following amounts for Services or Deliverables</w:t>
      </w:r>
      <w:r w:rsidR="00B6312C" w:rsidRPr="004E4825">
        <w:rPr>
          <w:rFonts w:asciiTheme="minorHAnsi" w:hAnsiTheme="minorHAnsi" w:cstheme="minorHAnsi"/>
          <w:bCs/>
          <w:sz w:val="20"/>
        </w:rPr>
        <w:t xml:space="preserve"> that the </w:t>
      </w:r>
      <w:r w:rsidR="00F25891" w:rsidRPr="004E4825">
        <w:rPr>
          <w:rFonts w:asciiTheme="minorHAnsi" w:hAnsiTheme="minorHAnsi" w:cstheme="minorHAnsi"/>
          <w:bCs/>
          <w:sz w:val="20"/>
        </w:rPr>
        <w:t>JUDICIAL COUNCIL OF CALIFORNIA</w:t>
      </w:r>
      <w:r w:rsidR="00B6312C" w:rsidRPr="004E4825">
        <w:rPr>
          <w:rFonts w:asciiTheme="minorHAnsi" w:hAnsiTheme="minorHAnsi" w:cstheme="minorHAnsi"/>
          <w:bCs/>
          <w:sz w:val="20"/>
        </w:rPr>
        <w:t xml:space="preserve"> has accepted:  </w:t>
      </w:r>
    </w:p>
    <w:p w14:paraId="326062E5" w14:textId="3D99315F" w:rsidR="00BC1C03" w:rsidRPr="00BC1C03" w:rsidRDefault="00BC1C03" w:rsidP="00BC1C03">
      <w:pPr>
        <w:spacing w:before="120" w:after="120"/>
        <w:rPr>
          <w:rFonts w:asciiTheme="minorHAnsi" w:hAnsiTheme="minorHAnsi" w:cstheme="minorHAnsi"/>
          <w:b/>
          <w:bCs/>
          <w:sz w:val="20"/>
        </w:rPr>
      </w:pPr>
      <w:r>
        <w:rPr>
          <w:rFonts w:asciiTheme="minorHAnsi" w:hAnsiTheme="minorHAnsi" w:cstheme="minorHAnsi"/>
          <w:b/>
          <w:bCs/>
          <w:sz w:val="20"/>
        </w:rPr>
        <w:t>Table 1</w:t>
      </w:r>
    </w:p>
    <w:tbl>
      <w:tblPr>
        <w:tblStyle w:val="TableGrid"/>
        <w:tblpPr w:leftFromText="180" w:rightFromText="180" w:vertAnchor="text" w:horzAnchor="margin" w:tblpY="162"/>
        <w:tblW w:w="0" w:type="auto"/>
        <w:tblLook w:val="04A0" w:firstRow="1" w:lastRow="0" w:firstColumn="1" w:lastColumn="0" w:noHBand="0" w:noVBand="1"/>
      </w:tblPr>
      <w:tblGrid>
        <w:gridCol w:w="2703"/>
        <w:gridCol w:w="1792"/>
        <w:gridCol w:w="1260"/>
        <w:gridCol w:w="1205"/>
        <w:gridCol w:w="1172"/>
        <w:gridCol w:w="1133"/>
      </w:tblGrid>
      <w:tr w:rsidR="00727C41" w14:paraId="3F7517CC" w14:textId="77777777" w:rsidTr="00727C41">
        <w:tc>
          <w:tcPr>
            <w:tcW w:w="2703" w:type="dxa"/>
          </w:tcPr>
          <w:p w14:paraId="2A97B5BB" w14:textId="77777777" w:rsidR="00727C41" w:rsidRPr="00A031C0" w:rsidRDefault="00727C41" w:rsidP="00727C41">
            <w:pPr>
              <w:spacing w:before="120" w:after="120"/>
              <w:rPr>
                <w:rFonts w:asciiTheme="minorHAnsi" w:hAnsiTheme="minorHAnsi" w:cstheme="minorHAnsi"/>
                <w:bCs/>
                <w:sz w:val="20"/>
              </w:rPr>
            </w:pPr>
            <w:r w:rsidRPr="00A031C0">
              <w:rPr>
                <w:rFonts w:asciiTheme="minorHAnsi" w:hAnsiTheme="minorHAnsi" w:cstheme="minorHAnsi"/>
                <w:bCs/>
                <w:sz w:val="20"/>
              </w:rPr>
              <w:t>Deliverable</w:t>
            </w:r>
          </w:p>
        </w:tc>
        <w:tc>
          <w:tcPr>
            <w:tcW w:w="1792" w:type="dxa"/>
          </w:tcPr>
          <w:p w14:paraId="1923968C" w14:textId="77777777" w:rsidR="00727C41" w:rsidRPr="00A031C0" w:rsidRDefault="00727C41" w:rsidP="00727C41">
            <w:pPr>
              <w:spacing w:before="120" w:after="120"/>
              <w:rPr>
                <w:rFonts w:asciiTheme="minorHAnsi" w:hAnsiTheme="minorHAnsi" w:cstheme="minorHAnsi"/>
                <w:bCs/>
                <w:sz w:val="20"/>
              </w:rPr>
            </w:pPr>
            <w:r>
              <w:rPr>
                <w:rFonts w:asciiTheme="minorHAnsi" w:hAnsiTheme="minorHAnsi" w:cstheme="minorHAnsi"/>
                <w:bCs/>
                <w:sz w:val="20"/>
              </w:rPr>
              <w:t>Due Date</w:t>
            </w:r>
          </w:p>
        </w:tc>
        <w:tc>
          <w:tcPr>
            <w:tcW w:w="1260" w:type="dxa"/>
          </w:tcPr>
          <w:p w14:paraId="05533F42" w14:textId="77777777" w:rsidR="00727C41" w:rsidRPr="00A031C0" w:rsidRDefault="00727C41" w:rsidP="00727C41">
            <w:pPr>
              <w:spacing w:before="120" w:after="120"/>
              <w:rPr>
                <w:rFonts w:asciiTheme="minorHAnsi" w:hAnsiTheme="minorHAnsi" w:cstheme="minorHAnsi"/>
                <w:bCs/>
                <w:sz w:val="20"/>
              </w:rPr>
            </w:pPr>
            <w:r>
              <w:rPr>
                <w:rFonts w:asciiTheme="minorHAnsi" w:hAnsiTheme="minorHAnsi" w:cstheme="minorHAnsi"/>
                <w:bCs/>
                <w:sz w:val="20"/>
              </w:rPr>
              <w:t>Cost Per Deliverable</w:t>
            </w:r>
          </w:p>
        </w:tc>
        <w:tc>
          <w:tcPr>
            <w:tcW w:w="1205" w:type="dxa"/>
          </w:tcPr>
          <w:p w14:paraId="65AE8042" w14:textId="77777777" w:rsidR="00727C41" w:rsidRPr="00A031C0" w:rsidRDefault="00727C41" w:rsidP="00727C41">
            <w:pPr>
              <w:spacing w:before="120" w:after="120"/>
              <w:rPr>
                <w:rFonts w:asciiTheme="minorHAnsi" w:hAnsiTheme="minorHAnsi" w:cstheme="minorHAnsi"/>
                <w:bCs/>
                <w:sz w:val="20"/>
              </w:rPr>
            </w:pPr>
            <w:r w:rsidRPr="00A031C0">
              <w:rPr>
                <w:rFonts w:asciiTheme="minorHAnsi" w:hAnsiTheme="minorHAnsi" w:cstheme="minorHAnsi"/>
                <w:bCs/>
                <w:sz w:val="20"/>
              </w:rPr>
              <w:t>Retention</w:t>
            </w:r>
            <w:r>
              <w:rPr>
                <w:rFonts w:asciiTheme="minorHAnsi" w:hAnsiTheme="minorHAnsi" w:cstheme="minorHAnsi"/>
                <w:bCs/>
                <w:sz w:val="20"/>
              </w:rPr>
              <w:t xml:space="preserve"> Percentage </w:t>
            </w:r>
            <w:r w:rsidRPr="00A031C0">
              <w:rPr>
                <w:rFonts w:asciiTheme="minorHAnsi" w:hAnsiTheme="minorHAnsi" w:cstheme="minorHAnsi"/>
                <w:bCs/>
                <w:sz w:val="20"/>
              </w:rPr>
              <w:t>(%)</w:t>
            </w:r>
          </w:p>
        </w:tc>
        <w:tc>
          <w:tcPr>
            <w:tcW w:w="1172" w:type="dxa"/>
          </w:tcPr>
          <w:p w14:paraId="727B4BC9" w14:textId="77777777" w:rsidR="00727C41" w:rsidRPr="00A031C0" w:rsidRDefault="00727C41" w:rsidP="00727C41">
            <w:pPr>
              <w:spacing w:before="120" w:after="120"/>
              <w:rPr>
                <w:rFonts w:asciiTheme="minorHAnsi" w:hAnsiTheme="minorHAnsi" w:cstheme="minorHAnsi"/>
                <w:bCs/>
                <w:sz w:val="20"/>
              </w:rPr>
            </w:pPr>
            <w:r>
              <w:rPr>
                <w:rFonts w:asciiTheme="minorHAnsi" w:hAnsiTheme="minorHAnsi" w:cstheme="minorHAnsi"/>
                <w:bCs/>
                <w:sz w:val="20"/>
              </w:rPr>
              <w:t>Retention Amount</w:t>
            </w:r>
          </w:p>
        </w:tc>
        <w:tc>
          <w:tcPr>
            <w:tcW w:w="1133" w:type="dxa"/>
          </w:tcPr>
          <w:p w14:paraId="7F176470" w14:textId="77777777" w:rsidR="00727C41" w:rsidRDefault="00727C41" w:rsidP="00727C41">
            <w:pPr>
              <w:spacing w:before="120" w:after="120"/>
              <w:rPr>
                <w:rFonts w:asciiTheme="minorHAnsi" w:hAnsiTheme="minorHAnsi" w:cstheme="minorHAnsi"/>
                <w:bCs/>
                <w:sz w:val="20"/>
              </w:rPr>
            </w:pPr>
            <w:r>
              <w:rPr>
                <w:rFonts w:asciiTheme="minorHAnsi" w:hAnsiTheme="minorHAnsi" w:cstheme="minorHAnsi"/>
                <w:bCs/>
                <w:sz w:val="20"/>
              </w:rPr>
              <w:t>Payment Amount</w:t>
            </w:r>
          </w:p>
        </w:tc>
      </w:tr>
      <w:tr w:rsidR="00727C41" w14:paraId="3360B9A5" w14:textId="77777777" w:rsidTr="00727C41">
        <w:tc>
          <w:tcPr>
            <w:tcW w:w="2703" w:type="dxa"/>
          </w:tcPr>
          <w:p w14:paraId="0A1EB15F" w14:textId="77777777" w:rsidR="00727C41" w:rsidRPr="00727C41" w:rsidRDefault="00727C41" w:rsidP="00727C41">
            <w:pPr>
              <w:pStyle w:val="ListParagraph"/>
              <w:numPr>
                <w:ilvl w:val="0"/>
                <w:numId w:val="33"/>
              </w:numPr>
              <w:spacing w:before="120" w:after="120"/>
              <w:rPr>
                <w:rFonts w:asciiTheme="minorHAnsi" w:hAnsiTheme="minorHAnsi" w:cstheme="minorHAnsi"/>
                <w:bCs/>
                <w:sz w:val="20"/>
              </w:rPr>
            </w:pPr>
            <w:r w:rsidRPr="00727C41">
              <w:rPr>
                <w:rFonts w:asciiTheme="minorHAnsi" w:hAnsiTheme="minorHAnsi" w:cstheme="minorHAnsi"/>
                <w:bCs/>
                <w:sz w:val="20"/>
              </w:rPr>
              <w:t>Project kick off meeting and proposed approach in writing</w:t>
            </w:r>
          </w:p>
        </w:tc>
        <w:tc>
          <w:tcPr>
            <w:tcW w:w="1792" w:type="dxa"/>
          </w:tcPr>
          <w:p w14:paraId="56874F32" w14:textId="77777777" w:rsidR="00727C41" w:rsidRPr="00A031C0" w:rsidRDefault="00727C41" w:rsidP="00727C41">
            <w:pPr>
              <w:spacing w:before="120" w:after="120"/>
              <w:rPr>
                <w:rFonts w:asciiTheme="minorHAnsi" w:hAnsiTheme="minorHAnsi" w:cstheme="minorHAnsi"/>
                <w:bCs/>
                <w:sz w:val="20"/>
              </w:rPr>
            </w:pPr>
            <w:r w:rsidRPr="00A031C0">
              <w:rPr>
                <w:rFonts w:asciiTheme="minorHAnsi" w:hAnsiTheme="minorHAnsi" w:cstheme="minorHAnsi"/>
                <w:bCs/>
                <w:sz w:val="20"/>
              </w:rPr>
              <w:t>June 30, 2019</w:t>
            </w:r>
          </w:p>
        </w:tc>
        <w:tc>
          <w:tcPr>
            <w:tcW w:w="1260" w:type="dxa"/>
          </w:tcPr>
          <w:p w14:paraId="1FF60828" w14:textId="77777777" w:rsidR="00727C41" w:rsidRPr="00A031C0" w:rsidRDefault="00727C41" w:rsidP="00727C41">
            <w:pPr>
              <w:spacing w:before="120" w:after="120"/>
              <w:rPr>
                <w:rFonts w:asciiTheme="minorHAnsi" w:hAnsiTheme="minorHAnsi" w:cstheme="minorHAnsi"/>
                <w:bCs/>
                <w:sz w:val="20"/>
              </w:rPr>
            </w:pPr>
          </w:p>
        </w:tc>
        <w:tc>
          <w:tcPr>
            <w:tcW w:w="1205" w:type="dxa"/>
          </w:tcPr>
          <w:p w14:paraId="3CA3BBF3" w14:textId="77777777" w:rsidR="00727C41" w:rsidRPr="00A031C0" w:rsidRDefault="00727C41" w:rsidP="00727C41">
            <w:pPr>
              <w:spacing w:before="120" w:after="120"/>
              <w:rPr>
                <w:rFonts w:asciiTheme="minorHAnsi" w:hAnsiTheme="minorHAnsi" w:cstheme="minorHAnsi"/>
                <w:bCs/>
                <w:sz w:val="20"/>
              </w:rPr>
            </w:pPr>
            <w:r w:rsidRPr="00A031C0">
              <w:rPr>
                <w:rFonts w:asciiTheme="minorHAnsi" w:hAnsiTheme="minorHAnsi" w:cstheme="minorHAnsi"/>
                <w:bCs/>
                <w:sz w:val="20"/>
              </w:rPr>
              <w:t>15%</w:t>
            </w:r>
          </w:p>
        </w:tc>
        <w:tc>
          <w:tcPr>
            <w:tcW w:w="1172" w:type="dxa"/>
          </w:tcPr>
          <w:p w14:paraId="706E35D0" w14:textId="77777777" w:rsidR="00727C41" w:rsidRPr="00A031C0" w:rsidRDefault="00727C41" w:rsidP="00727C41">
            <w:pPr>
              <w:spacing w:before="120" w:after="120"/>
              <w:rPr>
                <w:rFonts w:asciiTheme="minorHAnsi" w:hAnsiTheme="minorHAnsi" w:cstheme="minorHAnsi"/>
                <w:bCs/>
                <w:sz w:val="20"/>
              </w:rPr>
            </w:pPr>
          </w:p>
        </w:tc>
        <w:tc>
          <w:tcPr>
            <w:tcW w:w="1133" w:type="dxa"/>
          </w:tcPr>
          <w:p w14:paraId="4F1352EA" w14:textId="77777777" w:rsidR="00727C41" w:rsidRPr="00A031C0" w:rsidRDefault="00727C41" w:rsidP="00727C41">
            <w:pPr>
              <w:spacing w:before="120" w:after="120"/>
              <w:rPr>
                <w:rFonts w:asciiTheme="minorHAnsi" w:hAnsiTheme="minorHAnsi" w:cstheme="minorHAnsi"/>
                <w:bCs/>
                <w:sz w:val="20"/>
              </w:rPr>
            </w:pPr>
          </w:p>
        </w:tc>
      </w:tr>
      <w:tr w:rsidR="00727C41" w14:paraId="24CF6CDD" w14:textId="77777777" w:rsidTr="00727C41">
        <w:tc>
          <w:tcPr>
            <w:tcW w:w="2703" w:type="dxa"/>
          </w:tcPr>
          <w:p w14:paraId="20BEB23B" w14:textId="69C4CFC6" w:rsidR="00727C41" w:rsidRPr="00727C41" w:rsidRDefault="00727C41" w:rsidP="00727C41">
            <w:pPr>
              <w:pStyle w:val="ListParagraph"/>
              <w:numPr>
                <w:ilvl w:val="0"/>
                <w:numId w:val="33"/>
              </w:numPr>
              <w:spacing w:before="120" w:after="120"/>
              <w:rPr>
                <w:rFonts w:asciiTheme="minorHAnsi" w:hAnsiTheme="minorHAnsi" w:cstheme="minorHAnsi"/>
                <w:bCs/>
                <w:sz w:val="20"/>
              </w:rPr>
            </w:pPr>
            <w:r w:rsidRPr="00727C41">
              <w:rPr>
                <w:rFonts w:asciiTheme="minorHAnsi" w:hAnsiTheme="minorHAnsi" w:cstheme="minorHAnsi"/>
                <w:bCs/>
                <w:sz w:val="20"/>
              </w:rPr>
              <w:t xml:space="preserve">1st Progress </w:t>
            </w:r>
            <w:r w:rsidR="0055754C">
              <w:rPr>
                <w:rFonts w:asciiTheme="minorHAnsi" w:hAnsiTheme="minorHAnsi" w:cstheme="minorHAnsi"/>
                <w:bCs/>
                <w:sz w:val="20"/>
              </w:rPr>
              <w:t>R</w:t>
            </w:r>
            <w:r w:rsidRPr="00727C41">
              <w:rPr>
                <w:rFonts w:asciiTheme="minorHAnsi" w:hAnsiTheme="minorHAnsi" w:cstheme="minorHAnsi"/>
                <w:bCs/>
                <w:sz w:val="20"/>
              </w:rPr>
              <w:t>eport</w:t>
            </w:r>
          </w:p>
          <w:p w14:paraId="4EC83941" w14:textId="7C4DB27C" w:rsidR="00727C41" w:rsidRPr="00A031C0" w:rsidRDefault="00727C41" w:rsidP="00727C41">
            <w:pPr>
              <w:spacing w:before="120" w:after="120"/>
              <w:rPr>
                <w:rFonts w:asciiTheme="minorHAnsi" w:hAnsiTheme="minorHAnsi" w:cstheme="minorHAnsi"/>
                <w:bCs/>
                <w:sz w:val="20"/>
              </w:rPr>
            </w:pPr>
            <w:r>
              <w:rPr>
                <w:rFonts w:asciiTheme="minorHAnsi" w:hAnsiTheme="minorHAnsi" w:cstheme="minorHAnsi"/>
                <w:bCs/>
                <w:sz w:val="20"/>
              </w:rPr>
              <w:t xml:space="preserve">               </w:t>
            </w:r>
            <w:r w:rsidRPr="00A031C0">
              <w:rPr>
                <w:rFonts w:asciiTheme="minorHAnsi" w:hAnsiTheme="minorHAnsi" w:cstheme="minorHAnsi"/>
                <w:bCs/>
                <w:sz w:val="20"/>
              </w:rPr>
              <w:t>2nd Progress</w:t>
            </w:r>
            <w:r w:rsidR="0055754C">
              <w:rPr>
                <w:rFonts w:asciiTheme="minorHAnsi" w:hAnsiTheme="minorHAnsi" w:cstheme="minorHAnsi"/>
                <w:bCs/>
                <w:sz w:val="20"/>
              </w:rPr>
              <w:t xml:space="preserve"> Report</w:t>
            </w:r>
          </w:p>
        </w:tc>
        <w:tc>
          <w:tcPr>
            <w:tcW w:w="1792" w:type="dxa"/>
          </w:tcPr>
          <w:p w14:paraId="724958D0" w14:textId="77777777" w:rsidR="00727C41" w:rsidRPr="00A031C0" w:rsidRDefault="00727C41" w:rsidP="00727C41">
            <w:pPr>
              <w:spacing w:before="120" w:after="120"/>
              <w:rPr>
                <w:rFonts w:asciiTheme="minorHAnsi" w:hAnsiTheme="minorHAnsi" w:cstheme="minorHAnsi"/>
                <w:bCs/>
                <w:sz w:val="20"/>
              </w:rPr>
            </w:pPr>
            <w:r w:rsidRPr="00A031C0">
              <w:rPr>
                <w:rFonts w:asciiTheme="minorHAnsi" w:hAnsiTheme="minorHAnsi" w:cstheme="minorHAnsi"/>
                <w:bCs/>
                <w:sz w:val="20"/>
              </w:rPr>
              <w:t>December 31, 2019</w:t>
            </w:r>
          </w:p>
          <w:p w14:paraId="02E11A7A" w14:textId="77777777" w:rsidR="00727C41" w:rsidRPr="00A031C0" w:rsidRDefault="00727C41" w:rsidP="00727C41">
            <w:pPr>
              <w:spacing w:before="120" w:after="120"/>
              <w:rPr>
                <w:rFonts w:asciiTheme="minorHAnsi" w:hAnsiTheme="minorHAnsi" w:cstheme="minorHAnsi"/>
                <w:bCs/>
                <w:sz w:val="20"/>
              </w:rPr>
            </w:pPr>
            <w:r w:rsidRPr="00A031C0">
              <w:rPr>
                <w:rFonts w:asciiTheme="minorHAnsi" w:hAnsiTheme="minorHAnsi" w:cstheme="minorHAnsi"/>
                <w:bCs/>
                <w:sz w:val="20"/>
              </w:rPr>
              <w:t>March 31, 2019</w:t>
            </w:r>
          </w:p>
        </w:tc>
        <w:tc>
          <w:tcPr>
            <w:tcW w:w="1260" w:type="dxa"/>
          </w:tcPr>
          <w:p w14:paraId="10C177FD" w14:textId="77777777" w:rsidR="00727C41" w:rsidRPr="00A031C0" w:rsidRDefault="00727C41" w:rsidP="00727C41">
            <w:pPr>
              <w:spacing w:before="120" w:after="120"/>
              <w:rPr>
                <w:rFonts w:asciiTheme="minorHAnsi" w:hAnsiTheme="minorHAnsi" w:cstheme="minorHAnsi"/>
                <w:bCs/>
                <w:sz w:val="20"/>
              </w:rPr>
            </w:pPr>
          </w:p>
        </w:tc>
        <w:tc>
          <w:tcPr>
            <w:tcW w:w="1205" w:type="dxa"/>
          </w:tcPr>
          <w:p w14:paraId="6924EB31" w14:textId="77777777" w:rsidR="00727C41" w:rsidRPr="00A031C0" w:rsidRDefault="00727C41" w:rsidP="00727C41">
            <w:pPr>
              <w:spacing w:before="120" w:after="120"/>
              <w:rPr>
                <w:rFonts w:asciiTheme="minorHAnsi" w:hAnsiTheme="minorHAnsi" w:cstheme="minorHAnsi"/>
                <w:bCs/>
                <w:sz w:val="20"/>
              </w:rPr>
            </w:pPr>
            <w:r w:rsidRPr="00A031C0">
              <w:rPr>
                <w:rFonts w:asciiTheme="minorHAnsi" w:hAnsiTheme="minorHAnsi" w:cstheme="minorHAnsi"/>
                <w:bCs/>
                <w:sz w:val="20"/>
              </w:rPr>
              <w:t>15% for each progress report</w:t>
            </w:r>
          </w:p>
        </w:tc>
        <w:tc>
          <w:tcPr>
            <w:tcW w:w="1172" w:type="dxa"/>
          </w:tcPr>
          <w:p w14:paraId="485FB62E" w14:textId="77777777" w:rsidR="00727C41" w:rsidRPr="00A031C0" w:rsidRDefault="00727C41" w:rsidP="00727C41">
            <w:pPr>
              <w:spacing w:before="120" w:after="120"/>
              <w:rPr>
                <w:rFonts w:asciiTheme="minorHAnsi" w:hAnsiTheme="minorHAnsi" w:cstheme="minorHAnsi"/>
                <w:bCs/>
                <w:sz w:val="20"/>
              </w:rPr>
            </w:pPr>
          </w:p>
        </w:tc>
        <w:tc>
          <w:tcPr>
            <w:tcW w:w="1133" w:type="dxa"/>
          </w:tcPr>
          <w:p w14:paraId="1ADCD476" w14:textId="77777777" w:rsidR="00727C41" w:rsidRPr="00A031C0" w:rsidRDefault="00727C41" w:rsidP="00727C41">
            <w:pPr>
              <w:spacing w:before="120" w:after="120"/>
              <w:rPr>
                <w:rFonts w:asciiTheme="minorHAnsi" w:hAnsiTheme="minorHAnsi" w:cstheme="minorHAnsi"/>
                <w:bCs/>
                <w:sz w:val="20"/>
              </w:rPr>
            </w:pPr>
          </w:p>
        </w:tc>
      </w:tr>
      <w:tr w:rsidR="00727C41" w14:paraId="25DC7EF0" w14:textId="77777777" w:rsidTr="00727C41">
        <w:trPr>
          <w:trHeight w:val="809"/>
        </w:trPr>
        <w:tc>
          <w:tcPr>
            <w:tcW w:w="2703" w:type="dxa"/>
          </w:tcPr>
          <w:p w14:paraId="44902464" w14:textId="77777777" w:rsidR="00727C41" w:rsidRPr="00727C41" w:rsidRDefault="00727C41" w:rsidP="00727C41">
            <w:pPr>
              <w:pStyle w:val="ListParagraph"/>
              <w:numPr>
                <w:ilvl w:val="0"/>
                <w:numId w:val="33"/>
              </w:numPr>
              <w:rPr>
                <w:rFonts w:asciiTheme="minorHAnsi" w:hAnsiTheme="minorHAnsi" w:cstheme="minorHAnsi"/>
                <w:bCs/>
                <w:sz w:val="20"/>
              </w:rPr>
            </w:pPr>
            <w:r w:rsidRPr="00727C41">
              <w:rPr>
                <w:rFonts w:asciiTheme="minorHAnsi" w:hAnsiTheme="minorHAnsi" w:cstheme="minorHAnsi"/>
                <w:bCs/>
                <w:sz w:val="20"/>
              </w:rPr>
              <w:t xml:space="preserve">Draft recommendations for Performance Measurers and Benchmarks (PMB) </w:t>
            </w:r>
          </w:p>
        </w:tc>
        <w:tc>
          <w:tcPr>
            <w:tcW w:w="1792" w:type="dxa"/>
          </w:tcPr>
          <w:p w14:paraId="68D0DC74" w14:textId="77777777" w:rsidR="00727C41" w:rsidRPr="00A031C0" w:rsidRDefault="00727C41" w:rsidP="00727C41">
            <w:pPr>
              <w:spacing w:before="120" w:after="120"/>
              <w:rPr>
                <w:rFonts w:asciiTheme="minorHAnsi" w:hAnsiTheme="minorHAnsi" w:cstheme="minorHAnsi"/>
                <w:bCs/>
                <w:sz w:val="20"/>
              </w:rPr>
            </w:pPr>
            <w:r w:rsidRPr="00A031C0">
              <w:rPr>
                <w:rFonts w:asciiTheme="minorHAnsi" w:hAnsiTheme="minorHAnsi" w:cstheme="minorHAnsi"/>
                <w:bCs/>
                <w:sz w:val="20"/>
              </w:rPr>
              <w:t>June 30, 2020</w:t>
            </w:r>
          </w:p>
        </w:tc>
        <w:tc>
          <w:tcPr>
            <w:tcW w:w="1260" w:type="dxa"/>
          </w:tcPr>
          <w:p w14:paraId="2FA63CF6" w14:textId="77777777" w:rsidR="00727C41" w:rsidRPr="00A031C0" w:rsidRDefault="00727C41" w:rsidP="00727C41">
            <w:pPr>
              <w:spacing w:before="120" w:after="120"/>
              <w:rPr>
                <w:rFonts w:asciiTheme="minorHAnsi" w:hAnsiTheme="minorHAnsi" w:cstheme="minorHAnsi"/>
                <w:bCs/>
                <w:sz w:val="20"/>
              </w:rPr>
            </w:pPr>
          </w:p>
        </w:tc>
        <w:tc>
          <w:tcPr>
            <w:tcW w:w="1205" w:type="dxa"/>
          </w:tcPr>
          <w:p w14:paraId="177D75A6" w14:textId="77777777" w:rsidR="00727C41" w:rsidRPr="00A031C0" w:rsidRDefault="00727C41" w:rsidP="00727C41">
            <w:pPr>
              <w:spacing w:before="120" w:after="120"/>
              <w:rPr>
                <w:rFonts w:asciiTheme="minorHAnsi" w:hAnsiTheme="minorHAnsi" w:cstheme="minorHAnsi"/>
                <w:bCs/>
                <w:sz w:val="20"/>
              </w:rPr>
            </w:pPr>
            <w:r w:rsidRPr="00A031C0">
              <w:rPr>
                <w:rFonts w:asciiTheme="minorHAnsi" w:hAnsiTheme="minorHAnsi" w:cstheme="minorHAnsi"/>
                <w:bCs/>
                <w:sz w:val="20"/>
              </w:rPr>
              <w:t>20%</w:t>
            </w:r>
          </w:p>
        </w:tc>
        <w:tc>
          <w:tcPr>
            <w:tcW w:w="1172" w:type="dxa"/>
          </w:tcPr>
          <w:p w14:paraId="43171155" w14:textId="77777777" w:rsidR="00727C41" w:rsidRPr="00A031C0" w:rsidRDefault="00727C41" w:rsidP="00727C41">
            <w:pPr>
              <w:spacing w:before="120" w:after="120"/>
              <w:rPr>
                <w:rFonts w:asciiTheme="minorHAnsi" w:hAnsiTheme="minorHAnsi" w:cstheme="minorHAnsi"/>
                <w:bCs/>
                <w:sz w:val="20"/>
              </w:rPr>
            </w:pPr>
          </w:p>
        </w:tc>
        <w:tc>
          <w:tcPr>
            <w:tcW w:w="1133" w:type="dxa"/>
          </w:tcPr>
          <w:p w14:paraId="6700D446" w14:textId="77777777" w:rsidR="00727C41" w:rsidRPr="00A031C0" w:rsidRDefault="00727C41" w:rsidP="00727C41">
            <w:pPr>
              <w:spacing w:before="120" w:after="120"/>
              <w:rPr>
                <w:rFonts w:asciiTheme="minorHAnsi" w:hAnsiTheme="minorHAnsi" w:cstheme="minorHAnsi"/>
                <w:bCs/>
                <w:sz w:val="20"/>
              </w:rPr>
            </w:pPr>
          </w:p>
        </w:tc>
      </w:tr>
      <w:tr w:rsidR="00727C41" w14:paraId="35D37C77" w14:textId="77777777" w:rsidTr="00727C41">
        <w:tc>
          <w:tcPr>
            <w:tcW w:w="2703" w:type="dxa"/>
          </w:tcPr>
          <w:p w14:paraId="16FE7A2F" w14:textId="77777777" w:rsidR="00727C41" w:rsidRPr="00727C41" w:rsidRDefault="00727C41" w:rsidP="00727C41">
            <w:pPr>
              <w:pStyle w:val="ListParagraph"/>
              <w:numPr>
                <w:ilvl w:val="0"/>
                <w:numId w:val="33"/>
              </w:numPr>
              <w:spacing w:before="120" w:after="120"/>
              <w:rPr>
                <w:rFonts w:asciiTheme="minorHAnsi" w:hAnsiTheme="minorHAnsi" w:cstheme="minorHAnsi"/>
                <w:bCs/>
                <w:sz w:val="20"/>
              </w:rPr>
            </w:pPr>
            <w:r w:rsidRPr="00727C41">
              <w:rPr>
                <w:rFonts w:asciiTheme="minorHAnsi" w:hAnsiTheme="minorHAnsi" w:cstheme="minorHAnsi"/>
                <w:bCs/>
                <w:sz w:val="20"/>
              </w:rPr>
              <w:t>Final Performance Measurers and Benchmarks (Final PMB)</w:t>
            </w:r>
          </w:p>
        </w:tc>
        <w:tc>
          <w:tcPr>
            <w:tcW w:w="1792" w:type="dxa"/>
          </w:tcPr>
          <w:p w14:paraId="3BA20B01" w14:textId="77777777" w:rsidR="00727C41" w:rsidRPr="00A031C0" w:rsidRDefault="00727C41" w:rsidP="00727C41">
            <w:pPr>
              <w:spacing w:before="120" w:after="120"/>
              <w:rPr>
                <w:rFonts w:asciiTheme="minorHAnsi" w:hAnsiTheme="minorHAnsi" w:cstheme="minorHAnsi"/>
                <w:bCs/>
                <w:sz w:val="20"/>
              </w:rPr>
            </w:pPr>
            <w:r w:rsidRPr="00A031C0">
              <w:rPr>
                <w:rFonts w:asciiTheme="minorHAnsi" w:hAnsiTheme="minorHAnsi" w:cstheme="minorHAnsi"/>
                <w:bCs/>
                <w:sz w:val="20"/>
              </w:rPr>
              <w:t>September 1, 2020</w:t>
            </w:r>
          </w:p>
        </w:tc>
        <w:tc>
          <w:tcPr>
            <w:tcW w:w="1260" w:type="dxa"/>
          </w:tcPr>
          <w:p w14:paraId="528D0C77" w14:textId="77777777" w:rsidR="00727C41" w:rsidRPr="00A031C0" w:rsidRDefault="00727C41" w:rsidP="00727C41">
            <w:pPr>
              <w:spacing w:before="120" w:after="120"/>
              <w:rPr>
                <w:rFonts w:asciiTheme="minorHAnsi" w:hAnsiTheme="minorHAnsi" w:cstheme="minorHAnsi"/>
                <w:bCs/>
                <w:sz w:val="20"/>
              </w:rPr>
            </w:pPr>
          </w:p>
        </w:tc>
        <w:tc>
          <w:tcPr>
            <w:tcW w:w="1205" w:type="dxa"/>
          </w:tcPr>
          <w:p w14:paraId="082408AD" w14:textId="77777777" w:rsidR="00727C41" w:rsidRPr="00A031C0" w:rsidRDefault="00727C41" w:rsidP="00727C41">
            <w:pPr>
              <w:spacing w:before="120" w:after="120"/>
              <w:rPr>
                <w:rFonts w:asciiTheme="minorHAnsi" w:hAnsiTheme="minorHAnsi" w:cstheme="minorHAnsi"/>
                <w:bCs/>
                <w:sz w:val="20"/>
              </w:rPr>
            </w:pPr>
            <w:r w:rsidRPr="00A031C0">
              <w:rPr>
                <w:rFonts w:asciiTheme="minorHAnsi" w:hAnsiTheme="minorHAnsi" w:cstheme="minorHAnsi"/>
                <w:bCs/>
                <w:sz w:val="20"/>
              </w:rPr>
              <w:t>20%</w:t>
            </w:r>
          </w:p>
        </w:tc>
        <w:tc>
          <w:tcPr>
            <w:tcW w:w="1172" w:type="dxa"/>
          </w:tcPr>
          <w:p w14:paraId="696D8759" w14:textId="77777777" w:rsidR="00727C41" w:rsidRPr="00A031C0" w:rsidRDefault="00727C41" w:rsidP="00727C41">
            <w:pPr>
              <w:spacing w:before="120" w:after="120"/>
              <w:rPr>
                <w:rFonts w:asciiTheme="minorHAnsi" w:hAnsiTheme="minorHAnsi" w:cstheme="minorHAnsi"/>
                <w:bCs/>
                <w:sz w:val="20"/>
              </w:rPr>
            </w:pPr>
          </w:p>
        </w:tc>
        <w:tc>
          <w:tcPr>
            <w:tcW w:w="1133" w:type="dxa"/>
          </w:tcPr>
          <w:p w14:paraId="29EE4B82" w14:textId="77777777" w:rsidR="00727C41" w:rsidRPr="00A031C0" w:rsidRDefault="00727C41" w:rsidP="00727C41">
            <w:pPr>
              <w:spacing w:before="120" w:after="120"/>
              <w:rPr>
                <w:rFonts w:asciiTheme="minorHAnsi" w:hAnsiTheme="minorHAnsi" w:cstheme="minorHAnsi"/>
                <w:bCs/>
                <w:sz w:val="20"/>
              </w:rPr>
            </w:pPr>
          </w:p>
        </w:tc>
      </w:tr>
      <w:tr w:rsidR="00727C41" w14:paraId="7432CB2B" w14:textId="77777777" w:rsidTr="00727C41">
        <w:tc>
          <w:tcPr>
            <w:tcW w:w="2703" w:type="dxa"/>
          </w:tcPr>
          <w:p w14:paraId="0D5AAA97" w14:textId="7BE70501" w:rsidR="00727C41" w:rsidRPr="00727C41" w:rsidRDefault="00727C41" w:rsidP="00727C41">
            <w:pPr>
              <w:pStyle w:val="ListParagraph"/>
              <w:numPr>
                <w:ilvl w:val="0"/>
                <w:numId w:val="33"/>
              </w:numPr>
              <w:spacing w:before="120" w:after="120"/>
              <w:rPr>
                <w:rFonts w:asciiTheme="minorHAnsi" w:hAnsiTheme="minorHAnsi" w:cstheme="minorHAnsi"/>
                <w:bCs/>
                <w:sz w:val="20"/>
              </w:rPr>
            </w:pPr>
            <w:r w:rsidRPr="00727C41">
              <w:rPr>
                <w:rFonts w:asciiTheme="minorHAnsi" w:hAnsiTheme="minorHAnsi" w:cstheme="minorHAnsi"/>
                <w:bCs/>
                <w:sz w:val="20"/>
              </w:rPr>
              <w:t xml:space="preserve">Final Report Summarizing all the </w:t>
            </w:r>
            <w:r w:rsidR="00B45302">
              <w:rPr>
                <w:rFonts w:asciiTheme="minorHAnsi" w:hAnsiTheme="minorHAnsi" w:cstheme="minorHAnsi"/>
                <w:bCs/>
                <w:sz w:val="20"/>
              </w:rPr>
              <w:t>C</w:t>
            </w:r>
            <w:r w:rsidRPr="00727C41">
              <w:rPr>
                <w:rFonts w:asciiTheme="minorHAnsi" w:hAnsiTheme="minorHAnsi" w:cstheme="minorHAnsi"/>
                <w:bCs/>
                <w:sz w:val="20"/>
              </w:rPr>
              <w:t>onsultant’s findings</w:t>
            </w:r>
          </w:p>
        </w:tc>
        <w:tc>
          <w:tcPr>
            <w:tcW w:w="1792" w:type="dxa"/>
          </w:tcPr>
          <w:p w14:paraId="6A4F0FA9" w14:textId="77777777" w:rsidR="00727C41" w:rsidRPr="00A031C0" w:rsidRDefault="00727C41" w:rsidP="00727C41">
            <w:pPr>
              <w:spacing w:before="120" w:after="120"/>
              <w:rPr>
                <w:rFonts w:asciiTheme="minorHAnsi" w:hAnsiTheme="minorHAnsi" w:cstheme="minorHAnsi"/>
                <w:bCs/>
                <w:sz w:val="20"/>
              </w:rPr>
            </w:pPr>
            <w:r w:rsidRPr="00A031C0">
              <w:rPr>
                <w:rFonts w:asciiTheme="minorHAnsi" w:hAnsiTheme="minorHAnsi" w:cstheme="minorHAnsi"/>
                <w:bCs/>
                <w:sz w:val="20"/>
              </w:rPr>
              <w:t>December 1, 2020</w:t>
            </w:r>
          </w:p>
        </w:tc>
        <w:tc>
          <w:tcPr>
            <w:tcW w:w="1260" w:type="dxa"/>
          </w:tcPr>
          <w:p w14:paraId="7618B80F" w14:textId="77777777" w:rsidR="00727C41" w:rsidRPr="00A031C0" w:rsidRDefault="00727C41" w:rsidP="00727C41">
            <w:pPr>
              <w:spacing w:before="120" w:after="120"/>
              <w:rPr>
                <w:rFonts w:asciiTheme="minorHAnsi" w:hAnsiTheme="minorHAnsi" w:cstheme="minorHAnsi"/>
                <w:bCs/>
                <w:sz w:val="20"/>
              </w:rPr>
            </w:pPr>
          </w:p>
        </w:tc>
        <w:tc>
          <w:tcPr>
            <w:tcW w:w="1205" w:type="dxa"/>
          </w:tcPr>
          <w:p w14:paraId="2D5A0658" w14:textId="77777777" w:rsidR="00727C41" w:rsidRPr="00A031C0" w:rsidRDefault="00727C41" w:rsidP="00727C41">
            <w:pPr>
              <w:spacing w:before="120" w:after="120"/>
              <w:rPr>
                <w:rFonts w:asciiTheme="minorHAnsi" w:hAnsiTheme="minorHAnsi" w:cstheme="minorHAnsi"/>
                <w:bCs/>
                <w:sz w:val="20"/>
              </w:rPr>
            </w:pPr>
            <w:r w:rsidRPr="00A031C0">
              <w:rPr>
                <w:rFonts w:asciiTheme="minorHAnsi" w:hAnsiTheme="minorHAnsi" w:cstheme="minorHAnsi"/>
                <w:bCs/>
                <w:sz w:val="20"/>
              </w:rPr>
              <w:t>15%</w:t>
            </w:r>
          </w:p>
        </w:tc>
        <w:tc>
          <w:tcPr>
            <w:tcW w:w="1172" w:type="dxa"/>
          </w:tcPr>
          <w:p w14:paraId="71B23136" w14:textId="77777777" w:rsidR="00727C41" w:rsidRPr="00A031C0" w:rsidRDefault="00727C41" w:rsidP="00727C41">
            <w:pPr>
              <w:spacing w:before="120" w:after="120"/>
              <w:rPr>
                <w:rFonts w:asciiTheme="minorHAnsi" w:hAnsiTheme="minorHAnsi" w:cstheme="minorHAnsi"/>
                <w:bCs/>
                <w:sz w:val="20"/>
              </w:rPr>
            </w:pPr>
          </w:p>
        </w:tc>
        <w:tc>
          <w:tcPr>
            <w:tcW w:w="1133" w:type="dxa"/>
          </w:tcPr>
          <w:p w14:paraId="5C16DD40" w14:textId="77777777" w:rsidR="00727C41" w:rsidRPr="00A031C0" w:rsidRDefault="00727C41" w:rsidP="00727C41">
            <w:pPr>
              <w:spacing w:before="120" w:after="120"/>
              <w:rPr>
                <w:rFonts w:asciiTheme="minorHAnsi" w:hAnsiTheme="minorHAnsi" w:cstheme="minorHAnsi"/>
                <w:bCs/>
                <w:sz w:val="20"/>
              </w:rPr>
            </w:pPr>
          </w:p>
        </w:tc>
      </w:tr>
    </w:tbl>
    <w:p w14:paraId="1ABE0167" w14:textId="3907D7D0" w:rsidR="00C36343" w:rsidRPr="00EC158B" w:rsidRDefault="00C36343" w:rsidP="00BC1C03">
      <w:pPr>
        <w:spacing w:before="120" w:after="120"/>
        <w:rPr>
          <w:rFonts w:asciiTheme="minorHAnsi" w:hAnsiTheme="minorHAnsi" w:cstheme="minorHAnsi"/>
          <w:bCs/>
          <w:i/>
          <w:sz w:val="20"/>
          <w:lang w:bidi="en-US"/>
        </w:rPr>
      </w:pPr>
    </w:p>
    <w:p w14:paraId="064885D1" w14:textId="25BB90B6" w:rsidR="00604041" w:rsidRPr="004E4825" w:rsidRDefault="00270F4F" w:rsidP="004E4825">
      <w:pPr>
        <w:pStyle w:val="ListParagraph"/>
        <w:numPr>
          <w:ilvl w:val="1"/>
          <w:numId w:val="30"/>
        </w:numPr>
        <w:spacing w:before="120" w:after="120"/>
        <w:rPr>
          <w:rFonts w:asciiTheme="minorHAnsi" w:hAnsiTheme="minorHAnsi" w:cstheme="minorHAnsi"/>
          <w:b/>
          <w:bCs/>
          <w:sz w:val="20"/>
        </w:rPr>
      </w:pPr>
      <w:r w:rsidRPr="006F57B8">
        <w:rPr>
          <w:rFonts w:asciiTheme="minorHAnsi" w:hAnsiTheme="minorHAnsi" w:cstheme="minorHAnsi"/>
          <w:b/>
          <w:bCs/>
          <w:sz w:val="20"/>
        </w:rPr>
        <w:t>Wi</w:t>
      </w:r>
      <w:r w:rsidR="00702D06" w:rsidRPr="006F57B8">
        <w:rPr>
          <w:rFonts w:asciiTheme="minorHAnsi" w:hAnsiTheme="minorHAnsi" w:cstheme="minorHAnsi"/>
          <w:b/>
          <w:bCs/>
          <w:sz w:val="20"/>
        </w:rPr>
        <w:t>thholding.</w:t>
      </w:r>
      <w:r w:rsidR="00702D06" w:rsidRPr="006F57B8">
        <w:rPr>
          <w:rFonts w:asciiTheme="minorHAnsi" w:hAnsiTheme="minorHAnsi" w:cstheme="minorHAnsi"/>
          <w:bCs/>
          <w:sz w:val="20"/>
        </w:rPr>
        <w:t xml:space="preserve">  When </w:t>
      </w:r>
      <w:r w:rsidR="00702D06" w:rsidRPr="004E4825">
        <w:rPr>
          <w:rFonts w:asciiTheme="minorHAnsi" w:hAnsiTheme="minorHAnsi" w:cstheme="minorHAnsi"/>
          <w:bCs/>
          <w:sz w:val="20"/>
        </w:rPr>
        <w:t xml:space="preserve">making a payment tied to the acceptance of Deliverables, the </w:t>
      </w:r>
      <w:r w:rsidR="00F25891" w:rsidRPr="004E4825">
        <w:rPr>
          <w:rFonts w:asciiTheme="minorHAnsi" w:hAnsiTheme="minorHAnsi" w:cstheme="minorHAnsi"/>
          <w:bCs/>
          <w:sz w:val="20"/>
        </w:rPr>
        <w:t>JUDICIAL COUNCIL OF CALIFORNIA</w:t>
      </w:r>
      <w:r w:rsidR="00702D06" w:rsidRPr="004E4825">
        <w:rPr>
          <w:rFonts w:asciiTheme="minorHAnsi" w:hAnsiTheme="minorHAnsi" w:cstheme="minorHAnsi"/>
          <w:bCs/>
          <w:sz w:val="20"/>
        </w:rPr>
        <w:t xml:space="preserve"> shall have the right</w:t>
      </w:r>
      <w:r w:rsidR="004E4825" w:rsidRPr="004E4825">
        <w:rPr>
          <w:rFonts w:asciiTheme="minorHAnsi" w:hAnsiTheme="minorHAnsi" w:cstheme="minorHAnsi"/>
          <w:bCs/>
          <w:sz w:val="20"/>
        </w:rPr>
        <w:t xml:space="preserve"> to withhold</w:t>
      </w:r>
      <w:r w:rsidR="00B15296">
        <w:rPr>
          <w:rFonts w:asciiTheme="minorHAnsi" w:hAnsiTheme="minorHAnsi" w:cstheme="minorHAnsi"/>
          <w:bCs/>
          <w:sz w:val="20"/>
        </w:rPr>
        <w:t xml:space="preserve"> the amounts be paid to Contractor, as outlined in Table 1 </w:t>
      </w:r>
      <w:r w:rsidR="003D380B">
        <w:rPr>
          <w:rFonts w:asciiTheme="minorHAnsi" w:hAnsiTheme="minorHAnsi" w:cstheme="minorHAnsi"/>
          <w:bCs/>
          <w:sz w:val="20"/>
        </w:rPr>
        <w:t>above</w:t>
      </w:r>
      <w:r w:rsidR="00FE08A0">
        <w:rPr>
          <w:rFonts w:asciiTheme="minorHAnsi" w:hAnsiTheme="minorHAnsi" w:cstheme="minorHAnsi"/>
          <w:bCs/>
          <w:sz w:val="20"/>
        </w:rPr>
        <w:t xml:space="preserve"> for </w:t>
      </w:r>
      <w:r w:rsidR="00702D06" w:rsidRPr="004E4825">
        <w:rPr>
          <w:rFonts w:asciiTheme="minorHAnsi" w:hAnsiTheme="minorHAnsi" w:cstheme="minorHAnsi"/>
          <w:bCs/>
          <w:sz w:val="20"/>
        </w:rPr>
        <w:t>each such payment</w:t>
      </w:r>
      <w:r w:rsidR="00FE08A0">
        <w:rPr>
          <w:rFonts w:asciiTheme="minorHAnsi" w:hAnsiTheme="minorHAnsi" w:cstheme="minorHAnsi"/>
          <w:bCs/>
          <w:sz w:val="20"/>
        </w:rPr>
        <w:t xml:space="preserve"> </w:t>
      </w:r>
      <w:r w:rsidR="00702D06" w:rsidRPr="004E4825">
        <w:rPr>
          <w:rFonts w:asciiTheme="minorHAnsi" w:hAnsiTheme="minorHAnsi" w:cstheme="minorHAnsi"/>
          <w:bCs/>
          <w:sz w:val="20"/>
        </w:rPr>
        <w:t xml:space="preserve">until the </w:t>
      </w:r>
      <w:r w:rsidR="00F25891" w:rsidRPr="004E4825">
        <w:rPr>
          <w:rFonts w:asciiTheme="minorHAnsi" w:hAnsiTheme="minorHAnsi" w:cstheme="minorHAnsi"/>
          <w:bCs/>
          <w:sz w:val="20"/>
        </w:rPr>
        <w:t>JUDICIAL COUNCIL OF CALIFORNIA</w:t>
      </w:r>
      <w:r w:rsidR="00702D06" w:rsidRPr="004E4825">
        <w:rPr>
          <w:rFonts w:asciiTheme="minorHAnsi" w:hAnsiTheme="minorHAnsi" w:cstheme="minorHAnsi"/>
          <w:bCs/>
          <w:sz w:val="20"/>
        </w:rPr>
        <w:t xml:space="preserve"> accepts the final Deliverable.</w:t>
      </w:r>
      <w:r w:rsidR="00604041" w:rsidRPr="004E4825">
        <w:rPr>
          <w:rFonts w:asciiTheme="minorHAnsi" w:hAnsiTheme="minorHAnsi" w:cstheme="minorHAnsi"/>
          <w:bCs/>
          <w:sz w:val="20"/>
        </w:rPr>
        <w:t xml:space="preserve"> </w:t>
      </w:r>
    </w:p>
    <w:p w14:paraId="27425BA6" w14:textId="456D7601" w:rsidR="00604041" w:rsidRPr="00604041" w:rsidRDefault="00604041" w:rsidP="004E4825">
      <w:pPr>
        <w:numPr>
          <w:ilvl w:val="1"/>
          <w:numId w:val="30"/>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F25891">
        <w:rPr>
          <w:sz w:val="20"/>
        </w:rPr>
        <w:t>JUDICIAL COUNCIL OF CALIFORNIA</w:t>
      </w:r>
      <w:r w:rsidRPr="00041323">
        <w:rPr>
          <w:sz w:val="20"/>
        </w:rPr>
        <w:t xml:space="preserve"> will not make any advance payment for Services.</w:t>
      </w:r>
    </w:p>
    <w:p w14:paraId="75484185" w14:textId="426F060C" w:rsidR="0070078B" w:rsidRPr="004E4825" w:rsidRDefault="00DC5733" w:rsidP="004E4825">
      <w:pPr>
        <w:pStyle w:val="ListParagraph"/>
        <w:numPr>
          <w:ilvl w:val="0"/>
          <w:numId w:val="30"/>
        </w:numPr>
        <w:spacing w:before="120" w:after="120"/>
        <w:rPr>
          <w:rFonts w:asciiTheme="minorHAnsi" w:hAnsiTheme="minorHAnsi" w:cstheme="minorHAnsi"/>
          <w:bCs/>
          <w:sz w:val="20"/>
        </w:rPr>
      </w:pPr>
      <w:r w:rsidRPr="004E4825">
        <w:rPr>
          <w:rFonts w:asciiTheme="minorHAnsi" w:hAnsiTheme="minorHAnsi" w:cstheme="minorHAnsi"/>
          <w:b/>
          <w:bCs/>
          <w:sz w:val="20"/>
        </w:rPr>
        <w:t>Invoicing and Payment</w:t>
      </w:r>
    </w:p>
    <w:p w14:paraId="700674AA" w14:textId="0DE98E4B" w:rsidR="00884DE5" w:rsidRPr="0070078B" w:rsidRDefault="002968EA" w:rsidP="004E4825">
      <w:pPr>
        <w:numPr>
          <w:ilvl w:val="1"/>
          <w:numId w:val="30"/>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F25891">
        <w:rPr>
          <w:rFonts w:asciiTheme="minorHAnsi" w:hAnsiTheme="minorHAnsi" w:cstheme="minorHAnsi"/>
          <w:bCs/>
          <w:sz w:val="20"/>
        </w:rPr>
        <w:t>JUDICIAL COUNCIL OF CALIFORNIA</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F25891">
        <w:rPr>
          <w:rFonts w:asciiTheme="minorHAnsi" w:hAnsiTheme="minorHAnsi" w:cstheme="minorHAnsi"/>
          <w:bCs/>
          <w:sz w:val="20"/>
        </w:rPr>
        <w:t>JUDICIAL COUNCIL OF CALIFORNIA</w:t>
      </w:r>
      <w:r w:rsidRPr="0070078B">
        <w:rPr>
          <w:rFonts w:asciiTheme="minorHAnsi" w:hAnsiTheme="minorHAnsi" w:cstheme="minorHAnsi"/>
          <w:bCs/>
          <w:sz w:val="20"/>
        </w:rPr>
        <w:t xml:space="preserve">. Contractor shall adhere to reasonable billing guidelines issued by the </w:t>
      </w:r>
      <w:r w:rsidR="00F25891">
        <w:rPr>
          <w:rFonts w:asciiTheme="minorHAnsi" w:hAnsiTheme="minorHAnsi" w:cstheme="minorHAnsi"/>
          <w:bCs/>
          <w:sz w:val="20"/>
        </w:rPr>
        <w:t>JUDICIAL COUNCIL OF CALIFORNIA</w:t>
      </w:r>
      <w:r w:rsidRPr="0070078B">
        <w:rPr>
          <w:rFonts w:asciiTheme="minorHAnsi" w:hAnsiTheme="minorHAnsi" w:cstheme="minorHAnsi"/>
          <w:bCs/>
          <w:sz w:val="20"/>
        </w:rPr>
        <w:t xml:space="preserve"> from time to time. </w:t>
      </w:r>
    </w:p>
    <w:p w14:paraId="42B68695" w14:textId="4BB44442" w:rsidR="001524A0" w:rsidRDefault="00884DE5" w:rsidP="004E4825">
      <w:pPr>
        <w:numPr>
          <w:ilvl w:val="1"/>
          <w:numId w:val="30"/>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F25891">
        <w:rPr>
          <w:sz w:val="20"/>
        </w:rPr>
        <w:t>JUDICIAL COUNCIL OF CALIFORNIA</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6F55E076"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6ECF8E75" w14:textId="100E3D66" w:rsidR="00A13735" w:rsidRPr="002F15A9" w:rsidRDefault="002968EA" w:rsidP="00A13735">
      <w:pPr>
        <w:numPr>
          <w:ilvl w:val="1"/>
          <w:numId w:val="30"/>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F25891">
        <w:rPr>
          <w:rFonts w:asciiTheme="minorHAnsi" w:hAnsiTheme="minorHAnsi" w:cstheme="minorHAnsi"/>
          <w:bCs/>
          <w:sz w:val="20"/>
        </w:rPr>
        <w:t>JUDICIAL COUNCIL OF CALIFORNIA</w:t>
      </w:r>
      <w:r w:rsidRPr="00B6312C">
        <w:rPr>
          <w:rFonts w:asciiTheme="minorHAnsi" w:hAnsiTheme="minorHAnsi" w:cstheme="minorHAnsi"/>
          <w:bCs/>
          <w:sz w:val="20"/>
        </w:rPr>
        <w:t xml:space="preserve"> shall have the right at any time to set off any amount owing from Contractor to the </w:t>
      </w:r>
      <w:r w:rsidR="00F25891">
        <w:rPr>
          <w:rFonts w:asciiTheme="minorHAnsi" w:hAnsiTheme="minorHAnsi" w:cstheme="minorHAnsi"/>
          <w:bCs/>
          <w:sz w:val="20"/>
        </w:rPr>
        <w:t>JUDICIAL COUNCIL OF CALIFORNIA</w:t>
      </w:r>
      <w:r w:rsidRPr="00B6312C">
        <w:rPr>
          <w:rFonts w:asciiTheme="minorHAnsi" w:hAnsiTheme="minorHAnsi" w:cstheme="minorHAnsi"/>
          <w:bCs/>
          <w:sz w:val="20"/>
        </w:rPr>
        <w:t xml:space="preserve"> against any amount payable by the </w:t>
      </w:r>
      <w:r w:rsidR="00F25891">
        <w:rPr>
          <w:rFonts w:asciiTheme="minorHAnsi" w:hAnsiTheme="minorHAnsi" w:cstheme="minorHAnsi"/>
          <w:bCs/>
          <w:sz w:val="20"/>
        </w:rPr>
        <w:t>JUDICIAL COUNCIL OF CALIFORNIA</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4A04D35A" w14:textId="35C2554D" w:rsidR="00270F4F" w:rsidRPr="00A13735" w:rsidRDefault="0070078B" w:rsidP="00A15F35">
      <w:pPr>
        <w:pStyle w:val="ListParagraph"/>
        <w:widowControl w:val="0"/>
        <w:numPr>
          <w:ilvl w:val="0"/>
          <w:numId w:val="18"/>
        </w:numPr>
        <w:spacing w:before="120" w:after="120"/>
        <w:rPr>
          <w:sz w:val="20"/>
        </w:rPr>
      </w:pPr>
      <w:r w:rsidRPr="00A13735">
        <w:rPr>
          <w:sz w:val="20"/>
        </w:rPr>
        <w:t xml:space="preserve">Taxes.  Unless otherwise required by law, the </w:t>
      </w:r>
      <w:r w:rsidR="00F25891" w:rsidRPr="00A13735">
        <w:rPr>
          <w:sz w:val="20"/>
        </w:rPr>
        <w:t>JUDICIAL COUNCIL OF CALIFORNIA</w:t>
      </w:r>
      <w:r w:rsidRPr="00A13735">
        <w:rPr>
          <w:sz w:val="20"/>
        </w:rPr>
        <w:t xml:space="preserve"> is exempt from federal excise taxes and no payment will be made for any personal property taxes levied on Contractor or on any taxes levied on employee wages. The </w:t>
      </w:r>
      <w:r w:rsidR="00F25891" w:rsidRPr="00A13735">
        <w:rPr>
          <w:sz w:val="20"/>
        </w:rPr>
        <w:t>JUDICIAL COUNCIL OF CALIFORNIA</w:t>
      </w:r>
      <w:r w:rsidRPr="00A13735">
        <w:rPr>
          <w:sz w:val="20"/>
        </w:rPr>
        <w:t xml:space="preserve"> shall only pay for any state or local sales, service, use, or similar taxes imposed on the Services rendered or equipment, parts or software supplied to the </w:t>
      </w:r>
      <w:r w:rsidR="00F25891" w:rsidRPr="00A13735">
        <w:rPr>
          <w:sz w:val="20"/>
        </w:rPr>
        <w:t>JUDICIAL COUNCIL OF CALIFORNIA</w:t>
      </w:r>
      <w:r w:rsidRPr="00A13735">
        <w:rPr>
          <w:sz w:val="20"/>
        </w:rPr>
        <w:t xml:space="preserve"> pursuant to this Agreement.</w:t>
      </w:r>
    </w:p>
    <w:p w14:paraId="362CFA3D" w14:textId="77777777" w:rsidR="008B1D57" w:rsidRPr="00EC158B" w:rsidRDefault="008B1D57">
      <w:pPr>
        <w:spacing w:before="120" w:after="120" w:line="300" w:lineRule="atLeast"/>
        <w:ind w:left="936"/>
        <w:rPr>
          <w:rFonts w:asciiTheme="minorHAnsi" w:hAnsiTheme="minorHAnsi" w:cstheme="minorHAnsi"/>
          <w:b/>
          <w:sz w:val="20"/>
        </w:rPr>
      </w:pPr>
    </w:p>
    <w:p w14:paraId="7688C821" w14:textId="77777777" w:rsidR="008B1D57" w:rsidRPr="00EC158B" w:rsidRDefault="008B1D57">
      <w:pPr>
        <w:spacing w:before="120" w:after="120" w:line="300" w:lineRule="atLeast"/>
        <w:ind w:left="360"/>
        <w:rPr>
          <w:rFonts w:asciiTheme="minorHAnsi" w:hAnsiTheme="minorHAnsi" w:cstheme="minorHAnsi"/>
          <w:sz w:val="20"/>
        </w:rPr>
      </w:pPr>
    </w:p>
    <w:p w14:paraId="78728F3F"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6"/>
          <w:type w:val="continuous"/>
          <w:pgSz w:w="12240" w:h="15840"/>
          <w:pgMar w:top="1440" w:right="1440" w:bottom="1440" w:left="1440" w:header="720" w:footer="720" w:gutter="0"/>
          <w:pgNumType w:start="1"/>
          <w:cols w:space="720"/>
          <w:docGrid w:linePitch="360"/>
        </w:sectPr>
      </w:pPr>
    </w:p>
    <w:p w14:paraId="5DEE6E6D"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C</w:t>
      </w:r>
    </w:p>
    <w:p w14:paraId="1F0F4642"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80712B7" w14:textId="77777777" w:rsidR="00B7449E" w:rsidRPr="00EC158B" w:rsidRDefault="00B7449E" w:rsidP="00B7449E">
      <w:pPr>
        <w:spacing w:line="300" w:lineRule="atLeast"/>
        <w:ind w:left="360"/>
        <w:rPr>
          <w:rFonts w:asciiTheme="minorHAnsi" w:hAnsiTheme="minorHAnsi" w:cstheme="minorHAnsi"/>
          <w:sz w:val="20"/>
        </w:rPr>
      </w:pPr>
    </w:p>
    <w:p w14:paraId="3265CDEC"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0699AF9A" w14:textId="71E6C24A"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w:t>
      </w:r>
      <w:proofErr w:type="gramStart"/>
      <w:r w:rsidR="00E6137A" w:rsidRPr="00E6137A">
        <w:rPr>
          <w:rFonts w:asciiTheme="minorHAnsi" w:hAnsiTheme="minorHAnsi" w:cstheme="minorHAnsi"/>
          <w:bCs/>
          <w:sz w:val="20"/>
        </w:rPr>
        <w:t>sufficient</w:t>
      </w:r>
      <w:proofErr w:type="gramEnd"/>
      <w:r w:rsidR="00E6137A" w:rsidRPr="00E6137A">
        <w:rPr>
          <w:rFonts w:asciiTheme="minorHAnsi" w:hAnsiTheme="minorHAnsi" w:cstheme="minorHAnsi"/>
          <w:bCs/>
          <w:sz w:val="20"/>
        </w:rPr>
        <w:t xml:space="preserve"> training, education, and experience to successfully perform Contractor’s duties. If the </w:t>
      </w:r>
      <w:r w:rsidR="00F25891">
        <w:rPr>
          <w:rFonts w:asciiTheme="minorHAnsi" w:hAnsiTheme="minorHAnsi" w:cstheme="minorHAnsi"/>
          <w:bCs/>
          <w:sz w:val="20"/>
        </w:rPr>
        <w:t>JUDICIAL COUNCIL OF CALIFORNIA</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50F26AC1" w14:textId="5E1BFC57" w:rsidR="00E6137A" w:rsidRPr="00613F0C"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4B6973D6" w14:textId="1896E239"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F25891">
        <w:rPr>
          <w:rFonts w:asciiTheme="minorHAnsi" w:hAnsiTheme="minorHAnsi" w:cstheme="minorHAnsi"/>
          <w:bCs/>
          <w:sz w:val="20"/>
        </w:rPr>
        <w:t>JUDICIAL COUNCIL OF CALIFORNIA</w:t>
      </w:r>
      <w:r w:rsidR="00023CC5" w:rsidRPr="00EC158B">
        <w:rPr>
          <w:rFonts w:asciiTheme="minorHAnsi" w:hAnsiTheme="minorHAnsi" w:cstheme="minorHAnsi"/>
          <w:bCs/>
          <w:sz w:val="20"/>
        </w:rPr>
        <w:t xml:space="preserve"> if any representation and warranty </w:t>
      </w:r>
      <w:proofErr w:type="gramStart"/>
      <w:r w:rsidR="00023CC5" w:rsidRPr="00EC158B">
        <w:rPr>
          <w:rFonts w:asciiTheme="minorHAnsi" w:hAnsiTheme="minorHAnsi" w:cstheme="minorHAnsi"/>
          <w:bCs/>
          <w:sz w:val="20"/>
        </w:rPr>
        <w:t>becomes</w:t>
      </w:r>
      <w:proofErr w:type="gramEnd"/>
      <w:r w:rsidR="00023CC5" w:rsidRPr="00EC158B">
        <w:rPr>
          <w:rFonts w:asciiTheme="minorHAnsi" w:hAnsiTheme="minorHAnsi" w:cstheme="minorHAnsi"/>
          <w:bCs/>
          <w:sz w:val="20"/>
        </w:rPr>
        <w:t xml:space="preserve">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278DABFD"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010BDB30" w14:textId="6EDA207F"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F25891">
        <w:rPr>
          <w:rFonts w:asciiTheme="minorHAnsi" w:hAnsiTheme="minorHAnsi" w:cstheme="minorHAnsi"/>
          <w:sz w:val="20"/>
        </w:rPr>
        <w:t>JUDICIAL COUNCIL OF CALIFORNIA</w:t>
      </w:r>
      <w:r w:rsidRPr="00EC158B">
        <w:rPr>
          <w:rFonts w:asciiTheme="minorHAnsi" w:hAnsiTheme="minorHAnsi" w:cstheme="minorHAnsi"/>
          <w:sz w:val="20"/>
        </w:rPr>
        <w:t>.</w:t>
      </w:r>
    </w:p>
    <w:p w14:paraId="3EE45E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5A098EA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3BB31056"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5F868164"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461EC47A"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5644C6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13D4856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5B0DB247"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5" w:name="_Ref527469810"/>
      <w:r w:rsidRPr="004825E8">
        <w:rPr>
          <w:b/>
          <w:sz w:val="20"/>
        </w:rPr>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5"/>
      <w:r w:rsidRPr="00D62092">
        <w:rPr>
          <w:sz w:val="20"/>
        </w:rPr>
        <w:t xml:space="preserve"> </w:t>
      </w:r>
    </w:p>
    <w:p w14:paraId="377D380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9DBC733"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F75DB1F"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47642E2B" w14:textId="2779FE41"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F25891">
        <w:rPr>
          <w:sz w:val="20"/>
        </w:rPr>
        <w:t>JUDICIAL COUNCIL OF CALIFORNIA</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694C15C3"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26EBDA7E" w14:textId="40F379B8" w:rsidR="00392AC3"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13BE676A" w14:textId="038894D5" w:rsidR="00B31C28" w:rsidRDefault="00B31C28" w:rsidP="00B31C28">
      <w:pPr>
        <w:pStyle w:val="ListParagraph"/>
        <w:numPr>
          <w:ilvl w:val="2"/>
          <w:numId w:val="5"/>
        </w:numPr>
        <w:rPr>
          <w:rFonts w:asciiTheme="minorHAnsi" w:hAnsiTheme="minorHAnsi" w:cstheme="minorHAnsi"/>
          <w:sz w:val="20"/>
        </w:rPr>
      </w:pPr>
      <w:r w:rsidRPr="00B31C28">
        <w:rPr>
          <w:rFonts w:asciiTheme="minorHAnsi" w:hAnsiTheme="minorHAnsi" w:cstheme="minorHAnsi"/>
          <w:i/>
          <w:sz w:val="20"/>
        </w:rPr>
        <w:t>Automobile Liability</w:t>
      </w:r>
      <w:r w:rsidRPr="00B31C28">
        <w:rPr>
          <w:rFonts w:asciiTheme="minorHAnsi" w:hAnsiTheme="minorHAnsi" w:cstheme="minorHAnsi"/>
          <w:sz w:val="20"/>
        </w:rPr>
        <w:t>. This policy is required only if Contractor uses an automobile or other vehicle in the performance of this Agreement. The policy must cover bodily injury and property damage liability and be applicable to all vehicles used in Contractor’s performance of this Agreement whether owned, non-owned, leased, or hired. The policy must provide combined single limits of at least $1,000,000 per occurrence.</w:t>
      </w:r>
    </w:p>
    <w:p w14:paraId="29C25153" w14:textId="77777777" w:rsidR="00B31C28" w:rsidRPr="00B31C28" w:rsidRDefault="00B31C28" w:rsidP="00B31C28">
      <w:pPr>
        <w:pStyle w:val="ListParagraph"/>
        <w:ind w:left="1368"/>
        <w:rPr>
          <w:rFonts w:asciiTheme="minorHAnsi" w:hAnsiTheme="minorHAnsi" w:cstheme="minorHAnsi"/>
          <w:sz w:val="20"/>
        </w:rPr>
      </w:pPr>
    </w:p>
    <w:p w14:paraId="2EFFBA7F" w14:textId="291FA815" w:rsidR="00B31C28" w:rsidRPr="00A27F50" w:rsidRDefault="00B31C28" w:rsidP="00A27F50">
      <w:pPr>
        <w:pStyle w:val="ListParagraph"/>
        <w:numPr>
          <w:ilvl w:val="2"/>
          <w:numId w:val="5"/>
        </w:numPr>
        <w:rPr>
          <w:rFonts w:asciiTheme="minorHAnsi" w:hAnsiTheme="minorHAnsi" w:cstheme="minorHAnsi"/>
          <w:sz w:val="20"/>
        </w:rPr>
      </w:pPr>
      <w:r w:rsidRPr="00B31C28">
        <w:rPr>
          <w:rFonts w:asciiTheme="minorHAnsi" w:hAnsiTheme="minorHAnsi" w:cstheme="minorHAnsi"/>
          <w:i/>
          <w:sz w:val="20"/>
        </w:rPr>
        <w:t>Professional Liability</w:t>
      </w:r>
      <w:r w:rsidRPr="00B31C28">
        <w:rPr>
          <w:rFonts w:asciiTheme="minorHAnsi" w:hAnsiTheme="minorHAnsi" w:cstheme="minorHAnsi"/>
          <w:sz w:val="20"/>
        </w:rPr>
        <w:t>. This policy is required only if Contractor performs professional services under this Agreement. The policy must cover liability resulting from any act, error, or omission committed in Contractor’s performance of Services under this Agreement, at minimum limits of $1,000,000 per occurrence and annual aggregate.  If the policy is written on a “claims made” form, Contractor shall maintain such coverage continuously throughout the Term and, without lapse, for a period of three (3) years beyond the termination and acceptance of all Services provided under this Agreement.  The retroactive date or “prior acts inclusion date” of any such “claims made” policy must be no later than the date that activities commence pursuant to this Agreement.</w:t>
      </w:r>
    </w:p>
    <w:p w14:paraId="31D7630D" w14:textId="77777777" w:rsidR="00B31C28" w:rsidRPr="00B31C28" w:rsidRDefault="00B31C28" w:rsidP="00B31C28">
      <w:pPr>
        <w:pStyle w:val="ListParagraph"/>
        <w:ind w:left="1368"/>
        <w:rPr>
          <w:rFonts w:asciiTheme="minorHAnsi" w:hAnsiTheme="minorHAnsi" w:cstheme="minorHAnsi"/>
          <w:sz w:val="20"/>
        </w:rPr>
      </w:pPr>
    </w:p>
    <w:p w14:paraId="57914ECD" w14:textId="5BAE3169" w:rsidR="00B31C28" w:rsidRDefault="00B31C28" w:rsidP="00A27F50">
      <w:pPr>
        <w:pStyle w:val="ListParagraph"/>
        <w:numPr>
          <w:ilvl w:val="2"/>
          <w:numId w:val="5"/>
        </w:numPr>
        <w:rPr>
          <w:rFonts w:asciiTheme="minorHAnsi" w:hAnsiTheme="minorHAnsi" w:cstheme="minorHAnsi"/>
          <w:sz w:val="20"/>
        </w:rPr>
      </w:pPr>
      <w:r w:rsidRPr="00B31C28">
        <w:rPr>
          <w:rFonts w:asciiTheme="minorHAnsi" w:hAnsiTheme="minorHAnsi" w:cstheme="minorHAnsi"/>
          <w:i/>
          <w:sz w:val="20"/>
        </w:rPr>
        <w:t>Commercial Crime Insurance</w:t>
      </w:r>
      <w:r w:rsidRPr="00B31C28">
        <w:rPr>
          <w:rFonts w:asciiTheme="minorHAnsi" w:hAnsiTheme="minorHAnsi" w:cstheme="minorHAnsi"/>
          <w:sz w:val="20"/>
        </w:rPr>
        <w:t>. This policy is required only if Contractor handles or has regular access to the JBE’s funds or property of significant value to the JBE.  This policy must cover dishonest acts including loss due to theft of money, securities, and property; forgery, and alteration of documents; and fraudulent transfer of money, securities, and property.  The minimum liability limit must be $</w:t>
      </w:r>
      <w:r w:rsidRPr="00A27F50">
        <w:rPr>
          <w:rFonts w:asciiTheme="minorHAnsi" w:hAnsiTheme="minorHAnsi" w:cstheme="minorHAnsi"/>
          <w:sz w:val="20"/>
          <w:highlight w:val="yellow"/>
        </w:rPr>
        <w:t>[Dollar amount].</w:t>
      </w:r>
    </w:p>
    <w:p w14:paraId="5303C794" w14:textId="77777777" w:rsidR="00A27F50" w:rsidRPr="00A27F50" w:rsidRDefault="00A27F50" w:rsidP="00A27F50">
      <w:pPr>
        <w:rPr>
          <w:rFonts w:asciiTheme="minorHAnsi" w:hAnsiTheme="minorHAnsi" w:cstheme="minorHAnsi"/>
          <w:sz w:val="20"/>
        </w:rPr>
      </w:pPr>
    </w:p>
    <w:p w14:paraId="4240CB0B"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4ABA365E"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64C49807" w14:textId="6750F211"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F25891">
        <w:rPr>
          <w:rFonts w:asciiTheme="minorHAnsi" w:hAnsiTheme="minorHAnsi" w:cstheme="minorHAnsi"/>
          <w:sz w:val="20"/>
        </w:rPr>
        <w:t>JUDICIAL COUNCIL OF CALIFORNIA</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F25891">
        <w:rPr>
          <w:rFonts w:asciiTheme="minorHAnsi" w:hAnsiTheme="minorHAnsi" w:cstheme="minorHAnsi"/>
          <w:sz w:val="20"/>
        </w:rPr>
        <w:t>JUDICIAL COUNCIL OF CALIFORNIA</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65092340" w14:textId="2B6B53D0"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F25891">
        <w:rPr>
          <w:rFonts w:asciiTheme="minorHAnsi" w:hAnsiTheme="minorHAnsi" w:cstheme="minorHAnsi"/>
          <w:sz w:val="20"/>
        </w:rPr>
        <w:t>JUDICIAL COUNCIL OF CALIFORNIA</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2A9A3EDE" w14:textId="23376C45"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F25891">
        <w:rPr>
          <w:rFonts w:asciiTheme="minorHAnsi" w:hAnsiTheme="minorHAnsi" w:cstheme="minorHAnsi"/>
          <w:sz w:val="20"/>
        </w:rPr>
        <w:t>JUDICIAL COUNCIL OF CALIFORNIA</w:t>
      </w:r>
      <w:r w:rsidRPr="00483DAC">
        <w:rPr>
          <w:rFonts w:asciiTheme="minorHAnsi" w:hAnsiTheme="minorHAnsi" w:cstheme="minorHAnsi"/>
          <w:sz w:val="20"/>
        </w:rPr>
        <w:t xml:space="preserve"> certificates of insurance attesting to the existence of coverage, and stating that the policies will not be canceled, terminated, or amended to reduce coverage </w:t>
      </w:r>
      <w:r w:rsidR="001E2002">
        <w:rPr>
          <w:rFonts w:asciiTheme="minorHAnsi" w:hAnsiTheme="minorHAnsi" w:cstheme="minorHAnsi"/>
          <w:sz w:val="20"/>
        </w:rPr>
        <w:t xml:space="preserve">without </w:t>
      </w:r>
      <w:r w:rsidR="00993813">
        <w:rPr>
          <w:rFonts w:asciiTheme="minorHAnsi" w:hAnsiTheme="minorHAnsi" w:cstheme="minorHAnsi"/>
          <w:sz w:val="20"/>
        </w:rPr>
        <w:t>thirty (</w:t>
      </w:r>
      <w:r w:rsidR="001E2002">
        <w:rPr>
          <w:rFonts w:asciiTheme="minorHAnsi" w:hAnsiTheme="minorHAnsi" w:cstheme="minorHAnsi"/>
          <w:sz w:val="20"/>
        </w:rPr>
        <w:t>30</w:t>
      </w:r>
      <w:r w:rsidR="00993813">
        <w:rPr>
          <w:rFonts w:asciiTheme="minorHAnsi" w:hAnsiTheme="minorHAnsi" w:cstheme="minorHAnsi"/>
          <w:sz w:val="20"/>
        </w:rPr>
        <w:t>)</w:t>
      </w:r>
      <w:r w:rsidR="001E2002">
        <w:rPr>
          <w:rFonts w:asciiTheme="minorHAnsi" w:hAnsiTheme="minorHAnsi" w:cstheme="minorHAnsi"/>
          <w:sz w:val="20"/>
        </w:rPr>
        <w:t xml:space="preserve"> days’ prior written n</w:t>
      </w:r>
      <w:r w:rsidRPr="00483DAC">
        <w:rPr>
          <w:rFonts w:asciiTheme="minorHAnsi" w:hAnsiTheme="minorHAnsi" w:cstheme="minorHAnsi"/>
          <w:sz w:val="20"/>
        </w:rPr>
        <w:t xml:space="preserve">otice to the </w:t>
      </w:r>
      <w:r w:rsidR="00F25891">
        <w:rPr>
          <w:rFonts w:asciiTheme="minorHAnsi" w:hAnsiTheme="minorHAnsi" w:cstheme="minorHAnsi"/>
          <w:sz w:val="20"/>
        </w:rPr>
        <w:t>JUDICIAL COUNCIL OF CALIFORNIA</w:t>
      </w:r>
      <w:r w:rsidRPr="00483DAC">
        <w:rPr>
          <w:rFonts w:asciiTheme="minorHAnsi" w:hAnsiTheme="minorHAnsi" w:cstheme="minorHAnsi"/>
          <w:sz w:val="20"/>
        </w:rPr>
        <w:t xml:space="preserve">. </w:t>
      </w:r>
    </w:p>
    <w:p w14:paraId="7A6AA4B6"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683DC0B1" w14:textId="036A121A"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F25891">
        <w:rPr>
          <w:rFonts w:asciiTheme="minorHAnsi" w:hAnsiTheme="minorHAnsi" w:cstheme="minorHAnsi"/>
          <w:sz w:val="20"/>
        </w:rPr>
        <w:t>JUDICIAL COUNCIL OF CALIFORNIA</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241639C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03B2EA86" w14:textId="53E6378F"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F25891">
        <w:rPr>
          <w:rFonts w:asciiTheme="minorHAnsi" w:hAnsiTheme="minorHAnsi" w:cstheme="minorHAnsi"/>
          <w:sz w:val="20"/>
        </w:rPr>
        <w:t>JUDICIAL COUNCIL OF CALIFORNIA</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1DBD3C0" w14:textId="3F1F5FEA"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F25891">
        <w:rPr>
          <w:rFonts w:asciiTheme="minorHAnsi" w:hAnsiTheme="minorHAnsi" w:cstheme="minorHAnsi"/>
          <w:sz w:val="20"/>
        </w:rPr>
        <w:t>JUDICIAL COUNCIL OF CALIFORNIA</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w:t>
      </w:r>
      <w:proofErr w:type="gramStart"/>
      <w:r w:rsidRPr="005C554B">
        <w:rPr>
          <w:rFonts w:asciiTheme="minorHAnsi" w:hAnsiTheme="minorHAnsi" w:cstheme="minorHAnsi"/>
          <w:sz w:val="20"/>
        </w:rPr>
        <w:t>made</w:t>
      </w:r>
      <w:proofErr w:type="gramEnd"/>
      <w:r w:rsidRPr="005C554B">
        <w:rPr>
          <w:rFonts w:asciiTheme="minorHAnsi" w:hAnsiTheme="minorHAnsi" w:cstheme="minorHAnsi"/>
          <w:sz w:val="20"/>
        </w:rPr>
        <w:t xml:space="preserv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F25891">
        <w:rPr>
          <w:sz w:val="20"/>
        </w:rPr>
        <w:t>JUDICIAL COUNCIL OF CALIFORNIA</w:t>
      </w:r>
      <w:r w:rsidRPr="005C554B">
        <w:rPr>
          <w:sz w:val="20"/>
        </w:rPr>
        <w:t xml:space="preserve">’s prior written consent, which consent shall not be unreasonably withheld; and the </w:t>
      </w:r>
      <w:r w:rsidR="00F25891">
        <w:rPr>
          <w:sz w:val="20"/>
        </w:rPr>
        <w:t>JUDICIAL COUNCIL OF CALIFORNIA</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695721A6" w14:textId="4EE4FC4E"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F25891">
        <w:rPr>
          <w:rFonts w:asciiTheme="minorHAnsi" w:hAnsiTheme="minorHAnsi" w:cstheme="minorHAnsi"/>
          <w:bCs/>
          <w:sz w:val="20"/>
        </w:rPr>
        <w:t>JUDICIAL COUNCIL OF CALIFORNIA</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a single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w:t>
      </w:r>
      <w:proofErr w:type="gramStart"/>
      <w:r w:rsidR="006F36FB">
        <w:rPr>
          <w:rFonts w:asciiTheme="minorHAnsi" w:hAnsiTheme="minorHAnsi" w:cstheme="minorHAnsi"/>
          <w:bCs/>
          <w:sz w:val="20"/>
        </w:rPr>
        <w:t>In order to</w:t>
      </w:r>
      <w:proofErr w:type="gramEnd"/>
      <w:r w:rsidR="006F36FB">
        <w:rPr>
          <w:rFonts w:asciiTheme="minorHAnsi" w:hAnsiTheme="minorHAnsi" w:cstheme="minorHAnsi"/>
          <w:bCs/>
          <w:sz w:val="20"/>
        </w:rPr>
        <w:t xml:space="preserve"> exercise this Option Term, the </w:t>
      </w:r>
      <w:r w:rsidR="00F25891">
        <w:rPr>
          <w:rFonts w:asciiTheme="minorHAnsi" w:hAnsiTheme="minorHAnsi" w:cstheme="minorHAnsi"/>
          <w:bCs/>
          <w:sz w:val="20"/>
        </w:rPr>
        <w:t>JUDICIAL COUNCIL OF CALIFORNIA</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4EB2C049" w14:textId="639AFFD3"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F25891">
        <w:rPr>
          <w:rFonts w:asciiTheme="minorHAnsi" w:hAnsiTheme="minorHAnsi" w:cstheme="minorHAnsi"/>
          <w:bCs/>
          <w:sz w:val="20"/>
        </w:rPr>
        <w:t>JUDICIAL COUNCIL OF CALIFORNIA</w:t>
      </w:r>
      <w:r w:rsidRPr="007F3498">
        <w:rPr>
          <w:rFonts w:asciiTheme="minorHAnsi" w:hAnsiTheme="minorHAnsi" w:cstheme="minorHAnsi"/>
          <w:bCs/>
          <w:sz w:val="20"/>
        </w:rPr>
        <w:t xml:space="preserve"> immediately if Contractor has reason to believe it may be placed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F25891">
        <w:rPr>
          <w:rFonts w:asciiTheme="minorHAnsi" w:hAnsiTheme="minorHAnsi" w:cstheme="minorHAnsi"/>
          <w:bCs/>
          <w:sz w:val="20"/>
        </w:rPr>
        <w:t>JUDICIAL COUNCIL OF CALIFORNIA</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Contractor fails to provide the notice required above, or (ii) Contractor is included on either list mentioned above.  </w:t>
      </w:r>
    </w:p>
    <w:p w14:paraId="3A879F57"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7FF898E1" w14:textId="6617BD3F"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F25891">
        <w:rPr>
          <w:rFonts w:asciiTheme="minorHAnsi" w:hAnsiTheme="minorHAnsi" w:cstheme="minorHAnsi"/>
          <w:bCs/>
          <w:sz w:val="20"/>
        </w:rPr>
        <w:t>JUDICIAL COUNCIL OF CALIFORNIA</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F25891">
        <w:rPr>
          <w:rFonts w:asciiTheme="minorHAnsi" w:hAnsiTheme="minorHAnsi" w:cstheme="minorHAnsi"/>
          <w:bCs/>
          <w:sz w:val="20"/>
        </w:rPr>
        <w:t>JUDICIAL COUNCIL OF CALIFORNIA</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7F0DEC7E" w14:textId="0E7B2D30"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F25891">
        <w:rPr>
          <w:rFonts w:asciiTheme="minorHAnsi" w:hAnsiTheme="minorHAnsi" w:cstheme="minorHAnsi"/>
          <w:bCs/>
          <w:sz w:val="20"/>
        </w:rPr>
        <w:t>JUDICIAL COUNCIL OF CALIFORNIA</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F25891">
        <w:rPr>
          <w:rFonts w:asciiTheme="minorHAnsi" w:hAnsiTheme="minorHAnsi" w:cstheme="minorHAnsi"/>
          <w:bCs/>
          <w:sz w:val="20"/>
        </w:rPr>
        <w:t>JUDICIAL COUNCIL OF CALIFORNIA</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5436883F"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4B15B712" w14:textId="1B9DB324"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F25891">
        <w:rPr>
          <w:rFonts w:asciiTheme="minorHAnsi" w:hAnsiTheme="minorHAnsi" w:cstheme="minorHAnsi"/>
          <w:bCs/>
          <w:sz w:val="20"/>
        </w:rPr>
        <w:t>JUDICIAL COUNCIL OF CALIFORNIA</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w:t>
      </w:r>
      <w:proofErr w:type="gramStart"/>
      <w:r w:rsidR="000B53FC" w:rsidRPr="000B53FC">
        <w:rPr>
          <w:rFonts w:asciiTheme="minorHAnsi" w:hAnsiTheme="minorHAnsi" w:cstheme="minorHAnsi"/>
          <w:bCs/>
          <w:sz w:val="20"/>
        </w:rPr>
        <w:t>sufficient</w:t>
      </w:r>
      <w:proofErr w:type="gramEnd"/>
      <w:r w:rsidR="000B53FC" w:rsidRPr="000B53FC">
        <w:rPr>
          <w:rFonts w:asciiTheme="minorHAnsi" w:hAnsiTheme="minorHAnsi" w:cstheme="minorHAnsi"/>
          <w:bCs/>
          <w:sz w:val="20"/>
        </w:rPr>
        <w:t xml:space="preserve"> funds to support the activities described in this Agreement. </w:t>
      </w:r>
      <w:r w:rsidR="00B52602" w:rsidRPr="00B52602">
        <w:rPr>
          <w:rFonts w:asciiTheme="minorHAnsi" w:hAnsiTheme="minorHAnsi" w:cstheme="minorHAnsi"/>
          <w:bCs/>
          <w:sz w:val="20"/>
        </w:rPr>
        <w:t xml:space="preserve">The </w:t>
      </w:r>
      <w:r w:rsidR="00F25891">
        <w:rPr>
          <w:rFonts w:asciiTheme="minorHAnsi" w:hAnsiTheme="minorHAnsi" w:cstheme="minorHAnsi"/>
          <w:bCs/>
          <w:sz w:val="20"/>
        </w:rPr>
        <w:t>JUDICIAL COUNCIL OF CALIFORNIA</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F25891">
        <w:rPr>
          <w:rFonts w:asciiTheme="minorHAnsi" w:hAnsiTheme="minorHAnsi" w:cstheme="minorHAnsi"/>
          <w:bCs/>
          <w:sz w:val="20"/>
        </w:rPr>
        <w:t>JUDICIAL COUNCIL OF CALIFORNIA</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F25891">
        <w:rPr>
          <w:rFonts w:asciiTheme="minorHAnsi" w:hAnsiTheme="minorHAnsi" w:cstheme="minorHAnsi"/>
          <w:bCs/>
          <w:sz w:val="20"/>
        </w:rPr>
        <w:t>JUDICIAL COUNCIL OF CALIFORNIA</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B1D13BE" w14:textId="4B7232D8"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F25891">
        <w:rPr>
          <w:rFonts w:asciiTheme="minorHAnsi" w:hAnsiTheme="minorHAnsi" w:cstheme="minorHAnsi"/>
          <w:b/>
          <w:bCs/>
          <w:sz w:val="20"/>
        </w:rPr>
        <w:t>JUDICIAL COUNCIL OF CALIFORNIA</w:t>
      </w:r>
      <w:r>
        <w:rPr>
          <w:rFonts w:asciiTheme="minorHAnsi" w:hAnsiTheme="minorHAnsi" w:cstheme="minorHAnsi"/>
          <w:b/>
          <w:bCs/>
          <w:sz w:val="20"/>
        </w:rPr>
        <w:t xml:space="preserve">.    </w:t>
      </w:r>
    </w:p>
    <w:p w14:paraId="458B3092" w14:textId="3606062B"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F25891">
        <w:rPr>
          <w:rFonts w:asciiTheme="minorHAnsi" w:hAnsiTheme="minorHAnsi" w:cstheme="minorHAnsi"/>
          <w:bCs/>
          <w:sz w:val="20"/>
        </w:rPr>
        <w:t>JUDICIAL COUNCIL OF CALIFORNIA</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F25891">
        <w:rPr>
          <w:rFonts w:asciiTheme="minorHAnsi" w:hAnsiTheme="minorHAnsi" w:cstheme="minorHAnsi"/>
          <w:bCs/>
          <w:sz w:val="20"/>
        </w:rPr>
        <w:t>JUDICIAL COUNCIL OF CALIFORNIA</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F25891">
        <w:rPr>
          <w:rFonts w:asciiTheme="minorHAnsi" w:hAnsiTheme="minorHAnsi" w:cstheme="minorHAnsi"/>
          <w:bCs/>
          <w:sz w:val="20"/>
        </w:rPr>
        <w:t>JUDICIAL COUNCIL OF CALIFORNIA</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07D334FF" w14:textId="3F06D9ED"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F25891">
        <w:rPr>
          <w:rFonts w:asciiTheme="minorHAnsi" w:hAnsiTheme="minorHAnsi" w:cstheme="minorHAnsi"/>
          <w:bCs/>
          <w:sz w:val="20"/>
        </w:rPr>
        <w:t>JUDICIAL COUNCIL OF CALIFORNIA</w:t>
      </w:r>
      <w:r w:rsidRPr="00B52602">
        <w:rPr>
          <w:rFonts w:asciiTheme="minorHAnsi" w:hAnsiTheme="minorHAnsi" w:cstheme="minorHAnsi"/>
          <w:bCs/>
          <w:sz w:val="20"/>
        </w:rPr>
        <w:t xml:space="preserve"> terminates this Agreement in whole or in part for cause, the </w:t>
      </w:r>
      <w:r w:rsidR="00F25891">
        <w:rPr>
          <w:rFonts w:asciiTheme="minorHAnsi" w:hAnsiTheme="minorHAnsi" w:cstheme="minorHAnsi"/>
          <w:bCs/>
          <w:sz w:val="20"/>
        </w:rPr>
        <w:t>JUDICIAL COUNCIL OF CALIFORNIA</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F25891">
        <w:rPr>
          <w:rFonts w:asciiTheme="minorHAnsi" w:hAnsiTheme="minorHAnsi" w:cstheme="minorHAnsi"/>
          <w:bCs/>
          <w:sz w:val="20"/>
        </w:rPr>
        <w:t>JUDICIAL COUNCIL OF CALIFORNIA</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F25891">
        <w:rPr>
          <w:rFonts w:asciiTheme="minorHAnsi" w:hAnsiTheme="minorHAnsi" w:cstheme="minorHAnsi"/>
          <w:bCs/>
          <w:sz w:val="20"/>
        </w:rPr>
        <w:t>JUDICIAL COUNCIL OF CALIFORNIA</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F25891">
        <w:rPr>
          <w:rFonts w:asciiTheme="minorHAnsi" w:hAnsiTheme="minorHAnsi" w:cstheme="minorHAnsi"/>
          <w:bCs/>
          <w:sz w:val="20"/>
        </w:rPr>
        <w:t>JUDICIAL COUNCIL OF CALIFORNIA</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F25891">
        <w:rPr>
          <w:rFonts w:asciiTheme="minorHAnsi" w:hAnsiTheme="minorHAnsi" w:cstheme="minorHAnsi"/>
          <w:bCs/>
          <w:sz w:val="20"/>
        </w:rPr>
        <w:t>JUDICIAL COUNCIL OF CALIFORNIA</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4CA4D9F3" w14:textId="20A8A52A"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F25891">
        <w:rPr>
          <w:rFonts w:asciiTheme="minorHAnsi" w:hAnsiTheme="minorHAnsi" w:cstheme="minorHAnsi"/>
          <w:bCs/>
          <w:sz w:val="20"/>
        </w:rPr>
        <w:t>JUDICIAL COUNCIL OF CALIFORNIA</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F25891">
        <w:rPr>
          <w:rFonts w:asciiTheme="minorHAnsi" w:hAnsiTheme="minorHAnsi" w:cstheme="minorHAnsi"/>
          <w:bCs/>
          <w:sz w:val="20"/>
        </w:rPr>
        <w:t>JUDICIAL COUNCIL OF CALIFORNIA</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F25891">
        <w:rPr>
          <w:rFonts w:asciiTheme="minorHAnsi" w:hAnsiTheme="minorHAnsi" w:cstheme="minorHAnsi"/>
          <w:bCs/>
          <w:sz w:val="20"/>
        </w:rPr>
        <w:t>JUDICIAL COUNCIL OF CALIFORNIA</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F25891">
        <w:rPr>
          <w:rFonts w:asciiTheme="minorHAnsi" w:hAnsiTheme="minorHAnsi" w:cstheme="minorHAnsi"/>
          <w:bCs/>
          <w:sz w:val="20"/>
        </w:rPr>
        <w:t>JUDICIAL COUNCIL OF CALIFORNIA</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F25891">
        <w:rPr>
          <w:rFonts w:asciiTheme="minorHAnsi" w:hAnsiTheme="minorHAnsi" w:cstheme="minorHAnsi"/>
          <w:bCs/>
          <w:sz w:val="20"/>
        </w:rPr>
        <w:t>JUDICIAL COUNCIL OF CALIFORNIA</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F25891">
        <w:rPr>
          <w:rFonts w:asciiTheme="minorHAnsi" w:hAnsiTheme="minorHAnsi" w:cstheme="minorHAnsi"/>
          <w:bCs/>
          <w:sz w:val="20"/>
        </w:rPr>
        <w:t>JUDICIAL COUNCIL OF CALIFORNIA</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B4A2BC5"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177E255F" w14:textId="090E36A5"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F25891">
        <w:rPr>
          <w:rFonts w:cstheme="minorHAnsi"/>
          <w:sz w:val="20"/>
        </w:rPr>
        <w:t>JUDICIAL COUNCIL OF CALIFORNIA</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D6C6A47"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23360B8C"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0CDD9A02" w14:textId="77777777" w:rsidTr="005D5580">
        <w:tc>
          <w:tcPr>
            <w:tcW w:w="4133" w:type="dxa"/>
            <w:tcBorders>
              <w:top w:val="single" w:sz="4" w:space="0" w:color="auto"/>
              <w:bottom w:val="single" w:sz="4" w:space="0" w:color="auto"/>
              <w:right w:val="single" w:sz="4" w:space="0" w:color="auto"/>
            </w:tcBorders>
            <w:shd w:val="clear" w:color="auto" w:fill="CCCCCC"/>
          </w:tcPr>
          <w:p w14:paraId="6B65C6F5"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3A8EA1AF" w14:textId="6D062138"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F25891">
              <w:rPr>
                <w:rFonts w:ascii="Times New Roman" w:hAnsi="Times New Roman"/>
                <w:b/>
                <w:bCs/>
                <w:sz w:val="20"/>
              </w:rPr>
              <w:t>JUDICIAL COUNCIL OF CALIFORNIA</w:t>
            </w:r>
            <w:r w:rsidRPr="00303BCF">
              <w:rPr>
                <w:rFonts w:ascii="Times New Roman" w:hAnsi="Times New Roman"/>
                <w:b/>
                <w:bCs/>
                <w:sz w:val="20"/>
              </w:rPr>
              <w:t>:</w:t>
            </w:r>
          </w:p>
        </w:tc>
      </w:tr>
      <w:tr w:rsidR="007A6241" w:rsidRPr="00303BCF" w14:paraId="48FD8A78" w14:textId="77777777" w:rsidTr="005D5580">
        <w:tc>
          <w:tcPr>
            <w:tcW w:w="4133" w:type="dxa"/>
            <w:tcBorders>
              <w:top w:val="single" w:sz="4" w:space="0" w:color="auto"/>
              <w:bottom w:val="nil"/>
              <w:right w:val="single" w:sz="4" w:space="0" w:color="auto"/>
            </w:tcBorders>
          </w:tcPr>
          <w:p w14:paraId="2C69F3A1" w14:textId="77777777" w:rsidR="007A6241" w:rsidRDefault="007A6241" w:rsidP="00483DAC">
            <w:pPr>
              <w:pStyle w:val="TableStyle"/>
              <w:widowControl w:val="0"/>
              <w:tabs>
                <w:tab w:val="left" w:pos="3244"/>
              </w:tabs>
              <w:rPr>
                <w:rFonts w:ascii="Times New Roman" w:hAnsi="Times New Roman"/>
                <w:sz w:val="20"/>
                <w:u w:val="single"/>
              </w:rPr>
            </w:pPr>
            <w:r w:rsidRPr="00810E3C">
              <w:rPr>
                <w:rFonts w:ascii="Times New Roman" w:hAnsi="Times New Roman"/>
                <w:sz w:val="20"/>
                <w:highlight w:val="yellow"/>
                <w:u w:val="single"/>
              </w:rPr>
              <w:t>[name, title, address]</w:t>
            </w:r>
          </w:p>
          <w:p w14:paraId="77B4241A"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54D9F7A0" w14:textId="77777777" w:rsidR="007A6241" w:rsidRPr="00303BCF" w:rsidRDefault="007A6241" w:rsidP="00483DAC">
            <w:pPr>
              <w:pStyle w:val="TableStyle"/>
              <w:widowControl w:val="0"/>
              <w:tabs>
                <w:tab w:val="left" w:pos="3244"/>
              </w:tabs>
              <w:rPr>
                <w:rFonts w:ascii="Times New Roman" w:hAnsi="Times New Roman"/>
                <w:sz w:val="20"/>
              </w:rPr>
            </w:pPr>
            <w:r w:rsidRPr="00810E3C">
              <w:rPr>
                <w:rFonts w:ascii="Times New Roman" w:hAnsi="Times New Roman"/>
                <w:sz w:val="20"/>
                <w:highlight w:val="yellow"/>
                <w:u w:val="single"/>
              </w:rPr>
              <w:t>[name, title, address]</w:t>
            </w:r>
          </w:p>
        </w:tc>
      </w:tr>
      <w:tr w:rsidR="007A6241" w:rsidRPr="00303BCF" w14:paraId="7E843241" w14:textId="77777777" w:rsidTr="005D5580">
        <w:tc>
          <w:tcPr>
            <w:tcW w:w="4133" w:type="dxa"/>
            <w:tcBorders>
              <w:top w:val="nil"/>
              <w:bottom w:val="nil"/>
              <w:right w:val="single" w:sz="4" w:space="0" w:color="auto"/>
            </w:tcBorders>
          </w:tcPr>
          <w:p w14:paraId="41B5F329"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7C3E565D"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123784F9" w14:textId="77777777" w:rsidTr="005D5580">
        <w:tc>
          <w:tcPr>
            <w:tcW w:w="4133" w:type="dxa"/>
            <w:tcBorders>
              <w:top w:val="nil"/>
              <w:bottom w:val="single" w:sz="4" w:space="0" w:color="auto"/>
              <w:right w:val="single" w:sz="4" w:space="0" w:color="auto"/>
            </w:tcBorders>
          </w:tcPr>
          <w:p w14:paraId="3088ED36"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1001055D" w14:textId="77777777" w:rsidR="007A6241" w:rsidRPr="00303BCF" w:rsidRDefault="007A6241" w:rsidP="00483DAC">
            <w:pPr>
              <w:pStyle w:val="TableStyle"/>
              <w:widowControl w:val="0"/>
              <w:tabs>
                <w:tab w:val="left" w:pos="3244"/>
              </w:tabs>
              <w:rPr>
                <w:rFonts w:ascii="Times New Roman" w:hAnsi="Times New Roman"/>
                <w:sz w:val="20"/>
              </w:rPr>
            </w:pPr>
          </w:p>
        </w:tc>
      </w:tr>
    </w:tbl>
    <w:p w14:paraId="76F5032B"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7C650971" w14:textId="57374D6E" w:rsidR="00E77106" w:rsidRPr="00E54CDA" w:rsidRDefault="00C36343" w:rsidP="00E54CDA">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5494EDC3" w14:textId="707236EA" w:rsidR="00A95265" w:rsidRDefault="00A95265" w:rsidP="00A95265">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Pr>
          <w:rFonts w:asciiTheme="minorHAnsi" w:hAnsiTheme="minorHAnsi" w:cstheme="minorHAnsi"/>
          <w:i/>
          <w:sz w:val="20"/>
        </w:rPr>
        <w:t xml:space="preserve">over </w:t>
      </w:r>
      <w:r w:rsidRPr="00642075">
        <w:rPr>
          <w:rFonts w:asciiTheme="minorHAnsi" w:hAnsiTheme="minorHAnsi" w:cstheme="minorHAnsi"/>
          <w:i/>
          <w:sz w:val="20"/>
        </w:rPr>
        <w:t>$50,000</w:t>
      </w:r>
      <w:r>
        <w:rPr>
          <w:rFonts w:asciiTheme="minorHAnsi" w:hAnsiTheme="minorHAnsi" w:cstheme="minorHAnsi"/>
          <w:i/>
          <w:sz w:val="20"/>
        </w:rPr>
        <w:t xml:space="preserve">, </w:t>
      </w:r>
      <w:r w:rsidRPr="00EC6410">
        <w:rPr>
          <w:rFonts w:asciiTheme="minorHAnsi" w:hAnsiTheme="minorHAnsi" w:cstheme="minorHAnsi"/>
          <w:bCs/>
          <w:i/>
          <w:sz w:val="20"/>
        </w:rPr>
        <w:t>this section is applicable</w:t>
      </w:r>
      <w:r>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w:t>
      </w:r>
      <w:proofErr w:type="gramStart"/>
      <w:r w:rsidRPr="00D662AB">
        <w:rPr>
          <w:rFonts w:asciiTheme="minorHAnsi" w:hAnsiTheme="minorHAnsi" w:cstheme="minorHAnsi"/>
          <w:sz w:val="20"/>
        </w:rPr>
        <w:t>sufficient</w:t>
      </w:r>
      <w:proofErr w:type="gramEnd"/>
      <w:r w:rsidRPr="00D662AB">
        <w:rPr>
          <w:rFonts w:asciiTheme="minorHAnsi" w:hAnsiTheme="minorHAnsi" w:cstheme="minorHAnsi"/>
          <w:sz w:val="20"/>
        </w:rPr>
        <w:t xml:space="preserve"> to show that no </w:t>
      </w:r>
      <w:r>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Pr>
          <w:rFonts w:asciiTheme="minorHAnsi" w:hAnsiTheme="minorHAnsi" w:cstheme="minorHAnsi"/>
          <w:sz w:val="20"/>
        </w:rPr>
        <w:t xml:space="preserve"> </w:t>
      </w:r>
    </w:p>
    <w:p w14:paraId="51A9046A" w14:textId="77777777" w:rsidR="00A95265" w:rsidRDefault="00A95265" w:rsidP="00A95265">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Pr="009756FA">
        <w:rPr>
          <w:rFonts w:asciiTheme="minorHAnsi" w:hAnsiTheme="minorHAnsi" w:cstheme="minorHAnsi"/>
          <w:bCs/>
          <w:sz w:val="20"/>
        </w:rPr>
        <w:t>Contractor is in compliance</w:t>
      </w:r>
      <w:r>
        <w:rPr>
          <w:rFonts w:asciiTheme="minorHAnsi" w:hAnsiTheme="minorHAnsi" w:cstheme="minorHAnsi"/>
          <w:bCs/>
          <w:sz w:val="20"/>
        </w:rPr>
        <w:t xml:space="preserve"> with, and throughout the Term will remain in compliance with: (</w:t>
      </w:r>
      <w:proofErr w:type="spellStart"/>
      <w:r>
        <w:rPr>
          <w:rFonts w:asciiTheme="minorHAnsi" w:hAnsiTheme="minorHAnsi" w:cstheme="minorHAnsi"/>
          <w:bCs/>
          <w:sz w:val="20"/>
        </w:rPr>
        <w:t>i</w:t>
      </w:r>
      <w:proofErr w:type="spellEnd"/>
      <w:r>
        <w:rPr>
          <w:rFonts w:asciiTheme="minorHAnsi" w:hAnsiTheme="minorHAnsi" w:cstheme="minorHAnsi"/>
          <w:bCs/>
          <w:sz w:val="20"/>
        </w:rPr>
        <w:t>) PCC</w:t>
      </w:r>
      <w:r w:rsidRPr="009756FA">
        <w:rPr>
          <w:rFonts w:asciiTheme="minorHAnsi" w:hAnsiTheme="minorHAnsi" w:cstheme="minorHAnsi"/>
          <w:bCs/>
          <w:sz w:val="20"/>
        </w:rPr>
        <w:t xml:space="preserve"> 10295.3 which places limitations on contracts with contractors who discriminate in the provision of benefits </w:t>
      </w:r>
      <w:r>
        <w:rPr>
          <w:rFonts w:asciiTheme="minorHAnsi" w:hAnsiTheme="minorHAnsi" w:cstheme="minorHAnsi"/>
          <w:bCs/>
          <w:sz w:val="20"/>
        </w:rPr>
        <w:t>on the basis of</w:t>
      </w:r>
      <w:r w:rsidRPr="009756FA">
        <w:rPr>
          <w:rFonts w:asciiTheme="minorHAnsi" w:hAnsiTheme="minorHAnsi" w:cstheme="minorHAnsi"/>
          <w:bCs/>
          <w:sz w:val="20"/>
        </w:rPr>
        <w:t xml:space="preserve"> marital or domestic partner status</w:t>
      </w:r>
      <w:r>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1951610F" w14:textId="77777777" w:rsidR="00A95265" w:rsidRPr="00EC6410" w:rsidRDefault="00A95265" w:rsidP="00A95265">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40B4281F" w14:textId="17EF1DFC" w:rsidR="00A95265" w:rsidRPr="00A95265" w:rsidRDefault="00A95265" w:rsidP="00A95265">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 xml:space="preserve">Federal Funding Requirements. </w:t>
      </w:r>
      <w:r w:rsidRPr="00E77106">
        <w:rPr>
          <w:rFonts w:asciiTheme="minorHAnsi" w:hAnsiTheme="minorHAnsi" w:cstheme="minorHAnsi"/>
          <w:bCs/>
          <w:i/>
          <w:sz w:val="20"/>
        </w:rPr>
        <w:t xml:space="preserve">If this Agreement is funded in whole or in part by the federal government, </w:t>
      </w:r>
      <w:r w:rsidRPr="00E77106">
        <w:rPr>
          <w:rFonts w:asciiTheme="minorHAnsi" w:hAnsiTheme="minorHAnsi" w:cstheme="minorHAnsi"/>
          <w:i/>
          <w:sz w:val="20"/>
        </w:rPr>
        <w:t>this section is applicable.</w:t>
      </w:r>
      <w:r>
        <w:rPr>
          <w:rFonts w:asciiTheme="minorHAnsi" w:hAnsiTheme="minorHAnsi" w:cstheme="minorHAnsi"/>
          <w:sz w:val="20"/>
        </w:rPr>
        <w:t xml:space="preserve"> </w:t>
      </w:r>
      <w:r w:rsidRPr="009F68CD">
        <w:rPr>
          <w:rFonts w:asciiTheme="minorHAnsi" w:hAnsiTheme="minorHAnsi" w:cstheme="minorHAnsi"/>
          <w:sz w:val="20"/>
        </w:rPr>
        <w:t>I</w:t>
      </w:r>
      <w:r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Pr>
          <w:rFonts w:asciiTheme="minorHAnsi" w:hAnsiTheme="minorHAnsi" w:cstheme="minorHAnsi"/>
          <w:bCs/>
          <w:sz w:val="20"/>
        </w:rPr>
        <w:t>. T</w:t>
      </w:r>
      <w:r w:rsidRPr="002D7DFA">
        <w:rPr>
          <w:rFonts w:asciiTheme="minorHAnsi" w:hAnsiTheme="minorHAnsi" w:cstheme="minorHAnsi"/>
          <w:bCs/>
          <w:sz w:val="20"/>
        </w:rPr>
        <w:t xml:space="preserve">his Agreement is valid and enforceable only if sufficient funds are made available to the </w:t>
      </w:r>
      <w:r>
        <w:rPr>
          <w:rFonts w:asciiTheme="minorHAnsi" w:hAnsiTheme="minorHAnsi" w:cstheme="minorHAnsi"/>
          <w:sz w:val="20"/>
        </w:rPr>
        <w:t>JBE</w:t>
      </w:r>
      <w:r w:rsidRPr="002B5F46">
        <w:rPr>
          <w:rFonts w:asciiTheme="minorHAnsi" w:hAnsiTheme="minorHAnsi" w:cstheme="minorHAnsi"/>
          <w:sz w:val="20"/>
        </w:rPr>
        <w:t xml:space="preserve"> </w:t>
      </w:r>
      <w:r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Pr>
          <w:rFonts w:asciiTheme="minorHAnsi" w:hAnsiTheme="minorHAnsi" w:cstheme="minorHAnsi"/>
          <w:bCs/>
          <w:sz w:val="20"/>
        </w:rPr>
        <w:t>. T</w:t>
      </w:r>
      <w:r w:rsidRPr="002D7DFA">
        <w:rPr>
          <w:rFonts w:asciiTheme="minorHAnsi" w:hAnsiTheme="minorHAnsi" w:cstheme="minorHAnsi"/>
          <w:bCs/>
          <w:sz w:val="20"/>
        </w:rPr>
        <w:t xml:space="preserve">he parties mutually agree that if the Congress does not appropriate </w:t>
      </w:r>
      <w:proofErr w:type="gramStart"/>
      <w:r w:rsidRPr="002D7DFA">
        <w:rPr>
          <w:rFonts w:asciiTheme="minorHAnsi" w:hAnsiTheme="minorHAnsi" w:cstheme="minorHAnsi"/>
          <w:bCs/>
          <w:sz w:val="20"/>
        </w:rPr>
        <w:t>sufficient</w:t>
      </w:r>
      <w:proofErr w:type="gramEnd"/>
      <w:r w:rsidRPr="002D7DFA">
        <w:rPr>
          <w:rFonts w:asciiTheme="minorHAnsi" w:hAnsiTheme="minorHAnsi" w:cstheme="minorHAnsi"/>
          <w:bCs/>
          <w:sz w:val="20"/>
        </w:rPr>
        <w:t xml:space="preserve"> funds for any program under which this Agreement is intended to be paid, this Agreement shall be deemed amended without any further action of the parties to reflect any reduction in funds</w:t>
      </w:r>
      <w:r>
        <w:rPr>
          <w:rFonts w:asciiTheme="minorHAnsi" w:hAnsiTheme="minorHAnsi" w:cstheme="minorHAnsi"/>
          <w:bCs/>
          <w:sz w:val="20"/>
        </w:rPr>
        <w:t>. Th</w:t>
      </w:r>
      <w:r w:rsidRPr="002D7DFA">
        <w:rPr>
          <w:rFonts w:asciiTheme="minorHAnsi" w:hAnsiTheme="minorHAnsi" w:cstheme="minorHAnsi"/>
          <w:bCs/>
          <w:sz w:val="20"/>
        </w:rPr>
        <w:t xml:space="preserve">e </w:t>
      </w:r>
      <w:r>
        <w:rPr>
          <w:rFonts w:asciiTheme="minorHAnsi" w:hAnsiTheme="minorHAnsi" w:cstheme="minorHAnsi"/>
          <w:bCs/>
          <w:sz w:val="20"/>
        </w:rPr>
        <w:t>JBE</w:t>
      </w:r>
      <w:r w:rsidRPr="002D7DFA">
        <w:rPr>
          <w:rFonts w:asciiTheme="minorHAnsi" w:hAnsiTheme="minorHAnsi" w:cstheme="minorHAnsi"/>
          <w:bCs/>
          <w:sz w:val="20"/>
        </w:rPr>
        <w:t xml:space="preserve"> may invalidate this Agreement under the termination for convenience or cancellation clause (provi</w:t>
      </w:r>
      <w:r>
        <w:rPr>
          <w:rFonts w:asciiTheme="minorHAnsi" w:hAnsiTheme="minorHAnsi" w:cstheme="minorHAnsi"/>
          <w:bCs/>
          <w:sz w:val="20"/>
        </w:rPr>
        <w:t>ding for no more than thirty (30) days’ N</w:t>
      </w:r>
      <w:r w:rsidRPr="002D7DFA">
        <w:rPr>
          <w:rFonts w:asciiTheme="minorHAnsi" w:hAnsiTheme="minorHAnsi" w:cstheme="minorHAnsi"/>
          <w:bCs/>
          <w:sz w:val="20"/>
        </w:rPr>
        <w:t>otice of termination or cancellation</w:t>
      </w:r>
      <w:proofErr w:type="gramStart"/>
      <w:r w:rsidRPr="002D7DFA">
        <w:rPr>
          <w:rFonts w:asciiTheme="minorHAnsi" w:hAnsiTheme="minorHAnsi" w:cstheme="minorHAnsi"/>
          <w:bCs/>
          <w:sz w:val="20"/>
        </w:rPr>
        <w:t>), or</w:t>
      </w:r>
      <w:proofErr w:type="gramEnd"/>
      <w:r w:rsidRPr="002D7DFA">
        <w:rPr>
          <w:rFonts w:asciiTheme="minorHAnsi" w:hAnsiTheme="minorHAnsi" w:cstheme="minorHAnsi"/>
          <w:bCs/>
          <w:sz w:val="20"/>
        </w:rPr>
        <w:t xml:space="preserve"> amend this Agreement to reflect any reduction in funds</w:t>
      </w:r>
      <w:r>
        <w:rPr>
          <w:rFonts w:asciiTheme="minorHAnsi" w:hAnsiTheme="minorHAnsi" w:cstheme="minorHAnsi"/>
          <w:bCs/>
          <w:sz w:val="20"/>
        </w:rPr>
        <w:t xml:space="preserve">. </w:t>
      </w:r>
    </w:p>
    <w:p w14:paraId="4B5E0F75" w14:textId="77777777" w:rsidR="00A95265" w:rsidRDefault="00A95265" w:rsidP="00A95265">
      <w:pPr>
        <w:pStyle w:val="ListParagraph"/>
        <w:tabs>
          <w:tab w:val="left" w:pos="360"/>
        </w:tabs>
        <w:ind w:left="936"/>
        <w:rPr>
          <w:rFonts w:asciiTheme="minorHAnsi" w:hAnsiTheme="minorHAnsi" w:cstheme="minorHAnsi"/>
          <w:sz w:val="20"/>
        </w:rPr>
      </w:pPr>
    </w:p>
    <w:p w14:paraId="68B1B07B" w14:textId="4122D8DA" w:rsidR="00A95265" w:rsidRPr="00A95265" w:rsidRDefault="00A95265" w:rsidP="00A95265">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Commitment. </w:t>
      </w:r>
      <w:r w:rsidRPr="00F73F32">
        <w:rPr>
          <w:rFonts w:asciiTheme="minorHAnsi" w:hAnsiTheme="minorHAnsi" w:cstheme="minorHAnsi"/>
          <w:bCs/>
          <w:sz w:val="20"/>
        </w:rPr>
        <w:t xml:space="preserve"> </w:t>
      </w:r>
      <w:r w:rsidRPr="00174CAF">
        <w:rPr>
          <w:rFonts w:asciiTheme="minorHAnsi" w:hAnsiTheme="minorHAnsi" w:cstheme="minorHAnsi"/>
          <w:i/>
          <w:sz w:val="20"/>
        </w:rPr>
        <w:t>This section is applicable if Contractor received a disabled veteran business enterprise (“DVBE”) incentive in connection with this Agreement.</w:t>
      </w:r>
      <w:r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w:t>
      </w:r>
      <w:proofErr w:type="spellStart"/>
      <w:r w:rsidRPr="00174CAF">
        <w:rPr>
          <w:rFonts w:asciiTheme="minorHAnsi" w:hAnsiTheme="minorHAnsi" w:cstheme="minorHAnsi"/>
          <w:sz w:val="20"/>
        </w:rPr>
        <w:t>i</w:t>
      </w:r>
      <w:proofErr w:type="spellEnd"/>
      <w:r w:rsidRPr="00174CAF">
        <w:rPr>
          <w:rFonts w:asciiTheme="minorHAnsi" w:hAnsiTheme="minorHAnsi" w:cstheme="minorHAnsi"/>
          <w:sz w:val="20"/>
        </w:rPr>
        <w:t xml:space="preserve">) Contractor must use the DVBE subcontractors identified in its bid or proposal, unless the </w:t>
      </w:r>
      <w:r>
        <w:rPr>
          <w:rFonts w:asciiTheme="minorHAnsi" w:hAnsiTheme="minorHAnsi" w:cstheme="minorHAnsi"/>
          <w:sz w:val="20"/>
        </w:rPr>
        <w:t xml:space="preserve">JBE </w:t>
      </w:r>
      <w:r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Pr>
          <w:rFonts w:asciiTheme="minorHAnsi" w:hAnsiTheme="minorHAnsi" w:cstheme="minorHAnsi"/>
          <w:sz w:val="20"/>
        </w:rPr>
        <w:t>JBE</w:t>
      </w:r>
      <w:r w:rsidRPr="00174CAF">
        <w:rPr>
          <w:rFonts w:asciiTheme="minorHAnsi" w:hAnsiTheme="minorHAnsi" w:cstheme="minorHAnsi"/>
          <w:sz w:val="20"/>
        </w:rPr>
        <w: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r w:rsidRPr="00F73F32">
        <w:rPr>
          <w:rFonts w:asciiTheme="minorHAnsi" w:hAnsiTheme="minorHAnsi" w:cstheme="minorHAnsi"/>
          <w:bCs/>
          <w:sz w:val="20"/>
        </w:rPr>
        <w:t xml:space="preserve"> </w:t>
      </w:r>
    </w:p>
    <w:p w14:paraId="6F23F161" w14:textId="40937801" w:rsidR="00503976" w:rsidRPr="00A95265" w:rsidRDefault="00A95265" w:rsidP="00A95265">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Pr="00EC158B">
        <w:rPr>
          <w:rFonts w:asciiTheme="minorHAnsi" w:hAnsiTheme="minorHAnsi" w:cstheme="minorHAnsi"/>
          <w:b/>
          <w:bCs/>
          <w:sz w:val="20"/>
        </w:rPr>
        <w:t>.</w:t>
      </w:r>
      <w:r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Pr>
          <w:rFonts w:asciiTheme="minorHAnsi" w:hAnsiTheme="minorHAnsi" w:cstheme="minorHAnsi"/>
          <w:sz w:val="20"/>
        </w:rPr>
        <w:t>JUDICIAL COUNCIL OF CALIFORNIA</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Pr>
          <w:rFonts w:asciiTheme="minorHAnsi" w:hAnsiTheme="minorHAnsi" w:cstheme="minorHAnsi"/>
          <w:sz w:val="20"/>
        </w:rPr>
        <w:t>JUDICIAL COUNCIL OF CALIFORNIA</w:t>
      </w:r>
      <w:r w:rsidRPr="00A84B5B">
        <w:rPr>
          <w:rFonts w:asciiTheme="minorHAnsi" w:hAnsiTheme="minorHAnsi" w:cstheme="minorHAnsi"/>
          <w:sz w:val="20"/>
        </w:rPr>
        <w:t xml:space="preserve">. Such assignment shall be made and become effective at the time the </w:t>
      </w:r>
      <w:r>
        <w:rPr>
          <w:rFonts w:asciiTheme="minorHAnsi" w:hAnsiTheme="minorHAnsi" w:cstheme="minorHAnsi"/>
          <w:sz w:val="20"/>
        </w:rPr>
        <w:t>JUDICIAL COUNCIL OF CALIFORNIA</w:t>
      </w:r>
      <w:r w:rsidRPr="00A84B5B">
        <w:rPr>
          <w:rFonts w:asciiTheme="minorHAnsi" w:hAnsiTheme="minorHAnsi" w:cstheme="minorHAnsi"/>
          <w:sz w:val="20"/>
        </w:rPr>
        <w:t xml:space="preserve"> </w:t>
      </w:r>
      <w:proofErr w:type="gramStart"/>
      <w:r w:rsidRPr="00A84B5B">
        <w:rPr>
          <w:rFonts w:asciiTheme="minorHAnsi" w:hAnsiTheme="minorHAnsi" w:cstheme="minorHAnsi"/>
          <w:sz w:val="20"/>
        </w:rPr>
        <w:t>tenders</w:t>
      </w:r>
      <w:proofErr w:type="gramEnd"/>
      <w:r w:rsidRPr="00A84B5B">
        <w:rPr>
          <w:rFonts w:asciiTheme="minorHAnsi" w:hAnsiTheme="minorHAnsi" w:cstheme="minorHAnsi"/>
          <w:sz w:val="20"/>
        </w:rPr>
        <w:t xml:space="preserve">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Pr>
          <w:rFonts w:asciiTheme="minorHAnsi" w:hAnsiTheme="minorHAnsi" w:cstheme="minorHAnsi"/>
          <w:sz w:val="20"/>
        </w:rPr>
        <w:t>JUDICIAL COUNCIL OF CALIFORNIA</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Pr>
          <w:rFonts w:asciiTheme="minorHAnsi" w:hAnsiTheme="minorHAnsi" w:cstheme="minorHAnsi"/>
          <w:sz w:val="20"/>
        </w:rPr>
        <w:t>JUDICIAL COUNCIL OF CALIFORNIA</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Pr>
          <w:rFonts w:asciiTheme="minorHAnsi" w:hAnsiTheme="minorHAnsi" w:cstheme="minorHAnsi"/>
          <w:sz w:val="20"/>
        </w:rPr>
        <w:t>JUDICIAL COUNCIL OF CALIFORNIA</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Pr>
          <w:rFonts w:asciiTheme="minorHAnsi" w:hAnsiTheme="minorHAnsi" w:cstheme="minorHAnsi"/>
          <w:sz w:val="20"/>
        </w:rPr>
        <w:t>JUDICIAL COUNCIL OF CALIFORNIA</w:t>
      </w:r>
      <w:r w:rsidRPr="00A84B5B">
        <w:rPr>
          <w:rFonts w:asciiTheme="minorHAnsi" w:hAnsiTheme="minorHAnsi" w:cstheme="minorHAnsi"/>
          <w:sz w:val="20"/>
        </w:rPr>
        <w:t xml:space="preserve"> shall, within one </w:t>
      </w:r>
      <w:r>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Pr>
          <w:rFonts w:asciiTheme="minorHAnsi" w:hAnsiTheme="minorHAnsi" w:cstheme="minorHAnsi"/>
          <w:sz w:val="20"/>
        </w:rPr>
        <w:t>JUDICIAL COUNCIL OF CALIFORNIA</w:t>
      </w:r>
      <w:r w:rsidRPr="00A84B5B">
        <w:rPr>
          <w:rFonts w:asciiTheme="minorHAnsi" w:hAnsiTheme="minorHAnsi" w:cstheme="minorHAnsi"/>
          <w:sz w:val="20"/>
        </w:rPr>
        <w:t xml:space="preserve"> has not been injured thereby, or (b) the </w:t>
      </w:r>
      <w:r>
        <w:rPr>
          <w:rFonts w:asciiTheme="minorHAnsi" w:hAnsiTheme="minorHAnsi" w:cstheme="minorHAnsi"/>
          <w:sz w:val="20"/>
        </w:rPr>
        <w:t>JUDICIAL COUNCIL OF CALIFORNIA</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79DE88C7" w14:textId="0E448E4F" w:rsidR="00E367B1" w:rsidRPr="00B3022E" w:rsidRDefault="006A354E" w:rsidP="00B3022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56A14938"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0482E069" w14:textId="03C983F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F25891">
        <w:rPr>
          <w:rFonts w:asciiTheme="minorHAnsi" w:hAnsiTheme="minorHAnsi" w:cstheme="minorHAnsi"/>
          <w:sz w:val="20"/>
        </w:rPr>
        <w:t>JUDICIAL COUNCIL OF CALIFORNIA</w:t>
      </w:r>
      <w:r w:rsidRPr="00C04E9F">
        <w:rPr>
          <w:rFonts w:asciiTheme="minorHAnsi" w:hAnsiTheme="minorHAnsi" w:cstheme="minorHAnsi"/>
          <w:sz w:val="20"/>
        </w:rPr>
        <w:t xml:space="preserve">. No employer-employee, partnership, joint venture, or agency relationship exists between Contractor and the </w:t>
      </w:r>
      <w:r w:rsidR="00F25891">
        <w:rPr>
          <w:rFonts w:asciiTheme="minorHAnsi" w:hAnsiTheme="minorHAnsi" w:cstheme="minorHAnsi"/>
          <w:sz w:val="20"/>
        </w:rPr>
        <w:t>JUDICIAL COUNCIL OF CALIFORNIA</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F25891">
        <w:rPr>
          <w:rFonts w:cstheme="minorHAnsi"/>
          <w:sz w:val="20"/>
        </w:rPr>
        <w:t>JUDICIAL COUNCIL OF CALIFORNIA</w:t>
      </w:r>
      <w:r w:rsidR="000205FD" w:rsidRPr="00C04E9F">
        <w:rPr>
          <w:rFonts w:cstheme="minorHAnsi"/>
          <w:sz w:val="20"/>
        </w:rPr>
        <w:t xml:space="preserve">. If any governmental entity concludes that Contractor is not an independent contractor, the </w:t>
      </w:r>
      <w:r w:rsidR="00F25891">
        <w:rPr>
          <w:rFonts w:cstheme="minorHAnsi"/>
          <w:sz w:val="20"/>
        </w:rPr>
        <w:t>JUDICIAL COUNCIL OF CALIFORNIA</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2BE7C14F"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74EFD122" w14:textId="768BA58A"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F25891">
        <w:rPr>
          <w:rFonts w:asciiTheme="minorHAnsi" w:hAnsiTheme="minorHAnsi" w:cstheme="minorHAnsi"/>
          <w:bCs/>
          <w:sz w:val="20"/>
        </w:rPr>
        <w:t>JUDICIAL COUNCIL OF CALIFORNIA</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F25891">
        <w:rPr>
          <w:rFonts w:asciiTheme="minorHAnsi" w:hAnsiTheme="minorHAnsi" w:cstheme="minorHAnsi"/>
          <w:bCs/>
          <w:sz w:val="20"/>
        </w:rPr>
        <w:t>JUDICIAL COUNCIL OF CALIFORNIA</w:t>
      </w:r>
      <w:r w:rsidR="006402DE" w:rsidRPr="006402DE">
        <w:rPr>
          <w:rFonts w:asciiTheme="minorHAnsi" w:hAnsiTheme="minorHAnsi" w:cstheme="minorHAnsi"/>
          <w:bCs/>
          <w:sz w:val="20"/>
        </w:rPr>
        <w:t xml:space="preserve"> five percent (5%) or more during the </w:t>
      </w:r>
      <w:proofErr w:type="gramStart"/>
      <w:r w:rsidR="006402DE" w:rsidRPr="006402DE">
        <w:rPr>
          <w:rFonts w:asciiTheme="minorHAnsi" w:hAnsiTheme="minorHAnsi" w:cstheme="minorHAnsi"/>
          <w:bCs/>
          <w:sz w:val="20"/>
        </w:rPr>
        <w:t>time period</w:t>
      </w:r>
      <w:proofErr w:type="gramEnd"/>
      <w:r w:rsidR="006402DE" w:rsidRPr="006402DE">
        <w:rPr>
          <w:rFonts w:asciiTheme="minorHAnsi" w:hAnsiTheme="minorHAnsi" w:cstheme="minorHAnsi"/>
          <w:bCs/>
          <w:sz w:val="20"/>
        </w:rPr>
        <w:t xml:space="preserve"> subject to audit, Contractor must reimburse the </w:t>
      </w:r>
      <w:r w:rsidR="00F25891">
        <w:rPr>
          <w:rFonts w:asciiTheme="minorHAnsi" w:hAnsiTheme="minorHAnsi" w:cstheme="minorHAnsi"/>
          <w:bCs/>
          <w:sz w:val="20"/>
        </w:rPr>
        <w:t>JUDICIAL COUNCIL OF CALIFORNIA</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2F36F299"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6A05AB20" w14:textId="33BFE244"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F25891">
        <w:rPr>
          <w:rFonts w:asciiTheme="minorHAnsi" w:hAnsiTheme="minorHAnsi" w:cstheme="minorHAnsi"/>
          <w:sz w:val="20"/>
        </w:rPr>
        <w:t>JUDICIAL COUNCIL OF CALIFORNIA</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w:t>
      </w:r>
      <w:proofErr w:type="gramStart"/>
      <w:r>
        <w:rPr>
          <w:rFonts w:asciiTheme="minorHAnsi" w:hAnsiTheme="minorHAnsi" w:cstheme="minorHAnsi"/>
          <w:sz w:val="20"/>
        </w:rPr>
        <w:t>in order to</w:t>
      </w:r>
      <w:proofErr w:type="gramEnd"/>
      <w:r>
        <w:rPr>
          <w:rFonts w:asciiTheme="minorHAnsi" w:hAnsiTheme="minorHAnsi" w:cstheme="minorHAnsi"/>
          <w:sz w:val="20"/>
        </w:rPr>
        <w:t xml:space="preserve">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F25891">
        <w:rPr>
          <w:rFonts w:asciiTheme="minorHAnsi" w:hAnsiTheme="minorHAnsi" w:cstheme="minorHAnsi"/>
          <w:sz w:val="20"/>
        </w:rPr>
        <w:t>JUDICIAL COUNCIL OF CALIFORNIA</w:t>
      </w:r>
      <w:r w:rsidRPr="008D1584">
        <w:rPr>
          <w:rFonts w:asciiTheme="minorHAnsi" w:hAnsiTheme="minorHAnsi" w:cstheme="minorHAnsi"/>
          <w:sz w:val="20"/>
        </w:rPr>
        <w:t xml:space="preserve"> owns all right, title and interest in the Confidential Information. Contractor will notify the </w:t>
      </w:r>
      <w:r w:rsidR="00F25891">
        <w:rPr>
          <w:rFonts w:asciiTheme="minorHAnsi" w:hAnsiTheme="minorHAnsi" w:cstheme="minorHAnsi"/>
          <w:sz w:val="20"/>
        </w:rPr>
        <w:t>JUDICIAL COUNCIL OF CALIFORNIA</w:t>
      </w:r>
      <w:r w:rsidRPr="008D1584">
        <w:rPr>
          <w:rFonts w:asciiTheme="minorHAnsi" w:hAnsiTheme="minorHAnsi" w:cstheme="minorHAnsi"/>
          <w:sz w:val="20"/>
        </w:rPr>
        <w:t xml:space="preserve"> promptly upon learning of any unauthorized disclosure or use of Confidential Information and will cooperate fully with the </w:t>
      </w:r>
      <w:r w:rsidR="00F25891">
        <w:rPr>
          <w:rFonts w:asciiTheme="minorHAnsi" w:hAnsiTheme="minorHAnsi" w:cstheme="minorHAnsi"/>
          <w:sz w:val="20"/>
        </w:rPr>
        <w:t>JUDICIAL COUNCIL OF CALIFORNIA</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F25891">
        <w:rPr>
          <w:sz w:val="20"/>
        </w:rPr>
        <w:t>JUDICIAL COUNCIL OF CALIFORNIA</w:t>
      </w:r>
      <w:r w:rsidRPr="001153AF">
        <w:rPr>
          <w:sz w:val="20"/>
        </w:rPr>
        <w:t xml:space="preserve">’s request and upon any termination or expiration of this Agreement, Contractor will promptly (a) return to the </w:t>
      </w:r>
      <w:r w:rsidR="00F25891">
        <w:rPr>
          <w:sz w:val="20"/>
        </w:rPr>
        <w:t>JUDICIAL COUNCIL OF CALIFORNIA</w:t>
      </w:r>
      <w:r w:rsidRPr="001153AF">
        <w:rPr>
          <w:sz w:val="20"/>
        </w:rPr>
        <w:t xml:space="preserve"> or, if so directed by the </w:t>
      </w:r>
      <w:r w:rsidR="00F25891">
        <w:rPr>
          <w:sz w:val="20"/>
        </w:rPr>
        <w:t>JUDICIAL COUNCIL OF CALIFORNIA</w:t>
      </w:r>
      <w:r w:rsidRPr="001153AF">
        <w:rPr>
          <w:sz w:val="20"/>
        </w:rPr>
        <w:t xml:space="preserve">, destroy all Confidential Information (in every form and medium), and (b) certify to the </w:t>
      </w:r>
      <w:r w:rsidR="00F25891">
        <w:rPr>
          <w:sz w:val="20"/>
        </w:rPr>
        <w:t>JUDICIAL COUNCIL OF CALIFORNIA</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F25891">
        <w:rPr>
          <w:rFonts w:asciiTheme="minorHAnsi" w:hAnsiTheme="minorHAnsi" w:cstheme="minorHAnsi"/>
          <w:sz w:val="20"/>
        </w:rPr>
        <w:t>JUDICIAL COUNCIL OF CALIFORNIA</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7682D8C4" w14:textId="503EEC40"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F25891">
        <w:rPr>
          <w:rFonts w:asciiTheme="minorHAnsi" w:hAnsiTheme="minorHAnsi" w:cstheme="minorHAnsi"/>
          <w:bCs/>
          <w:sz w:val="20"/>
        </w:rPr>
        <w:t>JUDICIAL COUNCIL OF CALIFORNIA</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F25891">
        <w:rPr>
          <w:rFonts w:asciiTheme="minorHAnsi" w:hAnsiTheme="minorHAnsi" w:cstheme="minorHAnsi"/>
          <w:bCs/>
          <w:sz w:val="20"/>
        </w:rPr>
        <w:t>JUDICIAL COUNCIL OF CALIFORNIA</w:t>
      </w:r>
      <w:r w:rsidRPr="00B97478">
        <w:rPr>
          <w:rFonts w:asciiTheme="minorHAnsi" w:hAnsiTheme="minorHAnsi" w:cstheme="minorHAnsi"/>
          <w:bCs/>
          <w:sz w:val="20"/>
        </w:rPr>
        <w:t>.</w:t>
      </w:r>
    </w:p>
    <w:p w14:paraId="14C2D7DC" w14:textId="507B3EB5"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F25891">
        <w:rPr>
          <w:rFonts w:asciiTheme="minorHAnsi" w:hAnsiTheme="minorHAnsi" w:cstheme="minorHAnsi"/>
          <w:sz w:val="20"/>
        </w:rPr>
        <w:t>JUDICIAL COUNCIL OF CALIFORNIA</w:t>
      </w:r>
      <w:r w:rsidR="0029237A" w:rsidRPr="00EC158B">
        <w:rPr>
          <w:rFonts w:asciiTheme="minorHAnsi" w:hAnsiTheme="minorHAnsi" w:cstheme="minorHAnsi"/>
          <w:sz w:val="20"/>
        </w:rPr>
        <w:t>.</w:t>
      </w:r>
    </w:p>
    <w:p w14:paraId="11DFC1C1"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5018D0BE"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30CFBBD" w14:textId="0514314C"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F25891">
        <w:rPr>
          <w:sz w:val="20"/>
        </w:rPr>
        <w:t>JUDICIAL COUNCIL OF CALIFORNIA</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F25891">
        <w:rPr>
          <w:rFonts w:asciiTheme="minorHAnsi" w:hAnsiTheme="minorHAnsi" w:cstheme="minorHAnsi"/>
          <w:bCs/>
          <w:sz w:val="20"/>
        </w:rPr>
        <w:t>JUDICIAL COUNCIL OF CALIFORNIA</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F25891">
        <w:rPr>
          <w:sz w:val="20"/>
        </w:rPr>
        <w:t>JUDICIAL COUNCIL OF CALIFORNIA</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04225F06"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35A42918"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goods or supplies, or any other related action that is required, suggested, or otherwise deemed appropriate in the </w:t>
      </w:r>
      <w:proofErr w:type="gramStart"/>
      <w:r w:rsidRPr="00A61016">
        <w:rPr>
          <w:rFonts w:asciiTheme="minorHAnsi" w:hAnsiTheme="minorHAnsi" w:cstheme="minorHAnsi"/>
          <w:bCs/>
          <w:sz w:val="20"/>
        </w:rPr>
        <w:t>end product</w:t>
      </w:r>
      <w:proofErr w:type="gramEnd"/>
      <w:r w:rsidRPr="00A61016">
        <w:rPr>
          <w:rFonts w:asciiTheme="minorHAnsi" w:hAnsiTheme="minorHAnsi" w:cstheme="minorHAnsi"/>
          <w:bCs/>
          <w:sz w:val="20"/>
        </w:rPr>
        <w:t xml:space="preserve"> of this Agreement.</w:t>
      </w:r>
      <w:r w:rsidR="00BC3F04">
        <w:rPr>
          <w:rFonts w:asciiTheme="minorHAnsi" w:hAnsiTheme="minorHAnsi" w:cstheme="minorHAnsi"/>
          <w:bCs/>
          <w:sz w:val="20"/>
        </w:rPr>
        <w:t xml:space="preserve"> </w:t>
      </w:r>
    </w:p>
    <w:p w14:paraId="75C9553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7D7BEA1"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3AB90C9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66223345" w14:textId="376E8B30" w:rsidR="00A46FBE" w:rsidRPr="00B3022E" w:rsidRDefault="00437785" w:rsidP="003C44D4">
      <w:pPr>
        <w:numPr>
          <w:ilvl w:val="1"/>
          <w:numId w:val="26"/>
        </w:numPr>
        <w:spacing w:before="120" w:after="120"/>
        <w:rPr>
          <w:rFonts w:asciiTheme="minorHAnsi" w:hAnsiTheme="minorHAnsi" w:cstheme="minorHAnsi"/>
          <w:sz w:val="20"/>
        </w:rPr>
      </w:pPr>
      <w:r w:rsidRPr="00B3022E">
        <w:rPr>
          <w:rFonts w:asciiTheme="minorHAnsi" w:hAnsiTheme="minorHAnsi" w:cstheme="minorHAnsi"/>
          <w:b/>
          <w:bCs/>
          <w:sz w:val="20"/>
        </w:rPr>
        <w:t xml:space="preserve">Counterparts. </w:t>
      </w:r>
      <w:r w:rsidRPr="00B3022E">
        <w:rPr>
          <w:rFonts w:asciiTheme="minorHAnsi" w:hAnsiTheme="minorHAnsi" w:cstheme="minorHAnsi"/>
          <w:bCs/>
          <w:sz w:val="20"/>
        </w:rPr>
        <w:t>This Agreement may be executed in counterparts, each of which is considered an original.</w:t>
      </w:r>
    </w:p>
    <w:p w14:paraId="6653365E" w14:textId="77777777" w:rsidR="00A46FBE" w:rsidRPr="002B6210" w:rsidRDefault="00A46FBE" w:rsidP="002B6210">
      <w:pPr>
        <w:rPr>
          <w:rFonts w:asciiTheme="minorHAnsi" w:hAnsiTheme="minorHAnsi" w:cstheme="minorHAnsi"/>
          <w:sz w:val="20"/>
        </w:rPr>
      </w:pPr>
    </w:p>
    <w:p w14:paraId="01A0ACFD" w14:textId="731522AC" w:rsidR="00A46FBE" w:rsidRDefault="00A46FBE" w:rsidP="00A46FBE">
      <w:pPr>
        <w:rPr>
          <w:rFonts w:asciiTheme="minorHAnsi" w:hAnsiTheme="minorHAnsi" w:cstheme="minorHAnsi"/>
          <w:sz w:val="20"/>
        </w:rPr>
      </w:pPr>
    </w:p>
    <w:p w14:paraId="0CE01C7F" w14:textId="78BDAC8C" w:rsidR="00A46FBE" w:rsidRDefault="00A46FBE" w:rsidP="002B6210">
      <w:pPr>
        <w:ind w:firstLine="720"/>
        <w:rPr>
          <w:rFonts w:asciiTheme="minorHAnsi" w:hAnsiTheme="minorHAnsi" w:cstheme="minorHAnsi"/>
          <w:sz w:val="20"/>
        </w:rPr>
      </w:pPr>
    </w:p>
    <w:p w14:paraId="1F9173B1" w14:textId="3A9EDAC4" w:rsidR="00A46FBE" w:rsidRDefault="00A46FBE" w:rsidP="00A46FBE">
      <w:pPr>
        <w:rPr>
          <w:rFonts w:asciiTheme="minorHAnsi" w:hAnsiTheme="minorHAnsi" w:cstheme="minorHAnsi"/>
          <w:sz w:val="20"/>
        </w:rPr>
      </w:pPr>
    </w:p>
    <w:p w14:paraId="7B3B67AB"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7"/>
          <w:footerReference w:type="first" r:id="rId18"/>
          <w:pgSz w:w="12240" w:h="15840"/>
          <w:pgMar w:top="1440" w:right="1440" w:bottom="1440" w:left="1440" w:header="720" w:footer="720" w:gutter="0"/>
          <w:pgNumType w:start="1" w:chapStyle="1"/>
          <w:cols w:space="720"/>
          <w:titlePg/>
          <w:docGrid w:linePitch="360"/>
        </w:sectPr>
      </w:pPr>
    </w:p>
    <w:p w14:paraId="505C54D7" w14:textId="77777777" w:rsidR="00CC2A61" w:rsidRPr="00EC158B" w:rsidRDefault="00CC2A61" w:rsidP="00CC2A61">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D</w:t>
      </w:r>
    </w:p>
    <w:p w14:paraId="012F913A" w14:textId="77777777" w:rsidR="00CC2A61" w:rsidRPr="00EC158B" w:rsidRDefault="00CC2A61" w:rsidP="00CC2A61">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8E31EBC" w14:textId="77777777" w:rsidR="00CC2A61" w:rsidRPr="00EC158B" w:rsidRDefault="00CC2A61" w:rsidP="00CC2A61">
      <w:pPr>
        <w:spacing w:line="300" w:lineRule="atLeast"/>
        <w:ind w:left="360"/>
        <w:rPr>
          <w:rFonts w:asciiTheme="minorHAnsi" w:hAnsiTheme="minorHAnsi" w:cstheme="minorHAnsi"/>
          <w:sz w:val="20"/>
        </w:rPr>
      </w:pPr>
    </w:p>
    <w:p w14:paraId="5C1EE2C5" w14:textId="77777777" w:rsidR="00CC2A61" w:rsidRPr="00EC158B" w:rsidRDefault="00CC2A61" w:rsidP="00CC2A61">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7EE880E" w14:textId="77777777" w:rsidR="00CC2A61" w:rsidRPr="00EC158B" w:rsidRDefault="00CC2A61" w:rsidP="00CC2A61">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04E65336" w14:textId="77777777" w:rsidR="00CC2A61" w:rsidRPr="00EC158B" w:rsidRDefault="00CC2A61" w:rsidP="00CC2A61">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“Contractor”</w:t>
      </w:r>
      <w:r w:rsidRPr="00EC158B">
        <w:rPr>
          <w:rFonts w:asciiTheme="minorHAnsi" w:hAnsiTheme="minorHAnsi" w:cstheme="minorHAnsi"/>
          <w:sz w:val="20"/>
          <w:szCs w:val="20"/>
        </w:rPr>
        <w:t xml:space="preserve"> </w:t>
      </w:r>
      <w:r>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r w:rsidRPr="00EC158B">
        <w:rPr>
          <w:rFonts w:asciiTheme="minorHAnsi" w:hAnsiTheme="minorHAnsi" w:cstheme="minorHAnsi"/>
          <w:sz w:val="20"/>
          <w:szCs w:val="20"/>
        </w:rPr>
        <w:t>.</w:t>
      </w:r>
    </w:p>
    <w:p w14:paraId="1312F518" w14:textId="77777777" w:rsidR="00CC2A61" w:rsidRDefault="00CC2A61" w:rsidP="00CC2A61">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9514F37" w14:textId="77777777" w:rsidR="00CC2A61" w:rsidRDefault="00CC2A61" w:rsidP="00CC2A61">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1F58E559" w14:textId="77777777" w:rsidR="00CC2A61" w:rsidRPr="00EC158B" w:rsidRDefault="00CC2A61" w:rsidP="00CC2A61">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30633E2E" w14:textId="77777777" w:rsidR="00CC2A61" w:rsidRPr="00EC158B" w:rsidRDefault="00CC2A61" w:rsidP="00CC2A61">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6A55430D" w14:textId="77777777" w:rsidR="00CC2A61" w:rsidRPr="0080468D" w:rsidRDefault="00CC2A61" w:rsidP="00CC2A61">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63FA297B" w14:textId="77777777" w:rsidR="00CC2A61" w:rsidRDefault="00CC2A61" w:rsidP="00CC2A61">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r w:rsidRPr="00EC158B">
        <w:rPr>
          <w:rFonts w:asciiTheme="minorHAnsi" w:hAnsiTheme="minorHAnsi" w:cstheme="minorHAnsi"/>
          <w:sz w:val="20"/>
          <w:szCs w:val="20"/>
        </w:rPr>
        <w:t xml:space="preserve">. </w:t>
      </w:r>
    </w:p>
    <w:p w14:paraId="0F1632C5" w14:textId="77777777" w:rsidR="00CC2A61" w:rsidRDefault="00CC2A61" w:rsidP="00CC2A61">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Pr="00EC158B">
        <w:rPr>
          <w:rFonts w:asciiTheme="minorHAnsi" w:hAnsiTheme="minorHAnsi" w:cstheme="minorHAnsi"/>
          <w:sz w:val="20"/>
          <w:szCs w:val="20"/>
        </w:rPr>
        <w:t xml:space="preserve"> is the </w:t>
      </w:r>
      <w:r>
        <w:rPr>
          <w:rFonts w:asciiTheme="minorHAnsi" w:hAnsiTheme="minorHAnsi" w:cstheme="minorHAnsi"/>
          <w:sz w:val="20"/>
          <w:szCs w:val="20"/>
        </w:rPr>
        <w:t>later of (</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the day so designated on the Coversheet</w:t>
      </w:r>
      <w:r w:rsidRPr="00EC158B">
        <w:rPr>
          <w:rFonts w:asciiTheme="minorHAnsi" w:hAnsiTheme="minorHAnsi" w:cstheme="minorHAnsi"/>
          <w:sz w:val="20"/>
          <w:szCs w:val="20"/>
        </w:rPr>
        <w:t xml:space="preserve">, </w:t>
      </w:r>
      <w:r>
        <w:rPr>
          <w:rFonts w:asciiTheme="minorHAnsi" w:hAnsiTheme="minorHAnsi" w:cstheme="minorHAnsi"/>
          <w:sz w:val="20"/>
          <w:szCs w:val="20"/>
        </w:rPr>
        <w:t xml:space="preserve">and (ii) the last day of any Option Term.  </w:t>
      </w:r>
      <w:r w:rsidRPr="00EC158B">
        <w:rPr>
          <w:rFonts w:asciiTheme="minorHAnsi" w:hAnsiTheme="minorHAnsi" w:cstheme="minorHAnsi"/>
          <w:sz w:val="20"/>
          <w:szCs w:val="20"/>
        </w:rPr>
        <w:t xml:space="preserve"> </w:t>
      </w:r>
    </w:p>
    <w:p w14:paraId="61A6764C" w14:textId="77777777" w:rsidR="00CC2A61" w:rsidRPr="00EC158B" w:rsidRDefault="00CC2A61" w:rsidP="00CC2A61">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4A152D6E" w14:textId="77777777" w:rsidR="00CC2A61" w:rsidRDefault="00CC2A61" w:rsidP="00CC2A61">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the period commencing on the Effective Date and </w:t>
      </w:r>
      <w:r>
        <w:rPr>
          <w:rFonts w:asciiTheme="minorHAnsi" w:hAnsiTheme="minorHAnsi" w:cstheme="minorHAnsi"/>
          <w:sz w:val="20"/>
          <w:szCs w:val="20"/>
        </w:rPr>
        <w:t>ending</w:t>
      </w:r>
      <w:r w:rsidRPr="00EC158B">
        <w:rPr>
          <w:rFonts w:asciiTheme="minorHAnsi" w:hAnsiTheme="minorHAnsi" w:cstheme="minorHAnsi"/>
          <w:sz w:val="20"/>
          <w:szCs w:val="20"/>
        </w:rPr>
        <w:t xml:space="preserve"> on the Expiration Date</w:t>
      </w:r>
      <w:r>
        <w:rPr>
          <w:rFonts w:asciiTheme="minorHAnsi" w:hAnsiTheme="minorHAnsi" w:cstheme="minorHAnsi"/>
          <w:sz w:val="20"/>
          <w:szCs w:val="20"/>
        </w:rPr>
        <w:t xml:space="preserve"> designated on the Coversheet</w:t>
      </w:r>
      <w:r w:rsidRPr="00EC158B">
        <w:rPr>
          <w:rFonts w:asciiTheme="minorHAnsi" w:hAnsiTheme="minorHAnsi" w:cstheme="minorHAnsi"/>
          <w:sz w:val="20"/>
          <w:szCs w:val="20"/>
        </w:rPr>
        <w:t xml:space="preserve">. </w:t>
      </w:r>
    </w:p>
    <w:p w14:paraId="297CBD6A" w14:textId="77777777" w:rsidR="00CC2A61" w:rsidRPr="00701788" w:rsidRDefault="00CC2A61" w:rsidP="00CC2A61">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Pr>
          <w:rFonts w:asciiTheme="minorHAnsi" w:hAnsiTheme="minorHAnsi" w:cstheme="minorHAnsi"/>
          <w:b/>
          <w:sz w:val="20"/>
          <w:szCs w:val="20"/>
        </w:rPr>
        <w:t xml:space="preserve"> is defined on the Coversheet.</w:t>
      </w:r>
    </w:p>
    <w:p w14:paraId="317B46ED" w14:textId="77777777" w:rsidR="00CC2A61" w:rsidRDefault="00CC2A61" w:rsidP="00CC2A61">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Pr>
          <w:rFonts w:asciiTheme="minorHAnsi" w:hAnsiTheme="minorHAnsi" w:cstheme="minorHAnsi"/>
          <w:bCs/>
          <w:sz w:val="20"/>
          <w:szCs w:val="20"/>
        </w:rPr>
        <w:t>.</w:t>
      </w:r>
    </w:p>
    <w:p w14:paraId="615CCD82" w14:textId="77777777" w:rsidR="00CC2A61" w:rsidRDefault="00CC2A61" w:rsidP="00CC2A61">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members, justices, judges, judicial officers, subordinate judicial officers, employees, and agents of a Judicial Branch Entity.</w:t>
      </w:r>
    </w:p>
    <w:p w14:paraId="4044E525" w14:textId="77777777" w:rsidR="00CC2A61" w:rsidRPr="00EC158B" w:rsidRDefault="00CC2A61" w:rsidP="00CC2A61">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written communication from one party to another that is </w:t>
      </w:r>
      <w:r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Pr>
          <w:rFonts w:asciiTheme="minorHAnsi" w:hAnsiTheme="minorHAnsi" w:cstheme="minorHAnsi"/>
          <w:bCs/>
          <w:sz w:val="20"/>
        </w:rPr>
        <w:t>in Appendix C.</w:t>
      </w:r>
    </w:p>
    <w:p w14:paraId="2E178C04" w14:textId="77777777" w:rsidR="00CC2A61" w:rsidRPr="00EC158B" w:rsidRDefault="00CC2A61" w:rsidP="00CC2A61">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Pr>
          <w:rFonts w:asciiTheme="minorHAnsi" w:hAnsiTheme="minorHAnsi" w:cstheme="minorHAnsi"/>
          <w:b/>
          <w:bCs/>
          <w:sz w:val="20"/>
          <w:szCs w:val="20"/>
        </w:rPr>
        <w:t>Option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means </w:t>
      </w:r>
      <w:r>
        <w:rPr>
          <w:rFonts w:asciiTheme="minorHAnsi" w:hAnsiTheme="minorHAnsi" w:cstheme="minorHAnsi"/>
          <w:sz w:val="20"/>
          <w:szCs w:val="20"/>
        </w:rPr>
        <w:t>a</w:t>
      </w:r>
      <w:r w:rsidRPr="00EC158B">
        <w:rPr>
          <w:rFonts w:asciiTheme="minorHAnsi" w:hAnsiTheme="minorHAnsi" w:cstheme="minorHAnsi"/>
          <w:sz w:val="20"/>
          <w:szCs w:val="20"/>
        </w:rPr>
        <w:t xml:space="preserve"> period, if any, through which this Agreement may be </w:t>
      </w:r>
      <w:r>
        <w:rPr>
          <w:rFonts w:asciiTheme="minorHAnsi" w:hAnsiTheme="minorHAnsi" w:cstheme="minorHAnsi"/>
          <w:sz w:val="20"/>
          <w:szCs w:val="20"/>
        </w:rPr>
        <w:t xml:space="preserve">or has been </w:t>
      </w:r>
      <w:r w:rsidRPr="00EC158B">
        <w:rPr>
          <w:rFonts w:asciiTheme="minorHAnsi" w:hAnsiTheme="minorHAnsi" w:cstheme="minorHAnsi"/>
          <w:sz w:val="20"/>
          <w:szCs w:val="20"/>
        </w:rPr>
        <w:t xml:space="preserve">extended by </w:t>
      </w:r>
      <w:r>
        <w:rPr>
          <w:rFonts w:asciiTheme="minorHAnsi" w:hAnsiTheme="minorHAnsi" w:cstheme="minorHAnsi"/>
          <w:sz w:val="20"/>
          <w:szCs w:val="20"/>
        </w:rPr>
        <w:t>the JBE</w:t>
      </w:r>
      <w:r w:rsidRPr="00EC158B">
        <w:rPr>
          <w:rFonts w:asciiTheme="minorHAnsi" w:hAnsiTheme="minorHAnsi" w:cstheme="minorHAnsi"/>
          <w:sz w:val="20"/>
          <w:szCs w:val="20"/>
        </w:rPr>
        <w:t>.</w:t>
      </w:r>
    </w:p>
    <w:p w14:paraId="58634B8B" w14:textId="77777777" w:rsidR="00CC2A61" w:rsidRDefault="00CC2A61" w:rsidP="00CC2A61">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74560862" w14:textId="77777777" w:rsidR="00CC2A61" w:rsidRDefault="00CC2A61" w:rsidP="00CC2A61">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238C7F3B" w14:textId="77777777" w:rsidR="00CC2A61" w:rsidRPr="00EC158B" w:rsidRDefault="00CC2A61" w:rsidP="00CC2A61">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32BBACFE" w14:textId="77777777" w:rsidR="003374B5" w:rsidRDefault="003374B5" w:rsidP="003374B5">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Pr>
          <w:rFonts w:asciiTheme="minorHAnsi" w:hAnsiTheme="minorHAnsi" w:cstheme="minorHAnsi"/>
          <w:sz w:val="20"/>
        </w:rPr>
        <w:t>Option Terms</w:t>
      </w:r>
      <w:r w:rsidRPr="00EC158B">
        <w:rPr>
          <w:rFonts w:asciiTheme="minorHAnsi" w:hAnsiTheme="minorHAnsi" w:cstheme="minorHAnsi"/>
          <w:sz w:val="20"/>
        </w:rPr>
        <w:t>.</w:t>
      </w:r>
      <w:r>
        <w:rPr>
          <w:rFonts w:asciiTheme="minorHAnsi" w:hAnsiTheme="minorHAnsi" w:cstheme="minorHAnsi"/>
          <w:sz w:val="20"/>
        </w:rPr>
        <w:t xml:space="preserve"> </w:t>
      </w:r>
    </w:p>
    <w:p w14:paraId="2AB749DE" w14:textId="7A2D3437" w:rsidR="003374B5" w:rsidRDefault="003374B5" w:rsidP="00CC2A61">
      <w:pPr>
        <w:pStyle w:val="BodyText"/>
        <w:spacing w:before="120" w:after="120" w:line="240" w:lineRule="auto"/>
        <w:rPr>
          <w:rFonts w:asciiTheme="minorHAnsi" w:hAnsiTheme="minorHAnsi" w:cstheme="minorHAnsi"/>
          <w:sz w:val="20"/>
        </w:rPr>
        <w:sectPr w:rsidR="003374B5" w:rsidSect="008B493E">
          <w:footerReference w:type="default" r:id="rId19"/>
          <w:pgSz w:w="12240" w:h="15840"/>
          <w:pgMar w:top="1440" w:right="1440" w:bottom="1440" w:left="1440" w:header="720" w:footer="720" w:gutter="0"/>
          <w:cols w:space="720"/>
          <w:docGrid w:linePitch="360"/>
        </w:sectPr>
      </w:pPr>
    </w:p>
    <w:p w14:paraId="4CD71F93" w14:textId="77777777" w:rsidR="003374B5" w:rsidRPr="0037441E" w:rsidRDefault="003374B5" w:rsidP="003374B5">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t>APPENDIX E</w:t>
      </w:r>
    </w:p>
    <w:p w14:paraId="73E32B22" w14:textId="77777777" w:rsidR="003374B5" w:rsidRPr="0037441E" w:rsidRDefault="003374B5" w:rsidP="003374B5">
      <w:pPr>
        <w:rPr>
          <w:rFonts w:asciiTheme="minorHAnsi" w:hAnsiTheme="minorHAnsi" w:cstheme="minorHAnsi"/>
          <w:sz w:val="20"/>
        </w:rPr>
      </w:pPr>
    </w:p>
    <w:p w14:paraId="6CFAA44B" w14:textId="77777777" w:rsidR="003374B5" w:rsidRDefault="003374B5" w:rsidP="003374B5">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667DD5A4" w14:textId="77777777" w:rsidR="003374B5" w:rsidRPr="0037441E" w:rsidRDefault="003374B5" w:rsidP="003374B5">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0479F349" w14:textId="77777777" w:rsidR="003374B5" w:rsidRPr="00C337CA" w:rsidRDefault="003374B5" w:rsidP="003374B5">
      <w:pPr>
        <w:spacing w:line="300" w:lineRule="atLeast"/>
        <w:jc w:val="center"/>
        <w:rPr>
          <w:rFonts w:cs="Arial"/>
          <w:b/>
          <w:bCs/>
          <w:sz w:val="20"/>
          <w:u w:val="single"/>
        </w:rPr>
      </w:pPr>
    </w:p>
    <w:p w14:paraId="5576F0EA" w14:textId="77777777" w:rsidR="003374B5" w:rsidRPr="00C337CA" w:rsidRDefault="003374B5" w:rsidP="003374B5">
      <w:pPr>
        <w:spacing w:after="120" w:line="300" w:lineRule="atLeast"/>
        <w:rPr>
          <w:rFonts w:cs="Arial"/>
          <w:sz w:val="20"/>
        </w:rPr>
      </w:pPr>
      <w:r w:rsidRPr="00C337CA">
        <w:rPr>
          <w:rFonts w:cs="Arial"/>
          <w:sz w:val="20"/>
        </w:rPr>
        <w:t>Pursuant to Public Contract Code (PCC) section 2010, the following certifications must be provided when (</w:t>
      </w:r>
      <w:proofErr w:type="spellStart"/>
      <w:r w:rsidRPr="00C337CA">
        <w:rPr>
          <w:rFonts w:cs="Arial"/>
          <w:sz w:val="20"/>
        </w:rPr>
        <w:t>i</w:t>
      </w:r>
      <w:proofErr w:type="spellEnd"/>
      <w:r w:rsidRPr="00C337CA">
        <w:rPr>
          <w:rFonts w:cs="Arial"/>
          <w:sz w:val="20"/>
        </w:rPr>
        <w:t xml:space="preserve">)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4F052017" w14:textId="77777777" w:rsidR="003374B5" w:rsidRPr="00C337CA" w:rsidRDefault="003374B5" w:rsidP="003374B5">
      <w:pPr>
        <w:widowControl w:val="0"/>
        <w:spacing w:after="120" w:line="300" w:lineRule="atLeast"/>
        <w:rPr>
          <w:rFonts w:cs="Arial"/>
          <w:b/>
          <w:bCs/>
          <w:sz w:val="20"/>
          <w:u w:val="single"/>
        </w:rPr>
      </w:pPr>
      <w:r w:rsidRPr="00C337CA">
        <w:rPr>
          <w:rFonts w:cs="Arial"/>
          <w:b/>
          <w:bCs/>
          <w:sz w:val="20"/>
          <w:u w:val="single"/>
        </w:rPr>
        <w:t>CERTIFICATIONS:</w:t>
      </w:r>
    </w:p>
    <w:p w14:paraId="12ACFF74" w14:textId="77777777" w:rsidR="003374B5" w:rsidRPr="00C337CA" w:rsidRDefault="003374B5" w:rsidP="003374B5">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Pr>
          <w:rFonts w:cs="Arial"/>
          <w:sz w:val="20"/>
        </w:rPr>
        <w:t xml:space="preserve">Contractor </w:t>
      </w:r>
      <w:proofErr w:type="gramStart"/>
      <w:r>
        <w:rPr>
          <w:rFonts w:cs="Arial"/>
          <w:sz w:val="20"/>
        </w:rPr>
        <w:t>is</w:t>
      </w:r>
      <w:r w:rsidRPr="00C337CA">
        <w:rPr>
          <w:rFonts w:cs="Arial"/>
          <w:sz w:val="20"/>
        </w:rPr>
        <w:t xml:space="preserve"> in compliance with</w:t>
      </w:r>
      <w:proofErr w:type="gramEnd"/>
      <w:r w:rsidRPr="00C337CA">
        <w:rPr>
          <w:rFonts w:cs="Arial"/>
          <w:sz w:val="20"/>
        </w:rPr>
        <w:t xml:space="preserve"> the Unruh Civil Rights Act (Section 51 of the Civil Code);</w:t>
      </w:r>
    </w:p>
    <w:p w14:paraId="11D0CA9A" w14:textId="77777777" w:rsidR="003374B5" w:rsidRPr="00C337CA" w:rsidRDefault="003374B5" w:rsidP="003374B5">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Pr>
          <w:rFonts w:cs="Arial"/>
          <w:sz w:val="20"/>
        </w:rPr>
        <w:t xml:space="preserve">Contractor </w:t>
      </w:r>
      <w:proofErr w:type="gramStart"/>
      <w:r>
        <w:rPr>
          <w:rFonts w:cs="Arial"/>
          <w:sz w:val="20"/>
        </w:rPr>
        <w:t xml:space="preserve">is </w:t>
      </w:r>
      <w:r w:rsidRPr="00C337CA">
        <w:rPr>
          <w:rFonts w:cs="Arial"/>
          <w:sz w:val="20"/>
        </w:rPr>
        <w:t>in compliance with</w:t>
      </w:r>
      <w:proofErr w:type="gramEnd"/>
      <w:r w:rsidRPr="00C337CA">
        <w:rPr>
          <w:rFonts w:cs="Arial"/>
          <w:sz w:val="20"/>
        </w:rPr>
        <w:t xml:space="preserve"> the California Fair Employment and Housing Act (Chapter 7 (commencing with Section 12960) of Part 2.8 of Division 3 of the Title 2 of the Government Code);</w:t>
      </w:r>
    </w:p>
    <w:p w14:paraId="11F93809" w14:textId="77777777" w:rsidR="003374B5" w:rsidRDefault="003374B5" w:rsidP="003374B5">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Pr>
          <w:rFonts w:cs="Arial"/>
          <w:sz w:val="20"/>
        </w:rPr>
        <w:t xml:space="preserve">Title 2 of the Government Code); </w:t>
      </w:r>
      <w:r w:rsidRPr="00C337CA">
        <w:rPr>
          <w:rFonts w:cs="Arial"/>
          <w:b/>
          <w:sz w:val="20"/>
        </w:rPr>
        <w:t>and</w:t>
      </w:r>
    </w:p>
    <w:p w14:paraId="20E76CB1" w14:textId="77777777" w:rsidR="003374B5" w:rsidRPr="00A803FD" w:rsidRDefault="003374B5" w:rsidP="003374B5">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Pr>
          <w:rFonts w:asciiTheme="minorHAnsi" w:hAnsiTheme="minorHAnsi" w:cstheme="minorHAnsi"/>
          <w:sz w:val="20"/>
        </w:rPr>
        <w:t>)</w:t>
      </w:r>
      <w:r w:rsidRPr="00A803FD">
        <w:rPr>
          <w:rFonts w:asciiTheme="minorHAnsi" w:hAnsiTheme="minorHAnsi" w:cstheme="minorHAnsi"/>
          <w:sz w:val="20"/>
        </w:rPr>
        <w:t>.</w:t>
      </w:r>
    </w:p>
    <w:p w14:paraId="69417759" w14:textId="77777777" w:rsidR="003374B5" w:rsidRPr="00C337CA" w:rsidRDefault="003374B5" w:rsidP="003374B5">
      <w:pPr>
        <w:tabs>
          <w:tab w:val="left" w:pos="720"/>
        </w:tabs>
        <w:spacing w:after="120" w:line="300" w:lineRule="atLeast"/>
        <w:ind w:left="720" w:hanging="720"/>
        <w:rPr>
          <w:rFonts w:cs="Arial"/>
          <w:sz w:val="20"/>
        </w:rPr>
      </w:pPr>
    </w:p>
    <w:p w14:paraId="0F8C8241" w14:textId="77777777" w:rsidR="003374B5" w:rsidRPr="00C337CA" w:rsidRDefault="003374B5" w:rsidP="003374B5">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Pr>
          <w:rFonts w:cs="Arial"/>
          <w:sz w:val="20"/>
        </w:rPr>
        <w:t xml:space="preserve">Contractor </w:t>
      </w:r>
      <w:r w:rsidRPr="00C337CA">
        <w:rPr>
          <w:rFonts w:cs="Arial"/>
          <w:sz w:val="20"/>
        </w:rPr>
        <w:t xml:space="preserve">to the certifications made in this document. </w:t>
      </w:r>
    </w:p>
    <w:p w14:paraId="1C6DA0D4" w14:textId="77777777" w:rsidR="003374B5" w:rsidRPr="00C337CA" w:rsidRDefault="003374B5" w:rsidP="003374B5">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3374B5" w:rsidRPr="00C337CA" w14:paraId="66199F45" w14:textId="77777777" w:rsidTr="00057A3F">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4BF94BF" w14:textId="77777777" w:rsidR="003374B5" w:rsidRPr="00C337CA" w:rsidRDefault="003374B5" w:rsidP="00057A3F">
            <w:pPr>
              <w:keepNext/>
              <w:spacing w:line="480" w:lineRule="auto"/>
              <w:rPr>
                <w:rFonts w:cs="Arial"/>
                <w:sz w:val="20"/>
              </w:rPr>
            </w:pPr>
            <w:r>
              <w:rPr>
                <w:rFonts w:cs="Arial"/>
                <w:i/>
                <w:iCs/>
                <w:sz w:val="20"/>
              </w:rPr>
              <w:t>Contractor</w:t>
            </w:r>
            <w:r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4BA31EA" w14:textId="77777777" w:rsidR="003374B5" w:rsidRPr="00C337CA" w:rsidRDefault="003374B5" w:rsidP="00057A3F">
            <w:pPr>
              <w:keepNext/>
              <w:spacing w:line="480" w:lineRule="auto"/>
              <w:rPr>
                <w:rFonts w:cs="Arial"/>
                <w:sz w:val="20"/>
              </w:rPr>
            </w:pPr>
            <w:r w:rsidRPr="00C337CA">
              <w:rPr>
                <w:rFonts w:cs="Arial"/>
                <w:i/>
                <w:iCs/>
                <w:sz w:val="20"/>
              </w:rPr>
              <w:t>Federal ID Number </w:t>
            </w:r>
          </w:p>
        </w:tc>
      </w:tr>
      <w:tr w:rsidR="003374B5" w:rsidRPr="00C337CA" w14:paraId="1A706F1E" w14:textId="77777777" w:rsidTr="00057A3F">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FFFFBEB" w14:textId="77777777" w:rsidR="003374B5" w:rsidRPr="00C337CA" w:rsidRDefault="003374B5" w:rsidP="00057A3F">
            <w:pPr>
              <w:keepNext/>
              <w:spacing w:line="480" w:lineRule="auto"/>
              <w:rPr>
                <w:rFonts w:cs="Arial"/>
                <w:sz w:val="20"/>
              </w:rPr>
            </w:pPr>
            <w:r w:rsidRPr="00C337CA">
              <w:rPr>
                <w:rFonts w:cs="Arial"/>
                <w:i/>
                <w:iCs/>
                <w:sz w:val="20"/>
              </w:rPr>
              <w:t>By (Authorized Signature)</w:t>
            </w:r>
          </w:p>
        </w:tc>
      </w:tr>
      <w:tr w:rsidR="003374B5" w:rsidRPr="00C337CA" w14:paraId="15DAA4B3" w14:textId="77777777" w:rsidTr="00057A3F">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6639867" w14:textId="77777777" w:rsidR="003374B5" w:rsidRPr="00C337CA" w:rsidRDefault="003374B5" w:rsidP="00057A3F">
            <w:pPr>
              <w:keepNext/>
              <w:spacing w:line="480" w:lineRule="auto"/>
              <w:rPr>
                <w:rFonts w:cs="Arial"/>
                <w:sz w:val="20"/>
              </w:rPr>
            </w:pPr>
            <w:r w:rsidRPr="00C337CA">
              <w:rPr>
                <w:rFonts w:cs="Arial"/>
                <w:i/>
                <w:iCs/>
                <w:sz w:val="20"/>
              </w:rPr>
              <w:t>Printed Name and Title of Person Signing </w:t>
            </w:r>
          </w:p>
        </w:tc>
      </w:tr>
      <w:tr w:rsidR="003374B5" w:rsidRPr="00C337CA" w14:paraId="1A2D10DC" w14:textId="77777777" w:rsidTr="00057A3F">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FED3579" w14:textId="77777777" w:rsidR="003374B5" w:rsidRPr="00C337CA" w:rsidRDefault="003374B5" w:rsidP="00057A3F">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A2969FA" w14:textId="77777777" w:rsidR="003374B5" w:rsidRPr="00C337CA" w:rsidRDefault="003374B5" w:rsidP="00057A3F">
            <w:pPr>
              <w:keepNext/>
              <w:rPr>
                <w:rFonts w:cs="Arial"/>
                <w:i/>
                <w:iCs/>
                <w:sz w:val="20"/>
              </w:rPr>
            </w:pPr>
            <w:r w:rsidRPr="00C337CA">
              <w:rPr>
                <w:rFonts w:cs="Arial"/>
                <w:i/>
                <w:iCs/>
                <w:sz w:val="20"/>
              </w:rPr>
              <w:t>Executed in the County of _________ in the State of ____________</w:t>
            </w:r>
          </w:p>
          <w:p w14:paraId="31D381F3" w14:textId="77777777" w:rsidR="003374B5" w:rsidRPr="00C337CA" w:rsidRDefault="003374B5" w:rsidP="00057A3F">
            <w:pPr>
              <w:keepNext/>
              <w:rPr>
                <w:rFonts w:cs="Arial"/>
                <w:sz w:val="20"/>
              </w:rPr>
            </w:pPr>
          </w:p>
        </w:tc>
      </w:tr>
    </w:tbl>
    <w:p w14:paraId="0D0B277E" w14:textId="5EC79BF7" w:rsidR="00757011" w:rsidRDefault="00757011" w:rsidP="00CC2A61">
      <w:pPr>
        <w:pStyle w:val="BodyText"/>
        <w:spacing w:before="120" w:after="120" w:line="240" w:lineRule="auto"/>
        <w:rPr>
          <w:rFonts w:asciiTheme="minorHAnsi" w:hAnsiTheme="minorHAnsi" w:cstheme="minorHAnsi"/>
          <w:sz w:val="20"/>
        </w:rPr>
      </w:pPr>
    </w:p>
    <w:sectPr w:rsidR="00757011" w:rsidSect="008B493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E6794" w14:textId="77777777" w:rsidR="00CD4B52" w:rsidRDefault="00CD4B52" w:rsidP="00437785">
      <w:r>
        <w:separator/>
      </w:r>
    </w:p>
  </w:endnote>
  <w:endnote w:type="continuationSeparator" w:id="0">
    <w:p w14:paraId="5B9F5D5B" w14:textId="77777777" w:rsidR="00CD4B52" w:rsidRDefault="00CD4B52"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55664" w14:textId="77777777" w:rsidR="004E4825" w:rsidRDefault="004E4825" w:rsidP="00686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003C3" w14:textId="77777777" w:rsidR="004E4825" w:rsidRDefault="004E4825"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A6D3F" w14:textId="2417F00E" w:rsidR="004E4825" w:rsidRDefault="004E4825" w:rsidP="00896EE8">
    <w:pPr>
      <w:pStyle w:val="Footer"/>
      <w:jc w:val="right"/>
    </w:pPr>
    <w:r>
      <w:rPr>
        <w:sz w:val="16"/>
        <w:szCs w:val="16"/>
      </w:rPr>
      <w:t>rev July 2017</w:t>
    </w:r>
    <w:r>
      <w:rPr>
        <w:b/>
        <w:sz w:val="16"/>
        <w:szCs w:val="16"/>
      </w:rPr>
      <w:tab/>
    </w:r>
    <w:r>
      <w:rPr>
        <w:b/>
        <w:sz w:val="16"/>
        <w:szCs w:val="16"/>
      </w:rPr>
      <w:tab/>
    </w:r>
    <w:r w:rsidR="006325BE" w:rsidRPr="006325BE">
      <w:t>D-1</w:t>
    </w:r>
  </w:p>
  <w:p w14:paraId="206DEC6B" w14:textId="77777777" w:rsidR="004E4825" w:rsidRDefault="004E4825" w:rsidP="00DD0125">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C1F29" w14:textId="04385F7C" w:rsidR="003374B5" w:rsidRDefault="003374B5" w:rsidP="00896EE8">
    <w:pPr>
      <w:pStyle w:val="Footer"/>
      <w:jc w:val="right"/>
    </w:pPr>
    <w:r>
      <w:rPr>
        <w:sz w:val="16"/>
        <w:szCs w:val="16"/>
      </w:rPr>
      <w:t>rev July 2017</w:t>
    </w:r>
    <w:r>
      <w:rPr>
        <w:b/>
        <w:sz w:val="16"/>
        <w:szCs w:val="16"/>
      </w:rPr>
      <w:tab/>
    </w:r>
    <w:r>
      <w:rPr>
        <w:b/>
        <w:sz w:val="16"/>
        <w:szCs w:val="16"/>
      </w:rPr>
      <w:tab/>
    </w:r>
    <w:r>
      <w:t>E</w:t>
    </w:r>
    <w:r w:rsidRPr="006325BE">
      <w:t>-1</w:t>
    </w:r>
  </w:p>
  <w:p w14:paraId="1A0420D8" w14:textId="77777777" w:rsidR="003374B5" w:rsidRDefault="003374B5"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08B94" w14:textId="77777777" w:rsidR="004E4825" w:rsidRDefault="004E4825"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4642141"/>
        <w:docPartObj>
          <w:docPartGallery w:val="Page Numbers (Bottom of Page)"/>
          <w:docPartUnique/>
        </w:docPartObj>
      </w:sdtPr>
      <w:sdtEndPr/>
      <w:sdtContent>
        <w:r>
          <w:t>A-</w:t>
        </w:r>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E8E9E" w14:textId="1B453EE0" w:rsidR="004E4825" w:rsidRPr="008953BE" w:rsidRDefault="004E4825">
    <w:pPr>
      <w:pStyle w:val="Footer"/>
      <w:rPr>
        <w:sz w:val="16"/>
        <w:szCs w:val="16"/>
      </w:rPr>
    </w:pPr>
    <w:r w:rsidRPr="008953BE">
      <w:rPr>
        <w:sz w:val="16"/>
        <w:szCs w:val="16"/>
      </w:rPr>
      <w:t xml:space="preserve">rev. </w:t>
    </w:r>
    <w:r>
      <w:rPr>
        <w:sz w:val="16"/>
        <w:szCs w:val="16"/>
      </w:rPr>
      <w:t xml:space="preserve">July 2017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25BE" w14:textId="3144446A" w:rsidR="004E4825" w:rsidRDefault="004E4825" w:rsidP="00896EE8">
    <w:pPr>
      <w:pStyle w:val="Footer"/>
      <w:jc w:val="right"/>
    </w:pPr>
    <w:r>
      <w:rPr>
        <w:sz w:val="16"/>
        <w:szCs w:val="16"/>
      </w:rPr>
      <w:t>rev July 2017</w:t>
    </w:r>
    <w:r>
      <w:rPr>
        <w:b/>
        <w:sz w:val="16"/>
        <w:szCs w:val="16"/>
      </w:rPr>
      <w:tab/>
    </w:r>
    <w:r>
      <w:rPr>
        <w:b/>
        <w:sz w:val="16"/>
        <w:szCs w:val="16"/>
      </w:rPr>
      <w:tab/>
    </w:r>
    <w:sdt>
      <w:sdtPr>
        <w:id w:val="17147072"/>
        <w:docPartObj>
          <w:docPartGallery w:val="Page Numbers (Bottom of Page)"/>
          <w:docPartUnique/>
        </w:docPartObj>
      </w:sdtPr>
      <w:sdtEndPr/>
      <w:sdtContent>
        <w:r>
          <w:t>A-</w:t>
        </w:r>
        <w:r>
          <w:fldChar w:fldCharType="begin"/>
        </w:r>
        <w:r>
          <w:instrText xml:space="preserve"> PAGE   \* MERGEFORMAT </w:instrText>
        </w:r>
        <w:r>
          <w:fldChar w:fldCharType="separate"/>
        </w:r>
        <w:r w:rsidR="00960DFA">
          <w:rPr>
            <w:noProof/>
          </w:rPr>
          <w:t>3</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B3D35" w14:textId="73FDED11" w:rsidR="004E4825" w:rsidRPr="008953BE" w:rsidRDefault="004E4825">
    <w:pPr>
      <w:pStyle w:val="Footer"/>
      <w:rPr>
        <w:sz w:val="16"/>
        <w:szCs w:val="16"/>
      </w:rPr>
    </w:pPr>
    <w:r w:rsidRPr="008953BE">
      <w:rPr>
        <w:sz w:val="16"/>
        <w:szCs w:val="16"/>
      </w:rPr>
      <w:t xml:space="preserve">rev. </w:t>
    </w:r>
    <w:r>
      <w:rPr>
        <w:sz w:val="16"/>
        <w:szCs w:val="16"/>
      </w:rPr>
      <w:t xml:space="preserve">July 2017                                                                                                                                              </w:t>
    </w:r>
    <w:r w:rsidRPr="00001542">
      <w:rPr>
        <w:szCs w:val="24"/>
      </w:rPr>
      <w:t>A-</w:t>
    </w:r>
    <w:r w:rsidRPr="00001542">
      <w:rPr>
        <w:szCs w:val="24"/>
      </w:rPr>
      <w:fldChar w:fldCharType="begin"/>
    </w:r>
    <w:r w:rsidRPr="00001542">
      <w:rPr>
        <w:szCs w:val="24"/>
      </w:rPr>
      <w:instrText xml:space="preserve"> PAGE   \* MERGEFORMAT </w:instrText>
    </w:r>
    <w:r w:rsidRPr="00001542">
      <w:rPr>
        <w:szCs w:val="24"/>
      </w:rPr>
      <w:fldChar w:fldCharType="separate"/>
    </w:r>
    <w:r w:rsidR="00960DFA">
      <w:rPr>
        <w:noProof/>
        <w:szCs w:val="24"/>
      </w:rPr>
      <w:t>1</w:t>
    </w:r>
    <w:r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4F039" w14:textId="64B7C60E" w:rsidR="004E4825" w:rsidRDefault="004E4825" w:rsidP="00896EE8">
    <w:pPr>
      <w:pStyle w:val="Footer"/>
      <w:jc w:val="right"/>
    </w:pPr>
    <w:r>
      <w:rPr>
        <w:sz w:val="16"/>
        <w:szCs w:val="16"/>
      </w:rPr>
      <w:t>rev July 2017</w:t>
    </w:r>
    <w:r>
      <w:rPr>
        <w:b/>
        <w:sz w:val="16"/>
        <w:szCs w:val="16"/>
      </w:rPr>
      <w:tab/>
    </w:r>
    <w:r>
      <w:rPr>
        <w:b/>
        <w:sz w:val="16"/>
        <w:szCs w:val="16"/>
      </w:rPr>
      <w:tab/>
    </w:r>
    <w:sdt>
      <w:sdtPr>
        <w:id w:val="14642143"/>
        <w:docPartObj>
          <w:docPartGallery w:val="Page Numbers (Bottom of Page)"/>
          <w:docPartUnique/>
        </w:docPartObj>
      </w:sdtPr>
      <w:sdtEndPr/>
      <w:sdtContent>
        <w:r>
          <w:t>B-</w:t>
        </w:r>
        <w:r>
          <w:fldChar w:fldCharType="begin"/>
        </w:r>
        <w:r>
          <w:instrText xml:space="preserve"> PAGE   \* MERGEFORMAT </w:instrText>
        </w:r>
        <w:r>
          <w:fldChar w:fldCharType="separate"/>
        </w:r>
        <w:r w:rsidR="00960DFA">
          <w:rPr>
            <w:noProof/>
          </w:rPr>
          <w:t>1</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45FDA" w14:textId="77777777" w:rsidR="004E4825" w:rsidRDefault="004E4825"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EA317" w14:textId="3178D17D" w:rsidR="004E4825" w:rsidRDefault="004E4825" w:rsidP="00896EE8">
    <w:pPr>
      <w:pStyle w:val="Footer"/>
      <w:jc w:val="right"/>
    </w:pPr>
    <w:r>
      <w:rPr>
        <w:sz w:val="16"/>
        <w:szCs w:val="16"/>
      </w:rPr>
      <w:t>rev July 2017</w:t>
    </w:r>
    <w:r>
      <w:rPr>
        <w:b/>
        <w:sz w:val="16"/>
        <w:szCs w:val="16"/>
      </w:rPr>
      <w:tab/>
    </w:r>
    <w:r>
      <w:rPr>
        <w:b/>
        <w:sz w:val="16"/>
        <w:szCs w:val="16"/>
      </w:rPr>
      <w:tab/>
    </w:r>
    <w:sdt>
      <w:sdtPr>
        <w:id w:val="14642150"/>
        <w:docPartObj>
          <w:docPartGallery w:val="Page Numbers (Bottom of Page)"/>
          <w:docPartUnique/>
        </w:docPartObj>
      </w:sdtPr>
      <w:sdtEndPr/>
      <w:sdtContent>
        <w:r>
          <w:t>C-</w:t>
        </w:r>
        <w:r>
          <w:fldChar w:fldCharType="begin"/>
        </w:r>
        <w:r>
          <w:instrText xml:space="preserve"> PAGE   \* MERGEFORMAT </w:instrText>
        </w:r>
        <w:r>
          <w:fldChar w:fldCharType="separate"/>
        </w:r>
        <w:r w:rsidR="00960DFA">
          <w:rPr>
            <w:noProof/>
          </w:rPr>
          <w:t>7</w:t>
        </w:r>
        <w:r>
          <w:rPr>
            <w:noProof/>
          </w:rPr>
          <w:fldChar w:fldCharType="end"/>
        </w:r>
      </w:sdtContent>
    </w:sdt>
  </w:p>
  <w:p w14:paraId="00138C7D" w14:textId="77777777" w:rsidR="004E4825" w:rsidRDefault="004E4825"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BC394" w14:textId="7BAADA2B" w:rsidR="004E4825" w:rsidRDefault="004E4825" w:rsidP="00896EE8">
    <w:pPr>
      <w:pStyle w:val="Footer"/>
      <w:jc w:val="right"/>
    </w:pPr>
    <w:r>
      <w:rPr>
        <w:sz w:val="16"/>
        <w:szCs w:val="16"/>
      </w:rPr>
      <w:t>rev July 2017</w:t>
    </w:r>
    <w:r>
      <w:rPr>
        <w:b/>
        <w:sz w:val="16"/>
        <w:szCs w:val="16"/>
      </w:rPr>
      <w:tab/>
    </w:r>
    <w:r>
      <w:rPr>
        <w:b/>
        <w:sz w:val="16"/>
        <w:szCs w:val="16"/>
      </w:rPr>
      <w:tab/>
    </w:r>
    <w:r>
      <w:t>C-</w:t>
    </w:r>
    <w:sdt>
      <w:sdtPr>
        <w:id w:val="14642146"/>
        <w:docPartObj>
          <w:docPartGallery w:val="Page Numbers (Bottom of Page)"/>
          <w:docPartUnique/>
        </w:docPartObj>
      </w:sdtPr>
      <w:sdtEndPr/>
      <w:sdtContent>
        <w:r>
          <w:fldChar w:fldCharType="begin"/>
        </w:r>
        <w:r>
          <w:instrText xml:space="preserve"> PAGE   \* MERGEFORMAT </w:instrText>
        </w:r>
        <w:r>
          <w:fldChar w:fldCharType="separate"/>
        </w:r>
        <w:r w:rsidR="00960DFA">
          <w:rPr>
            <w:noProof/>
          </w:rPr>
          <w:t>1</w:t>
        </w:r>
        <w:r>
          <w:rPr>
            <w:noProof/>
          </w:rPr>
          <w:fldChar w:fldCharType="end"/>
        </w:r>
      </w:sdtContent>
    </w:sdt>
  </w:p>
  <w:p w14:paraId="283AC261" w14:textId="77777777" w:rsidR="004E4825" w:rsidRDefault="004E4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CFF05" w14:textId="77777777" w:rsidR="00CD4B52" w:rsidRDefault="00CD4B52" w:rsidP="00437785">
      <w:r>
        <w:separator/>
      </w:r>
    </w:p>
  </w:footnote>
  <w:footnote w:type="continuationSeparator" w:id="0">
    <w:p w14:paraId="4FAC8B6C" w14:textId="77777777" w:rsidR="00CD4B52" w:rsidRDefault="00CD4B52"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3417D" w14:textId="77777777" w:rsidR="004E4825" w:rsidRPr="003E52BA" w:rsidRDefault="004E4825"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3E542057" w14:textId="77777777" w:rsidR="004E4825" w:rsidRDefault="004E4825">
    <w:pPr>
      <w:ind w:left="-86"/>
      <w:rPr>
        <w:rFonts w:ascii="Arial" w:eastAsia="Times New Roman" w:hAnsi="Arial"/>
        <w:b/>
        <w:sz w:val="22"/>
      </w:rPr>
    </w:pPr>
  </w:p>
  <w:p w14:paraId="3C6991D5" w14:textId="77777777" w:rsidR="004E4825" w:rsidRPr="000D2618" w:rsidRDefault="004E4825"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9334C" w14:textId="77777777" w:rsidR="00205870" w:rsidRDefault="00205870" w:rsidP="00205870">
    <w:pPr>
      <w:pStyle w:val="Header"/>
      <w:rPr>
        <w:rFonts w:eastAsia="Times New Roman"/>
        <w:sz w:val="20"/>
      </w:rPr>
    </w:pPr>
    <w:r>
      <w:rPr>
        <w:sz w:val="20"/>
      </w:rPr>
      <w:t>RFP Title: Benchmarks for Statewide Collection Entities</w:t>
    </w:r>
  </w:p>
  <w:p w14:paraId="2DC1D05D" w14:textId="77777777" w:rsidR="00205870" w:rsidRDefault="00205870" w:rsidP="00205870">
    <w:pPr>
      <w:pStyle w:val="Header"/>
      <w:rPr>
        <w:sz w:val="20"/>
      </w:rPr>
    </w:pPr>
    <w:r>
      <w:rPr>
        <w:sz w:val="20"/>
      </w:rPr>
      <w:t>RFP No. BS-2018-03-DM</w:t>
    </w:r>
  </w:p>
  <w:p w14:paraId="7F634CE2" w14:textId="77777777" w:rsidR="00205870" w:rsidRDefault="00205870" w:rsidP="00205870">
    <w:pPr>
      <w:pStyle w:val="Header"/>
      <w:rPr>
        <w:sz w:val="22"/>
        <w:szCs w:val="22"/>
      </w:rPr>
    </w:pPr>
  </w:p>
  <w:p w14:paraId="1F8976C9" w14:textId="77777777" w:rsidR="00205870" w:rsidRDefault="00205870" w:rsidP="00205870">
    <w:pPr>
      <w:pStyle w:val="Header"/>
    </w:pPr>
  </w:p>
  <w:p w14:paraId="24E9D4FF" w14:textId="77777777" w:rsidR="004E4825" w:rsidRPr="003B3C0B" w:rsidRDefault="004E4825" w:rsidP="00205870">
    <w:pPr>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7AA1C55"/>
    <w:multiLevelType w:val="multilevel"/>
    <w:tmpl w:val="30DCC7E6"/>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1C07632F"/>
    <w:multiLevelType w:val="hybridMultilevel"/>
    <w:tmpl w:val="75387D6E"/>
    <w:lvl w:ilvl="0" w:tplc="0409000F">
      <w:start w:val="1"/>
      <w:numFmt w:val="decimal"/>
      <w:lvlText w:val="%1."/>
      <w:lvlJc w:val="left"/>
      <w:pPr>
        <w:ind w:left="720" w:hanging="360"/>
      </w:pPr>
      <w:rPr>
        <w:rFonts w:cs="Times New Roman"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8"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2"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3FE318F0"/>
    <w:multiLevelType w:val="hybridMultilevel"/>
    <w:tmpl w:val="0068D1F0"/>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1026"/>
        </w:tabs>
        <w:ind w:left="102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9"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55877511"/>
    <w:multiLevelType w:val="multilevel"/>
    <w:tmpl w:val="2528CB18"/>
    <w:numStyleLink w:val="MOUList"/>
  </w:abstractNum>
  <w:abstractNum w:abstractNumId="23" w15:restartNumberingAfterBreak="0">
    <w:nsid w:val="58C40D29"/>
    <w:multiLevelType w:val="hybridMultilevel"/>
    <w:tmpl w:val="18E2E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7" w15:restartNumberingAfterBreak="0">
    <w:nsid w:val="5CFF5B3D"/>
    <w:multiLevelType w:val="hybridMultilevel"/>
    <w:tmpl w:val="DB6E8752"/>
    <w:lvl w:ilvl="0" w:tplc="04090003">
      <w:start w:val="1"/>
      <w:numFmt w:val="bullet"/>
      <w:lvlText w:val="o"/>
      <w:lvlJc w:val="left"/>
      <w:pPr>
        <w:ind w:left="2016" w:hanging="360"/>
      </w:pPr>
      <w:rPr>
        <w:rFonts w:ascii="Courier New" w:hAnsi="Courier New" w:cs="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28"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9"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2"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9"/>
  </w:num>
  <w:num w:numId="2">
    <w:abstractNumId w:val="7"/>
  </w:num>
  <w:num w:numId="3">
    <w:abstractNumId w:val="26"/>
  </w:num>
  <w:num w:numId="4">
    <w:abstractNumId w:val="12"/>
  </w:num>
  <w:num w:numId="5">
    <w:abstractNumId w:val="8"/>
  </w:num>
  <w:num w:numId="6">
    <w:abstractNumId w:val="6"/>
  </w:num>
  <w:num w:numId="7">
    <w:abstractNumId w:val="16"/>
  </w:num>
  <w:num w:numId="8">
    <w:abstractNumId w:val="17"/>
  </w:num>
  <w:num w:numId="9">
    <w:abstractNumId w:val="5"/>
  </w:num>
  <w:num w:numId="10">
    <w:abstractNumId w:val="20"/>
  </w:num>
  <w:num w:numId="11">
    <w:abstractNumId w:val="3"/>
  </w:num>
  <w:num w:numId="12">
    <w:abstractNumId w:val="24"/>
  </w:num>
  <w:num w:numId="13">
    <w:abstractNumId w:val="29"/>
  </w:num>
  <w:num w:numId="14">
    <w:abstractNumId w:val="28"/>
  </w:num>
  <w:num w:numId="15">
    <w:abstractNumId w:val="2"/>
  </w:num>
  <w:num w:numId="16">
    <w:abstractNumId w:val="0"/>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4"/>
  </w:num>
  <w:num w:numId="20">
    <w:abstractNumId w:val="25"/>
  </w:num>
  <w:num w:numId="21">
    <w:abstractNumId w:val="13"/>
  </w:num>
  <w:num w:numId="22">
    <w:abstractNumId w:val="10"/>
  </w:num>
  <w:num w:numId="23">
    <w:abstractNumId w:val="15"/>
  </w:num>
  <w:num w:numId="24">
    <w:abstractNumId w:val="11"/>
  </w:num>
  <w:num w:numId="25">
    <w:abstractNumId w:val="30"/>
  </w:num>
  <w:num w:numId="26">
    <w:abstractNumId w:val="19"/>
  </w:num>
  <w:num w:numId="27">
    <w:abstractNumId w:val="2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2"/>
  </w:num>
  <w:num w:numId="29">
    <w:abstractNumId w:val="31"/>
  </w:num>
  <w:num w:numId="30">
    <w:abstractNumId w:val="1"/>
  </w:num>
  <w:num w:numId="31">
    <w:abstractNumId w:val="27"/>
  </w:num>
  <w:num w:numId="32">
    <w:abstractNumId w:val="4"/>
  </w:num>
  <w:num w:numId="33">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2CFA"/>
    <w:rsid w:val="000156B7"/>
    <w:rsid w:val="00017C38"/>
    <w:rsid w:val="000205FD"/>
    <w:rsid w:val="000210F8"/>
    <w:rsid w:val="0002281F"/>
    <w:rsid w:val="00022B43"/>
    <w:rsid w:val="00023CC5"/>
    <w:rsid w:val="000244AF"/>
    <w:rsid w:val="00025415"/>
    <w:rsid w:val="00025B4D"/>
    <w:rsid w:val="00026CE4"/>
    <w:rsid w:val="00027D51"/>
    <w:rsid w:val="00030551"/>
    <w:rsid w:val="00031E3B"/>
    <w:rsid w:val="000417DE"/>
    <w:rsid w:val="0004230B"/>
    <w:rsid w:val="00044772"/>
    <w:rsid w:val="000468B3"/>
    <w:rsid w:val="000478D3"/>
    <w:rsid w:val="000479FB"/>
    <w:rsid w:val="000514D0"/>
    <w:rsid w:val="00054C5A"/>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BDA"/>
    <w:rsid w:val="00081C7A"/>
    <w:rsid w:val="00082271"/>
    <w:rsid w:val="00083558"/>
    <w:rsid w:val="00083BB8"/>
    <w:rsid w:val="00083CB3"/>
    <w:rsid w:val="00085746"/>
    <w:rsid w:val="00090ECB"/>
    <w:rsid w:val="0009405D"/>
    <w:rsid w:val="0009413B"/>
    <w:rsid w:val="000960F6"/>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E0993"/>
    <w:rsid w:val="000E0D3B"/>
    <w:rsid w:val="000E10DB"/>
    <w:rsid w:val="000E4F9D"/>
    <w:rsid w:val="000E5389"/>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2651"/>
    <w:rsid w:val="001267AC"/>
    <w:rsid w:val="00127293"/>
    <w:rsid w:val="0012785C"/>
    <w:rsid w:val="00127E74"/>
    <w:rsid w:val="00132A64"/>
    <w:rsid w:val="001338FE"/>
    <w:rsid w:val="00133C8F"/>
    <w:rsid w:val="00133DDE"/>
    <w:rsid w:val="00134BA5"/>
    <w:rsid w:val="001370DD"/>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A7C16"/>
    <w:rsid w:val="001B0231"/>
    <w:rsid w:val="001B03E3"/>
    <w:rsid w:val="001B7DCE"/>
    <w:rsid w:val="001C2EE5"/>
    <w:rsid w:val="001C41EE"/>
    <w:rsid w:val="001C4B83"/>
    <w:rsid w:val="001C532A"/>
    <w:rsid w:val="001D1482"/>
    <w:rsid w:val="001D22F3"/>
    <w:rsid w:val="001D38D7"/>
    <w:rsid w:val="001D5208"/>
    <w:rsid w:val="001D61F6"/>
    <w:rsid w:val="001D645F"/>
    <w:rsid w:val="001D7253"/>
    <w:rsid w:val="001E16FB"/>
    <w:rsid w:val="001E2002"/>
    <w:rsid w:val="001E2DA7"/>
    <w:rsid w:val="001E73F9"/>
    <w:rsid w:val="001F2FD0"/>
    <w:rsid w:val="001F38CB"/>
    <w:rsid w:val="001F4718"/>
    <w:rsid w:val="001F4850"/>
    <w:rsid w:val="001F7179"/>
    <w:rsid w:val="0020154A"/>
    <w:rsid w:val="00201BC4"/>
    <w:rsid w:val="00204BFF"/>
    <w:rsid w:val="00205870"/>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666"/>
    <w:rsid w:val="00252FCB"/>
    <w:rsid w:val="00253223"/>
    <w:rsid w:val="00266469"/>
    <w:rsid w:val="00270F4F"/>
    <w:rsid w:val="002721A9"/>
    <w:rsid w:val="002757DC"/>
    <w:rsid w:val="00281180"/>
    <w:rsid w:val="0028284E"/>
    <w:rsid w:val="00282C5E"/>
    <w:rsid w:val="002860C2"/>
    <w:rsid w:val="0029058D"/>
    <w:rsid w:val="0029146F"/>
    <w:rsid w:val="002914E4"/>
    <w:rsid w:val="0029237A"/>
    <w:rsid w:val="0029503F"/>
    <w:rsid w:val="002954F7"/>
    <w:rsid w:val="002968EA"/>
    <w:rsid w:val="00297556"/>
    <w:rsid w:val="002A1340"/>
    <w:rsid w:val="002A1E91"/>
    <w:rsid w:val="002A4A2F"/>
    <w:rsid w:val="002A4DA3"/>
    <w:rsid w:val="002A6687"/>
    <w:rsid w:val="002A6AEF"/>
    <w:rsid w:val="002A7674"/>
    <w:rsid w:val="002B13F1"/>
    <w:rsid w:val="002B170E"/>
    <w:rsid w:val="002B6210"/>
    <w:rsid w:val="002B6BEC"/>
    <w:rsid w:val="002B7412"/>
    <w:rsid w:val="002C0630"/>
    <w:rsid w:val="002C1DB6"/>
    <w:rsid w:val="002C27DF"/>
    <w:rsid w:val="002C3EAE"/>
    <w:rsid w:val="002C4401"/>
    <w:rsid w:val="002C6CC6"/>
    <w:rsid w:val="002C7B5F"/>
    <w:rsid w:val="002D64F8"/>
    <w:rsid w:val="002D6C9E"/>
    <w:rsid w:val="002E0C69"/>
    <w:rsid w:val="002E3A43"/>
    <w:rsid w:val="002E630A"/>
    <w:rsid w:val="002F15A9"/>
    <w:rsid w:val="002F19FF"/>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4B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AC3"/>
    <w:rsid w:val="003971C7"/>
    <w:rsid w:val="003A1C4D"/>
    <w:rsid w:val="003A254A"/>
    <w:rsid w:val="003A4EAB"/>
    <w:rsid w:val="003B04F6"/>
    <w:rsid w:val="003B08BC"/>
    <w:rsid w:val="003B10D9"/>
    <w:rsid w:val="003B3742"/>
    <w:rsid w:val="003B3C0B"/>
    <w:rsid w:val="003B42AC"/>
    <w:rsid w:val="003B4F33"/>
    <w:rsid w:val="003B54CD"/>
    <w:rsid w:val="003B5BE0"/>
    <w:rsid w:val="003B6793"/>
    <w:rsid w:val="003C00A7"/>
    <w:rsid w:val="003C0DD8"/>
    <w:rsid w:val="003C2303"/>
    <w:rsid w:val="003C255A"/>
    <w:rsid w:val="003C5DDC"/>
    <w:rsid w:val="003D380B"/>
    <w:rsid w:val="003D48FB"/>
    <w:rsid w:val="003D5C85"/>
    <w:rsid w:val="003D5D89"/>
    <w:rsid w:val="003D7AFA"/>
    <w:rsid w:val="003E04D4"/>
    <w:rsid w:val="003E28A6"/>
    <w:rsid w:val="003E52BA"/>
    <w:rsid w:val="003E7FA6"/>
    <w:rsid w:val="003F0E91"/>
    <w:rsid w:val="003F1B2B"/>
    <w:rsid w:val="003F713C"/>
    <w:rsid w:val="00402D43"/>
    <w:rsid w:val="00405381"/>
    <w:rsid w:val="00405F7C"/>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1191"/>
    <w:rsid w:val="004759E9"/>
    <w:rsid w:val="00475D0F"/>
    <w:rsid w:val="004801A7"/>
    <w:rsid w:val="0048020C"/>
    <w:rsid w:val="004803FF"/>
    <w:rsid w:val="004825E8"/>
    <w:rsid w:val="00483DAC"/>
    <w:rsid w:val="004849EE"/>
    <w:rsid w:val="004867BB"/>
    <w:rsid w:val="00492383"/>
    <w:rsid w:val="00492619"/>
    <w:rsid w:val="00492684"/>
    <w:rsid w:val="00492990"/>
    <w:rsid w:val="004929F4"/>
    <w:rsid w:val="00496ED0"/>
    <w:rsid w:val="00497C61"/>
    <w:rsid w:val="004A4A27"/>
    <w:rsid w:val="004B3F1C"/>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825"/>
    <w:rsid w:val="004E4AF2"/>
    <w:rsid w:val="004E5170"/>
    <w:rsid w:val="004F5C7F"/>
    <w:rsid w:val="004F7C4E"/>
    <w:rsid w:val="00502D4E"/>
    <w:rsid w:val="00503976"/>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A47"/>
    <w:rsid w:val="00537F13"/>
    <w:rsid w:val="00543A67"/>
    <w:rsid w:val="00547188"/>
    <w:rsid w:val="0055258A"/>
    <w:rsid w:val="00554566"/>
    <w:rsid w:val="00556636"/>
    <w:rsid w:val="00556840"/>
    <w:rsid w:val="0055754C"/>
    <w:rsid w:val="00561427"/>
    <w:rsid w:val="00561483"/>
    <w:rsid w:val="00562F78"/>
    <w:rsid w:val="0056625F"/>
    <w:rsid w:val="00566AA2"/>
    <w:rsid w:val="00567826"/>
    <w:rsid w:val="00570210"/>
    <w:rsid w:val="00570F30"/>
    <w:rsid w:val="00574614"/>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3FDF"/>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13F0C"/>
    <w:rsid w:val="006325BE"/>
    <w:rsid w:val="00632E5F"/>
    <w:rsid w:val="00634BB6"/>
    <w:rsid w:val="006402DE"/>
    <w:rsid w:val="00642075"/>
    <w:rsid w:val="00642B89"/>
    <w:rsid w:val="00644282"/>
    <w:rsid w:val="00651DC8"/>
    <w:rsid w:val="00652216"/>
    <w:rsid w:val="00653CC7"/>
    <w:rsid w:val="00654308"/>
    <w:rsid w:val="00656961"/>
    <w:rsid w:val="00656D7E"/>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7B8"/>
    <w:rsid w:val="006F5BD5"/>
    <w:rsid w:val="0070078B"/>
    <w:rsid w:val="00701788"/>
    <w:rsid w:val="0070246D"/>
    <w:rsid w:val="0070299B"/>
    <w:rsid w:val="00702D06"/>
    <w:rsid w:val="00711025"/>
    <w:rsid w:val="00711F5E"/>
    <w:rsid w:val="00713AF8"/>
    <w:rsid w:val="00716117"/>
    <w:rsid w:val="00725C90"/>
    <w:rsid w:val="00727C41"/>
    <w:rsid w:val="00730B92"/>
    <w:rsid w:val="007356A9"/>
    <w:rsid w:val="00735C15"/>
    <w:rsid w:val="00736AA3"/>
    <w:rsid w:val="00740EFF"/>
    <w:rsid w:val="00742C5C"/>
    <w:rsid w:val="00743129"/>
    <w:rsid w:val="007477E1"/>
    <w:rsid w:val="00747A0F"/>
    <w:rsid w:val="00747C96"/>
    <w:rsid w:val="007507FB"/>
    <w:rsid w:val="00751611"/>
    <w:rsid w:val="00751D43"/>
    <w:rsid w:val="00751E04"/>
    <w:rsid w:val="00751EC4"/>
    <w:rsid w:val="00752F5D"/>
    <w:rsid w:val="00757011"/>
    <w:rsid w:val="00757CD3"/>
    <w:rsid w:val="0076656F"/>
    <w:rsid w:val="00767122"/>
    <w:rsid w:val="007724BC"/>
    <w:rsid w:val="00775B4F"/>
    <w:rsid w:val="00781159"/>
    <w:rsid w:val="00786481"/>
    <w:rsid w:val="00786FF7"/>
    <w:rsid w:val="00792351"/>
    <w:rsid w:val="00796598"/>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18AD"/>
    <w:rsid w:val="007D3A9E"/>
    <w:rsid w:val="007D45AB"/>
    <w:rsid w:val="007D47CE"/>
    <w:rsid w:val="007D48DE"/>
    <w:rsid w:val="007D4F9D"/>
    <w:rsid w:val="007E0CB9"/>
    <w:rsid w:val="007E2102"/>
    <w:rsid w:val="007E21F5"/>
    <w:rsid w:val="007E32ED"/>
    <w:rsid w:val="007E3BC8"/>
    <w:rsid w:val="007E5428"/>
    <w:rsid w:val="007E6EE1"/>
    <w:rsid w:val="007F106C"/>
    <w:rsid w:val="007F20A7"/>
    <w:rsid w:val="007F3498"/>
    <w:rsid w:val="00802973"/>
    <w:rsid w:val="00805AD1"/>
    <w:rsid w:val="00806F13"/>
    <w:rsid w:val="00807BC8"/>
    <w:rsid w:val="00810509"/>
    <w:rsid w:val="00810E3C"/>
    <w:rsid w:val="008110B5"/>
    <w:rsid w:val="008114BC"/>
    <w:rsid w:val="00813FB6"/>
    <w:rsid w:val="00814FE4"/>
    <w:rsid w:val="008167EB"/>
    <w:rsid w:val="0081736F"/>
    <w:rsid w:val="00830720"/>
    <w:rsid w:val="008309EC"/>
    <w:rsid w:val="00830CC5"/>
    <w:rsid w:val="008326D6"/>
    <w:rsid w:val="00832795"/>
    <w:rsid w:val="008328F0"/>
    <w:rsid w:val="008331E4"/>
    <w:rsid w:val="00834E3C"/>
    <w:rsid w:val="00836598"/>
    <w:rsid w:val="00836CBD"/>
    <w:rsid w:val="008459D6"/>
    <w:rsid w:val="008466AF"/>
    <w:rsid w:val="00846E22"/>
    <w:rsid w:val="00851AB8"/>
    <w:rsid w:val="00852252"/>
    <w:rsid w:val="00853E93"/>
    <w:rsid w:val="00855D01"/>
    <w:rsid w:val="0086161A"/>
    <w:rsid w:val="00863D67"/>
    <w:rsid w:val="008643CA"/>
    <w:rsid w:val="00864894"/>
    <w:rsid w:val="008648B6"/>
    <w:rsid w:val="00866E99"/>
    <w:rsid w:val="008758B9"/>
    <w:rsid w:val="00875E33"/>
    <w:rsid w:val="00876F69"/>
    <w:rsid w:val="00877076"/>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B"/>
    <w:rsid w:val="008D450B"/>
    <w:rsid w:val="008D7B70"/>
    <w:rsid w:val="008E0BF4"/>
    <w:rsid w:val="008E228D"/>
    <w:rsid w:val="008E53A0"/>
    <w:rsid w:val="008E642A"/>
    <w:rsid w:val="008E69D0"/>
    <w:rsid w:val="008F1AB2"/>
    <w:rsid w:val="008F1B64"/>
    <w:rsid w:val="008F1CA8"/>
    <w:rsid w:val="008F47FB"/>
    <w:rsid w:val="008F7E48"/>
    <w:rsid w:val="009041E6"/>
    <w:rsid w:val="0090613B"/>
    <w:rsid w:val="0090769D"/>
    <w:rsid w:val="0090796F"/>
    <w:rsid w:val="009131B5"/>
    <w:rsid w:val="0091330D"/>
    <w:rsid w:val="00917C64"/>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DFA"/>
    <w:rsid w:val="00960F32"/>
    <w:rsid w:val="009635F4"/>
    <w:rsid w:val="00965AE9"/>
    <w:rsid w:val="009668A0"/>
    <w:rsid w:val="0097034E"/>
    <w:rsid w:val="00970933"/>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3C93"/>
    <w:rsid w:val="009E5BE4"/>
    <w:rsid w:val="009E7973"/>
    <w:rsid w:val="009F5920"/>
    <w:rsid w:val="009F6D38"/>
    <w:rsid w:val="00A031C0"/>
    <w:rsid w:val="00A05AE8"/>
    <w:rsid w:val="00A07092"/>
    <w:rsid w:val="00A074FD"/>
    <w:rsid w:val="00A118C5"/>
    <w:rsid w:val="00A11950"/>
    <w:rsid w:val="00A13735"/>
    <w:rsid w:val="00A137B5"/>
    <w:rsid w:val="00A13EDB"/>
    <w:rsid w:val="00A15296"/>
    <w:rsid w:val="00A203FE"/>
    <w:rsid w:val="00A208E8"/>
    <w:rsid w:val="00A21332"/>
    <w:rsid w:val="00A23C0E"/>
    <w:rsid w:val="00A2499E"/>
    <w:rsid w:val="00A2777E"/>
    <w:rsid w:val="00A27F50"/>
    <w:rsid w:val="00A31134"/>
    <w:rsid w:val="00A31A82"/>
    <w:rsid w:val="00A33015"/>
    <w:rsid w:val="00A3307E"/>
    <w:rsid w:val="00A35850"/>
    <w:rsid w:val="00A37BCE"/>
    <w:rsid w:val="00A41BDA"/>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265"/>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15296"/>
    <w:rsid w:val="00B1586F"/>
    <w:rsid w:val="00B15A09"/>
    <w:rsid w:val="00B15E24"/>
    <w:rsid w:val="00B170A3"/>
    <w:rsid w:val="00B174EC"/>
    <w:rsid w:val="00B1762D"/>
    <w:rsid w:val="00B2054F"/>
    <w:rsid w:val="00B21784"/>
    <w:rsid w:val="00B261F6"/>
    <w:rsid w:val="00B27256"/>
    <w:rsid w:val="00B3022E"/>
    <w:rsid w:val="00B31197"/>
    <w:rsid w:val="00B313DA"/>
    <w:rsid w:val="00B31C28"/>
    <w:rsid w:val="00B334BD"/>
    <w:rsid w:val="00B36F83"/>
    <w:rsid w:val="00B37F12"/>
    <w:rsid w:val="00B4530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1C03"/>
    <w:rsid w:val="00BC28F1"/>
    <w:rsid w:val="00BC3F04"/>
    <w:rsid w:val="00BC4907"/>
    <w:rsid w:val="00BD04DE"/>
    <w:rsid w:val="00BD2BD8"/>
    <w:rsid w:val="00BD4BC8"/>
    <w:rsid w:val="00BD595A"/>
    <w:rsid w:val="00BE3331"/>
    <w:rsid w:val="00BE39E2"/>
    <w:rsid w:val="00BE57EA"/>
    <w:rsid w:val="00BE7891"/>
    <w:rsid w:val="00BF2D45"/>
    <w:rsid w:val="00BF400D"/>
    <w:rsid w:val="00BF7ADF"/>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761"/>
    <w:rsid w:val="00C80839"/>
    <w:rsid w:val="00C80908"/>
    <w:rsid w:val="00C80C92"/>
    <w:rsid w:val="00C80D03"/>
    <w:rsid w:val="00C81AFC"/>
    <w:rsid w:val="00C82C27"/>
    <w:rsid w:val="00C86BAD"/>
    <w:rsid w:val="00C87494"/>
    <w:rsid w:val="00C908A1"/>
    <w:rsid w:val="00C92562"/>
    <w:rsid w:val="00C92AF0"/>
    <w:rsid w:val="00C9327F"/>
    <w:rsid w:val="00C941B3"/>
    <w:rsid w:val="00C976A5"/>
    <w:rsid w:val="00CA27A3"/>
    <w:rsid w:val="00CB4090"/>
    <w:rsid w:val="00CB7F42"/>
    <w:rsid w:val="00CC2A61"/>
    <w:rsid w:val="00CC66B5"/>
    <w:rsid w:val="00CD0129"/>
    <w:rsid w:val="00CD120E"/>
    <w:rsid w:val="00CD213D"/>
    <w:rsid w:val="00CD4B52"/>
    <w:rsid w:val="00CD4E84"/>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38E3"/>
    <w:rsid w:val="00D14F73"/>
    <w:rsid w:val="00D1622D"/>
    <w:rsid w:val="00D17605"/>
    <w:rsid w:val="00D216E3"/>
    <w:rsid w:val="00D223D4"/>
    <w:rsid w:val="00D24DFA"/>
    <w:rsid w:val="00D259DB"/>
    <w:rsid w:val="00D27208"/>
    <w:rsid w:val="00D34A04"/>
    <w:rsid w:val="00D410B7"/>
    <w:rsid w:val="00D42253"/>
    <w:rsid w:val="00D428EB"/>
    <w:rsid w:val="00D4348D"/>
    <w:rsid w:val="00D437C9"/>
    <w:rsid w:val="00D43A10"/>
    <w:rsid w:val="00D44034"/>
    <w:rsid w:val="00D44EE7"/>
    <w:rsid w:val="00D461F6"/>
    <w:rsid w:val="00D529A9"/>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975"/>
    <w:rsid w:val="00D87DE7"/>
    <w:rsid w:val="00D907C1"/>
    <w:rsid w:val="00D926C8"/>
    <w:rsid w:val="00D96273"/>
    <w:rsid w:val="00D967DF"/>
    <w:rsid w:val="00DA091B"/>
    <w:rsid w:val="00DA1417"/>
    <w:rsid w:val="00DA1712"/>
    <w:rsid w:val="00DA216D"/>
    <w:rsid w:val="00DA38AC"/>
    <w:rsid w:val="00DA60FB"/>
    <w:rsid w:val="00DB4932"/>
    <w:rsid w:val="00DB7427"/>
    <w:rsid w:val="00DC0837"/>
    <w:rsid w:val="00DC1500"/>
    <w:rsid w:val="00DC5733"/>
    <w:rsid w:val="00DC60AD"/>
    <w:rsid w:val="00DC69C9"/>
    <w:rsid w:val="00DD0125"/>
    <w:rsid w:val="00DD6992"/>
    <w:rsid w:val="00DD7319"/>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2760C"/>
    <w:rsid w:val="00E3061A"/>
    <w:rsid w:val="00E323FD"/>
    <w:rsid w:val="00E367B1"/>
    <w:rsid w:val="00E37567"/>
    <w:rsid w:val="00E42240"/>
    <w:rsid w:val="00E456F5"/>
    <w:rsid w:val="00E46145"/>
    <w:rsid w:val="00E51021"/>
    <w:rsid w:val="00E513F3"/>
    <w:rsid w:val="00E52ABD"/>
    <w:rsid w:val="00E52E73"/>
    <w:rsid w:val="00E52EC9"/>
    <w:rsid w:val="00E5363C"/>
    <w:rsid w:val="00E5436A"/>
    <w:rsid w:val="00E544D5"/>
    <w:rsid w:val="00E54CDA"/>
    <w:rsid w:val="00E56464"/>
    <w:rsid w:val="00E56674"/>
    <w:rsid w:val="00E6079D"/>
    <w:rsid w:val="00E6137A"/>
    <w:rsid w:val="00E70172"/>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1B19"/>
    <w:rsid w:val="00F25891"/>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2B0"/>
    <w:rsid w:val="00FD4CFE"/>
    <w:rsid w:val="00FD729F"/>
    <w:rsid w:val="00FD7B3C"/>
    <w:rsid w:val="00FE08A0"/>
    <w:rsid w:val="00FE0FE2"/>
    <w:rsid w:val="00FE120E"/>
    <w:rsid w:val="00FE190F"/>
    <w:rsid w:val="00FE32B1"/>
    <w:rsid w:val="00FF1379"/>
    <w:rsid w:val="00FF1B4B"/>
    <w:rsid w:val="00FF1F84"/>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5CC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table" w:customStyle="1" w:styleId="TableGrid1">
    <w:name w:val="Table Grid1"/>
    <w:basedOn w:val="TableNormal"/>
    <w:next w:val="TableGrid"/>
    <w:uiPriority w:val="59"/>
    <w:rsid w:val="00D87975"/>
    <w:rPr>
      <w:rFonts w:asciiTheme="minorHAnsi" w:eastAsiaTheme="minorHAnsi" w:hAnsiTheme="minorHAnsi"/>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69532498">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EB0E5-B58F-43EE-BA62-4693402A3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9003</Words>
  <Characters>51320</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2018-04-25T21:10:00Z</dcterms:created>
  <dcterms:modified xsi:type="dcterms:W3CDTF">2019-04-08T16:39:00Z</dcterms:modified>
</cp:coreProperties>
</file>